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721995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10-K</w:t>
      </w:r>
    </w:p>
    <w:p>
      <w:pPr>
        <w:spacing w:after="0" w:line="1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105" w:lineRule="exact"/>
        <w:rPr>
          <w:sz w:val="24"/>
          <w:szCs w:val="24"/>
          <w:color w:val="auto"/>
        </w:rPr>
      </w:pPr>
    </w:p>
    <w:p>
      <w:pPr>
        <w:ind w:left="660" w:hanging="641"/>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154" w:lineRule="exact"/>
        <w:rPr>
          <w:rFonts w:ascii="MS PGothic" w:cs="MS PGothic" w:eastAsia="MS PGothic" w:hAnsi="MS PGothic"/>
          <w:sz w:val="14"/>
          <w:szCs w:val="14"/>
          <w:color w:val="auto"/>
        </w:rPr>
      </w:pPr>
    </w:p>
    <w:p>
      <w:pPr>
        <w:ind w:left="41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fiscal year ended December 31, 2024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9" w:lineRule="exact"/>
        <w:rPr>
          <w:sz w:val="24"/>
          <w:szCs w:val="24"/>
          <w:color w:val="auto"/>
        </w:rPr>
      </w:pPr>
    </w:p>
    <w:p>
      <w:pPr>
        <w:ind w:left="660" w:hanging="641"/>
        <w:spacing w:after="0"/>
        <w:tabs>
          <w:tab w:leader="none" w:pos="6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 TO_____</w:t>
      </w:r>
    </w:p>
    <w:p>
      <w:pPr>
        <w:spacing w:after="0" w:line="221" w:lineRule="exact"/>
        <w:rPr>
          <w:rFonts w:ascii="MS PGothic" w:cs="MS PGothic" w:eastAsia="MS PGothic" w:hAnsi="MS PGothic"/>
          <w:sz w:val="13"/>
          <w:szCs w:val="13"/>
          <w:color w:val="auto"/>
        </w:rPr>
      </w:pPr>
    </w:p>
    <w:p>
      <w:pPr>
        <w:ind w:left="4700"/>
        <w:spacing w:after="0"/>
        <w:rPr>
          <w:rFonts w:ascii="MS PGothic" w:cs="MS PGothic" w:eastAsia="MS PGothic" w:hAnsi="MS PGothic"/>
          <w:sz w:val="13"/>
          <w:szCs w:val="13"/>
          <w:color w:val="auto"/>
        </w:rPr>
      </w:pPr>
      <w:r>
        <w:rPr>
          <w:rFonts w:ascii="Arial" w:cs="Arial" w:eastAsia="Arial" w:hAnsi="Arial"/>
          <w:sz w:val="13"/>
          <w:szCs w:val="13"/>
          <w:b w:val="1"/>
          <w:bCs w:val="1"/>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93345</wp:posOffset>
            </wp:positionV>
            <wp:extent cx="1812290" cy="727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2290" cy="7277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20" w:type="dxa"/>
        <w:tblCellMar>
          <w:top w:w="0" w:type="dxa"/>
          <w:left w:w="0" w:type="dxa"/>
          <w:bottom w:w="0" w:type="dxa"/>
          <w:right w:w="0" w:type="dxa"/>
        </w:tblCellMar>
      </w:tblPr>
      <w:tr>
        <w:trPr>
          <w:trHeight w:val="295"/>
        </w:trPr>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jc w:val="center"/>
              <w:ind w:right="54"/>
              <w:spacing w:after="0"/>
              <w:rPr>
                <w:sz w:val="20"/>
                <w:szCs w:val="20"/>
                <w:color w:val="auto"/>
              </w:rPr>
            </w:pPr>
            <w:r>
              <w:rPr>
                <w:rFonts w:ascii="Arial" w:cs="Arial" w:eastAsia="Arial" w:hAnsi="Arial"/>
                <w:sz w:val="23"/>
                <w:szCs w:val="23"/>
                <w:b w:val="1"/>
                <w:bCs w:val="1"/>
                <w:color w:val="auto"/>
                <w:w w:val="97"/>
              </w:rPr>
              <w:t>DARÉ BIOSCIENCE, INC.</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48"/>
        </w:trPr>
        <w:tc>
          <w:tcPr>
            <w:tcW w:w="1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60" w:type="dxa"/>
            <w:vAlign w:val="bottom"/>
          </w:tcPr>
          <w:p>
            <w:pPr>
              <w:jc w:val="center"/>
              <w:ind w:right="54"/>
              <w:spacing w:after="0"/>
              <w:rPr>
                <w:sz w:val="20"/>
                <w:szCs w:val="20"/>
                <w:color w:val="auto"/>
              </w:rPr>
            </w:pPr>
            <w:r>
              <w:rPr>
                <w:rFonts w:ascii="Arial" w:cs="Arial" w:eastAsia="Arial" w:hAnsi="Arial"/>
                <w:sz w:val="11"/>
                <w:szCs w:val="11"/>
                <w:color w:val="auto"/>
              </w:rPr>
              <w:t>(Exact Name of Registrant as Specified in its Charter)</w:t>
            </w: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39"/>
        </w:trPr>
        <w:tc>
          <w:tcPr>
            <w:tcW w:w="1700" w:type="dxa"/>
            <w:vAlign w:val="bottom"/>
          </w:tcPr>
          <w:p>
            <w:pPr>
              <w:spacing w:after="0"/>
              <w:rPr>
                <w:sz w:val="20"/>
                <w:szCs w:val="20"/>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Delaware</w:t>
            </w:r>
          </w:p>
        </w:tc>
        <w:tc>
          <w:tcPr>
            <w:tcW w:w="3560" w:type="dxa"/>
            <w:vAlign w:val="bottom"/>
          </w:tcPr>
          <w:p>
            <w:pPr>
              <w:spacing w:after="0"/>
              <w:rPr>
                <w:sz w:val="20"/>
                <w:szCs w:val="20"/>
                <w:color w:val="auto"/>
              </w:rPr>
            </w:pPr>
          </w:p>
        </w:tc>
        <w:tc>
          <w:tcPr>
            <w:tcW w:w="2520" w:type="dxa"/>
            <w:vAlign w:val="bottom"/>
            <w:gridSpan w:val="2"/>
          </w:tcPr>
          <w:p>
            <w:pPr>
              <w:jc w:val="right"/>
              <w:ind w:right="1183"/>
              <w:spacing w:after="0"/>
              <w:rPr>
                <w:sz w:val="20"/>
                <w:szCs w:val="20"/>
                <w:color w:val="auto"/>
              </w:rPr>
            </w:pPr>
            <w:r>
              <w:rPr>
                <w:rFonts w:ascii="Arial" w:cs="Arial" w:eastAsia="Arial" w:hAnsi="Arial"/>
                <w:sz w:val="11"/>
                <w:szCs w:val="11"/>
                <w:b w:val="1"/>
                <w:bCs w:val="1"/>
                <w:color w:val="auto"/>
              </w:rPr>
              <w:t>20-4139823</w:t>
            </w:r>
          </w:p>
        </w:tc>
      </w:tr>
      <w:tr>
        <w:trPr>
          <w:trHeight w:val="153"/>
        </w:trPr>
        <w:tc>
          <w:tcPr>
            <w:tcW w:w="1700" w:type="dxa"/>
            <w:vAlign w:val="bottom"/>
          </w:tcPr>
          <w:p>
            <w:pPr>
              <w:spacing w:after="0"/>
              <w:rPr>
                <w:sz w:val="13"/>
                <w:szCs w:val="13"/>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color w:val="auto"/>
              </w:rPr>
              <w:t>(State or other jurisdiction of incorporation)</w:t>
            </w:r>
          </w:p>
        </w:tc>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tcPr>
          <w:p>
            <w:pPr>
              <w:ind w:left="20"/>
              <w:spacing w:after="0"/>
              <w:rPr>
                <w:sz w:val="20"/>
                <w:szCs w:val="20"/>
                <w:color w:val="auto"/>
              </w:rPr>
            </w:pPr>
            <w:r>
              <w:rPr>
                <w:rFonts w:ascii="Arial" w:cs="Arial" w:eastAsia="Arial" w:hAnsi="Arial"/>
                <w:sz w:val="11"/>
                <w:szCs w:val="11"/>
                <w:color w:val="auto"/>
              </w:rPr>
              <w:t>(IRS Employer Identification No.)</w:t>
            </w:r>
          </w:p>
        </w:tc>
      </w:tr>
      <w:tr>
        <w:trPr>
          <w:trHeight w:val="127"/>
        </w:trPr>
        <w:tc>
          <w:tcPr>
            <w:tcW w:w="1700" w:type="dxa"/>
            <w:vAlign w:val="bottom"/>
          </w:tcPr>
          <w:p>
            <w:pPr>
              <w:spacing w:after="0"/>
              <w:rPr>
                <w:sz w:val="11"/>
                <w:szCs w:val="11"/>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3655 Nobel Drive, Suite 260</w:t>
            </w:r>
          </w:p>
        </w:tc>
        <w:tc>
          <w:tcPr>
            <w:tcW w:w="3560" w:type="dxa"/>
            <w:vAlign w:val="bottom"/>
          </w:tcPr>
          <w:p>
            <w:pPr>
              <w:spacing w:after="0"/>
              <w:rPr>
                <w:sz w:val="11"/>
                <w:szCs w:val="11"/>
                <w:color w:val="auto"/>
              </w:rPr>
            </w:pPr>
          </w:p>
        </w:tc>
        <w:tc>
          <w:tcPr>
            <w:tcW w:w="2520" w:type="dxa"/>
            <w:vAlign w:val="bottom"/>
            <w:gridSpan w:val="2"/>
          </w:tcPr>
          <w:p>
            <w:pPr>
              <w:jc w:val="right"/>
              <w:ind w:right="1323"/>
              <w:spacing w:after="0"/>
              <w:rPr>
                <w:sz w:val="20"/>
                <w:szCs w:val="20"/>
                <w:color w:val="auto"/>
              </w:rPr>
            </w:pPr>
            <w:r>
              <w:rPr>
                <w:rFonts w:ascii="Arial" w:cs="Arial" w:eastAsia="Arial" w:hAnsi="Arial"/>
                <w:sz w:val="11"/>
                <w:szCs w:val="11"/>
                <w:b w:val="1"/>
                <w:bCs w:val="1"/>
                <w:color w:val="auto"/>
              </w:rPr>
              <w:t>92122</w:t>
            </w:r>
          </w:p>
        </w:tc>
      </w:tr>
      <w:tr>
        <w:trPr>
          <w:trHeight w:val="112"/>
        </w:trPr>
        <w:tc>
          <w:tcPr>
            <w:tcW w:w="1700" w:type="dxa"/>
            <w:vAlign w:val="bottom"/>
          </w:tcPr>
          <w:p>
            <w:pPr>
              <w:spacing w:after="0"/>
              <w:rPr>
                <w:sz w:val="9"/>
                <w:szCs w:val="9"/>
                <w:color w:val="auto"/>
              </w:rPr>
            </w:pPr>
          </w:p>
        </w:tc>
        <w:tc>
          <w:tcPr>
            <w:tcW w:w="220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San Diego, CA</w:t>
            </w: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tcPr>
          <w:p>
            <w:pPr>
              <w:ind w:left="580"/>
              <w:spacing w:after="0" w:line="113" w:lineRule="exact"/>
              <w:rPr>
                <w:sz w:val="20"/>
                <w:szCs w:val="20"/>
                <w:color w:val="auto"/>
              </w:rPr>
            </w:pPr>
            <w:r>
              <w:rPr>
                <w:rFonts w:ascii="Arial" w:cs="Arial" w:eastAsia="Arial" w:hAnsi="Arial"/>
                <w:sz w:val="11"/>
                <w:szCs w:val="11"/>
                <w:color w:val="auto"/>
              </w:rPr>
              <w:t>(Zip Code)</w:t>
            </w:r>
          </w:p>
        </w:tc>
      </w:tr>
      <w:tr>
        <w:trPr>
          <w:trHeight w:val="148"/>
        </w:trPr>
        <w:tc>
          <w:tcPr>
            <w:tcW w:w="1700" w:type="dxa"/>
            <w:vAlign w:val="bottom"/>
          </w:tcPr>
          <w:p>
            <w:pPr>
              <w:spacing w:after="0"/>
              <w:rPr>
                <w:sz w:val="12"/>
                <w:szCs w:val="12"/>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1"/>
                <w:szCs w:val="11"/>
                <w:color w:val="auto"/>
              </w:rPr>
              <w:t>(Address of Principal Executive Offices)</w:t>
            </w: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23"/>
        </w:trPr>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560" w:type="dxa"/>
            <w:vAlign w:val="bottom"/>
          </w:tcPr>
          <w:p>
            <w:pPr>
              <w:jc w:val="center"/>
              <w:ind w:right="54"/>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(858) 926-7655</w:t>
            </w: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7"/>
        </w:trPr>
        <w:tc>
          <w:tcPr>
            <w:tcW w:w="3900" w:type="dxa"/>
            <w:vAlign w:val="bottom"/>
            <w:gridSpan w:val="3"/>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134"/>
        </w:trPr>
        <w:tc>
          <w:tcPr>
            <w:tcW w:w="17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220" w:type="dxa"/>
            <w:vAlign w:val="bottom"/>
          </w:tcPr>
          <w:p>
            <w:pPr>
              <w:spacing w:after="0"/>
              <w:rPr>
                <w:sz w:val="11"/>
                <w:szCs w:val="11"/>
                <w:color w:val="auto"/>
              </w:rPr>
            </w:pPr>
          </w:p>
        </w:tc>
        <w:tc>
          <w:tcPr>
            <w:tcW w:w="3560" w:type="dxa"/>
            <w:vAlign w:val="bottom"/>
          </w:tcPr>
          <w:p>
            <w:pPr>
              <w:jc w:val="center"/>
              <w:ind w:right="574"/>
              <w:spacing w:after="0"/>
              <w:rPr>
                <w:sz w:val="20"/>
                <w:szCs w:val="20"/>
                <w:color w:val="auto"/>
              </w:rPr>
            </w:pPr>
            <w:r>
              <w:rPr>
                <w:rFonts w:ascii="Arial" w:cs="Arial" w:eastAsia="Arial" w:hAnsi="Arial"/>
                <w:sz w:val="11"/>
                <w:szCs w:val="11"/>
                <w:color w:val="auto"/>
              </w:rPr>
              <w:t>Trading Symbol(s)</w:t>
            </w:r>
          </w:p>
        </w:tc>
        <w:tc>
          <w:tcPr>
            <w:tcW w:w="2520" w:type="dxa"/>
            <w:vAlign w:val="bottom"/>
            <w:gridSpan w:val="2"/>
          </w:tcPr>
          <w:p>
            <w:pPr>
              <w:ind w:left="14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171"/>
        </w:trPr>
        <w:tc>
          <w:tcPr>
            <w:tcW w:w="3900" w:type="dxa"/>
            <w:vAlign w:val="bottom"/>
            <w:gridSpan w:val="3"/>
          </w:tcPr>
          <w:p>
            <w:pPr>
              <w:jc w:val="center"/>
              <w:ind w:left="403"/>
              <w:spacing w:after="0"/>
              <w:rPr>
                <w:sz w:val="20"/>
                <w:szCs w:val="20"/>
                <w:color w:val="auto"/>
              </w:rPr>
            </w:pPr>
            <w:r>
              <w:rPr>
                <w:rFonts w:ascii="Arial" w:cs="Arial" w:eastAsia="Arial" w:hAnsi="Arial"/>
                <w:sz w:val="11"/>
                <w:szCs w:val="11"/>
                <w:b w:val="1"/>
                <w:bCs w:val="1"/>
                <w:color w:val="auto"/>
              </w:rPr>
              <w:t>Common Stock, Par Value $0.0001 Per Share</w:t>
            </w:r>
          </w:p>
        </w:tc>
        <w:tc>
          <w:tcPr>
            <w:tcW w:w="3560" w:type="dxa"/>
            <w:vAlign w:val="bottom"/>
          </w:tcPr>
          <w:p>
            <w:pPr>
              <w:jc w:val="center"/>
              <w:ind w:right="574"/>
              <w:spacing w:after="0"/>
              <w:rPr>
                <w:sz w:val="20"/>
                <w:szCs w:val="20"/>
                <w:color w:val="auto"/>
              </w:rPr>
            </w:pPr>
            <w:r>
              <w:rPr>
                <w:rFonts w:ascii="Arial" w:cs="Arial" w:eastAsia="Arial" w:hAnsi="Arial"/>
                <w:sz w:val="11"/>
                <w:szCs w:val="11"/>
                <w:b w:val="1"/>
                <w:bCs w:val="1"/>
                <w:color w:val="auto"/>
              </w:rPr>
              <w:t>DARE</w:t>
            </w:r>
          </w:p>
        </w:tc>
        <w:tc>
          <w:tcPr>
            <w:tcW w:w="140" w:type="dxa"/>
            <w:vAlign w:val="bottom"/>
          </w:tcPr>
          <w:p>
            <w:pPr>
              <w:spacing w:after="0"/>
              <w:rPr>
                <w:sz w:val="14"/>
                <w:szCs w:val="14"/>
                <w:color w:val="auto"/>
              </w:rPr>
            </w:pPr>
          </w:p>
        </w:tc>
        <w:tc>
          <w:tcPr>
            <w:tcW w:w="2380" w:type="dxa"/>
            <w:vAlign w:val="bottom"/>
          </w:tcPr>
          <w:p>
            <w:pPr>
              <w:ind w:left="580"/>
              <w:spacing w:after="0"/>
              <w:rPr>
                <w:sz w:val="20"/>
                <w:szCs w:val="20"/>
                <w:color w:val="auto"/>
              </w:rPr>
            </w:pPr>
            <w:r>
              <w:rPr>
                <w:rFonts w:ascii="Arial" w:cs="Arial" w:eastAsia="Arial" w:hAnsi="Arial"/>
                <w:sz w:val="11"/>
                <w:szCs w:val="11"/>
                <w:b w:val="1"/>
                <w:bCs w:val="1"/>
                <w:color w:val="auto"/>
              </w:rPr>
              <w:t>Nasdaq Capital Market</w:t>
            </w:r>
          </w:p>
        </w:tc>
      </w:tr>
      <w:tr>
        <w:trPr>
          <w:trHeight w:val="414"/>
        </w:trPr>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jc w:val="center"/>
              <w:ind w:right="34"/>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6" w:lineRule="exact"/>
        <w:rPr>
          <w:sz w:val="24"/>
          <w:szCs w:val="24"/>
          <w:color w:val="auto"/>
        </w:rPr>
      </w:pPr>
    </w:p>
    <w:p>
      <w:pPr>
        <w:ind w:left="520" w:right="4100"/>
        <w:spacing w:after="0" w:line="312" w:lineRule="auto"/>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p>
      <w:pPr>
        <w:ind w:right="60" w:firstLine="509"/>
        <w:spacing w:after="0" w:line="281" w:lineRule="auto"/>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 w:lineRule="exact"/>
        <w:rPr>
          <w:sz w:val="24"/>
          <w:szCs w:val="24"/>
          <w:color w:val="auto"/>
        </w:rPr>
      </w:pPr>
    </w:p>
    <w:p>
      <w:pPr>
        <w:ind w:right="100" w:firstLine="509"/>
        <w:spacing w:after="0" w:line="262" w:lineRule="auto"/>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0" w:lineRule="exact"/>
        <w:rPr>
          <w:sz w:val="24"/>
          <w:szCs w:val="24"/>
          <w:color w:val="auto"/>
        </w:rPr>
      </w:pPr>
    </w:p>
    <w:p>
      <w:pPr>
        <w:ind w:right="420" w:firstLine="509"/>
        <w:spacing w:after="0" w:line="28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17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340" w:type="dxa"/>
            <w:vAlign w:val="bottom"/>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3540" w:type="dxa"/>
            <w:vAlign w:val="bottom"/>
          </w:tcPr>
          <w:p>
            <w:pPr>
              <w:ind w:left="1600"/>
              <w:spacing w:after="0"/>
              <w:rPr>
                <w:sz w:val="20"/>
                <w:szCs w:val="20"/>
                <w:color w:val="auto"/>
              </w:rPr>
            </w:pPr>
            <w:r>
              <w:rPr>
                <w:rFonts w:ascii="Arial" w:cs="Arial" w:eastAsia="Arial" w:hAnsi="Arial"/>
                <w:sz w:val="11"/>
                <w:szCs w:val="11"/>
                <w:color w:val="auto"/>
              </w:rPr>
              <w:t>Accelerated filer</w:t>
            </w:r>
          </w:p>
        </w:tc>
        <w:tc>
          <w:tcPr>
            <w:tcW w:w="700" w:type="dxa"/>
            <w:vAlign w:val="bottom"/>
          </w:tcPr>
          <w:p>
            <w:pPr>
              <w:jc w:val="right"/>
              <w:spacing w:after="0" w:line="111" w:lineRule="exact"/>
              <w:rPr>
                <w:sz w:val="20"/>
                <w:szCs w:val="20"/>
                <w:color w:val="auto"/>
              </w:rPr>
            </w:pPr>
            <w:r>
              <w:rPr>
                <w:rFonts w:ascii="MS PGothic" w:cs="MS PGothic" w:eastAsia="MS PGothic" w:hAnsi="MS PGothic"/>
                <w:sz w:val="11"/>
                <w:szCs w:val="11"/>
                <w:color w:val="auto"/>
              </w:rPr>
              <w:t>☐</w:t>
            </w:r>
          </w:p>
        </w:tc>
      </w:tr>
      <w:tr>
        <w:trPr>
          <w:trHeight w:val="133"/>
        </w:trPr>
        <w:tc>
          <w:tcPr>
            <w:tcW w:w="1780" w:type="dxa"/>
            <w:vAlign w:val="bottom"/>
          </w:tcPr>
          <w:p>
            <w:pPr>
              <w:spacing w:after="0"/>
              <w:rPr>
                <w:sz w:val="20"/>
                <w:szCs w:val="20"/>
                <w:color w:val="auto"/>
              </w:rPr>
            </w:pPr>
            <w:r>
              <w:rPr>
                <w:rFonts w:ascii="Arial" w:cs="Arial" w:eastAsia="Arial" w:hAnsi="Arial"/>
                <w:sz w:val="11"/>
                <w:szCs w:val="11"/>
                <w:color w:val="auto"/>
              </w:rPr>
              <w:t>Non-accelerated filer</w:t>
            </w:r>
          </w:p>
        </w:tc>
        <w:tc>
          <w:tcPr>
            <w:tcW w:w="2340" w:type="dxa"/>
            <w:vAlign w:val="bottom"/>
          </w:tcPr>
          <w:p>
            <w:pPr>
              <w:ind w:left="600"/>
              <w:spacing w:after="0"/>
              <w:rPr>
                <w:sz w:val="20"/>
                <w:szCs w:val="20"/>
                <w:color w:val="auto"/>
              </w:rPr>
            </w:pPr>
            <w:r>
              <w:rPr>
                <w:rFonts w:ascii="Wingdings" w:cs="Wingdings" w:eastAsia="Wingdings" w:hAnsi="Wingdings"/>
                <w:sz w:val="11"/>
                <w:szCs w:val="11"/>
                <w:b w:val="1"/>
                <w:bCs w:val="1"/>
                <w:color w:val="auto"/>
              </w:rPr>
              <w:t>x</w:t>
            </w:r>
          </w:p>
        </w:tc>
        <w:tc>
          <w:tcPr>
            <w:tcW w:w="3540" w:type="dxa"/>
            <w:vAlign w:val="bottom"/>
          </w:tcPr>
          <w:p>
            <w:pPr>
              <w:ind w:left="160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jc w:val="right"/>
              <w:spacing w:after="0"/>
              <w:rPr>
                <w:sz w:val="20"/>
                <w:szCs w:val="20"/>
                <w:color w:val="auto"/>
              </w:rPr>
            </w:pPr>
            <w:r>
              <w:rPr>
                <w:rFonts w:ascii="Wingdings" w:cs="Wingdings" w:eastAsia="Wingdings" w:hAnsi="Wingdings"/>
                <w:sz w:val="11"/>
                <w:szCs w:val="11"/>
                <w:b w:val="1"/>
                <w:bCs w:val="1"/>
                <w:color w:val="auto"/>
              </w:rPr>
              <w:t>x</w:t>
            </w:r>
          </w:p>
        </w:tc>
      </w:tr>
      <w:tr>
        <w:trPr>
          <w:trHeight w:val="191"/>
        </w:trPr>
        <w:tc>
          <w:tcPr>
            <w:tcW w:w="17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540" w:type="dxa"/>
            <w:vAlign w:val="bottom"/>
          </w:tcPr>
          <w:p>
            <w:pPr>
              <w:ind w:left="1600"/>
              <w:spacing w:after="0"/>
              <w:rPr>
                <w:sz w:val="20"/>
                <w:szCs w:val="20"/>
                <w:color w:val="auto"/>
              </w:rPr>
            </w:pPr>
            <w:r>
              <w:rPr>
                <w:rFonts w:ascii="Arial" w:cs="Arial" w:eastAsia="Arial" w:hAnsi="Arial"/>
                <w:sz w:val="11"/>
                <w:szCs w:val="11"/>
                <w:color w:val="auto"/>
              </w:rPr>
              <w:t>Emerging growth company</w:t>
            </w:r>
          </w:p>
        </w:tc>
        <w:tc>
          <w:tcPr>
            <w:tcW w:w="700" w:type="dxa"/>
            <w:vAlign w:val="bottom"/>
          </w:tcPr>
          <w:p>
            <w:pPr>
              <w:jc w:val="right"/>
              <w:spacing w:after="0" w:line="111" w:lineRule="exact"/>
              <w:rPr>
                <w:sz w:val="20"/>
                <w:szCs w:val="20"/>
                <w:color w:val="auto"/>
              </w:rPr>
            </w:pPr>
            <w:r>
              <w:rPr>
                <w:rFonts w:ascii="MS PGothic" w:cs="MS PGothic" w:eastAsia="MS PGothic" w:hAnsi="MS PGothic"/>
                <w:sz w:val="11"/>
                <w:szCs w:val="11"/>
                <w:color w:val="auto"/>
              </w:rPr>
              <w:t>☐</w:t>
            </w:r>
          </w:p>
        </w:tc>
      </w:tr>
    </w:tbl>
    <w:p>
      <w:pPr>
        <w:spacing w:after="0" w:line="101" w:lineRule="exact"/>
        <w:rPr>
          <w:sz w:val="24"/>
          <w:szCs w:val="24"/>
          <w:color w:val="auto"/>
        </w:rPr>
      </w:pPr>
    </w:p>
    <w:p>
      <w:pPr>
        <w:ind w:firstLine="509"/>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right="380" w:firstLine="509"/>
        <w:spacing w:after="0" w:line="14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6" w:lineRule="exact"/>
        <w:rPr>
          <w:sz w:val="24"/>
          <w:szCs w:val="24"/>
          <w:color w:val="auto"/>
        </w:rPr>
      </w:pPr>
    </w:p>
    <w:p>
      <w:pPr>
        <w:ind w:right="320" w:firstLine="509"/>
        <w:spacing w:after="0" w:line="301" w:lineRule="auto"/>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ind w:right="280" w:firstLine="509"/>
        <w:spacing w:after="0" w:line="302" w:lineRule="auto"/>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ind w:left="52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p>
      <w:pPr>
        <w:spacing w:after="0" w:line="75" w:lineRule="exact"/>
        <w:rPr>
          <w:sz w:val="24"/>
          <w:szCs w:val="24"/>
          <w:color w:val="auto"/>
        </w:rPr>
      </w:pPr>
    </w:p>
    <w:p>
      <w:pPr>
        <w:ind w:left="520"/>
        <w:spacing w:after="0"/>
        <w:rPr>
          <w:sz w:val="20"/>
          <w:szCs w:val="20"/>
          <w:color w:val="auto"/>
        </w:rPr>
      </w:pPr>
      <w:r>
        <w:rPr>
          <w:rFonts w:ascii="Arial" w:cs="Arial" w:eastAsia="Arial" w:hAnsi="Arial"/>
          <w:sz w:val="11"/>
          <w:szCs w:val="11"/>
          <w:color w:val="auto"/>
        </w:rPr>
        <w:t>The aggregate market value of the registrant’s common stock held by non-affiliates of the registrant on the last business day of the registrant’s most recently completed second fiscal quarter was approximately</w:t>
      </w:r>
    </w:p>
    <w:p>
      <w:pPr>
        <w:spacing w:after="0" w:line="21" w:lineRule="exact"/>
        <w:rPr>
          <w:sz w:val="24"/>
          <w:szCs w:val="24"/>
          <w:color w:val="auto"/>
        </w:rPr>
      </w:pPr>
    </w:p>
    <w:p>
      <w:pPr>
        <w:spacing w:after="0"/>
        <w:rPr>
          <w:sz w:val="20"/>
          <w:szCs w:val="20"/>
          <w:color w:val="auto"/>
        </w:rPr>
      </w:pPr>
      <w:r>
        <w:rPr>
          <w:rFonts w:ascii="Arial" w:cs="Arial" w:eastAsia="Arial" w:hAnsi="Arial"/>
          <w:sz w:val="11"/>
          <w:szCs w:val="11"/>
          <w:color w:val="auto"/>
        </w:rPr>
        <w:t>$33,967,214 based on the closing price of the registrant's common stock as reported on the Nasdaq Capital Market on such day. This excludes shares of common stock held by affiliates on such date. Exclusion of shares held</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color w:val="auto"/>
        </w:rPr>
        <w:t>by any person should not be construed to indicate that such person possesses the power directly, or indirectly, to direct or cause the direction of the management or policies of the registrant, or that such person is controlled by</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color w:val="auto"/>
        </w:rPr>
        <w:t>or under common control with the registrant. The determination of affiliate status for this purpose may not be conclusive for other purposes.</w:t>
      </w:r>
    </w:p>
    <w:p>
      <w:pPr>
        <w:spacing w:after="0" w:line="267" w:lineRule="exact"/>
        <w:rPr>
          <w:sz w:val="24"/>
          <w:szCs w:val="24"/>
          <w:color w:val="auto"/>
        </w:rPr>
      </w:pPr>
    </w:p>
    <w:p>
      <w:pPr>
        <w:ind w:left="520"/>
        <w:spacing w:after="0"/>
        <w:rPr>
          <w:sz w:val="20"/>
          <w:szCs w:val="20"/>
          <w:color w:val="auto"/>
        </w:rPr>
      </w:pPr>
      <w:r>
        <w:rPr>
          <w:rFonts w:ascii="Arial" w:cs="Arial" w:eastAsia="Arial" w:hAnsi="Arial"/>
          <w:sz w:val="11"/>
          <w:szCs w:val="11"/>
          <w:color w:val="auto"/>
        </w:rPr>
        <w:t>As of March 28, 2025, there were 8,850,386 shares of the registrant’s common stock, par value $0.0001 per share, outstanding.</w:t>
      </w:r>
    </w:p>
    <w:p>
      <w:pPr>
        <w:spacing w:after="0" w:line="141" w:lineRule="exact"/>
        <w:rPr>
          <w:sz w:val="24"/>
          <w:szCs w:val="24"/>
          <w:color w:val="auto"/>
        </w:rPr>
      </w:pPr>
    </w:p>
    <w:p>
      <w:pPr>
        <w:jc w:val="center"/>
        <w:ind w:left="5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4" w:lineRule="exact"/>
        <w:rPr>
          <w:sz w:val="24"/>
          <w:szCs w:val="24"/>
          <w:color w:val="auto"/>
        </w:rPr>
      </w:pPr>
    </w:p>
    <w:p>
      <w:pPr>
        <w:ind w:right="180" w:firstLine="509"/>
        <w:spacing w:after="0" w:line="303" w:lineRule="auto"/>
        <w:rPr>
          <w:sz w:val="20"/>
          <w:szCs w:val="20"/>
          <w:color w:val="auto"/>
        </w:rPr>
      </w:pPr>
      <w:r>
        <w:rPr>
          <w:rFonts w:ascii="Arial" w:cs="Arial" w:eastAsia="Arial" w:hAnsi="Arial"/>
          <w:sz w:val="11"/>
          <w:szCs w:val="11"/>
          <w:color w:val="auto"/>
        </w:rPr>
        <w:t>Portions of the registrant’s definitive proxy statement relating to its 2025 annual meeting of shareholders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340995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1" w:name="page2"/>
    <w:bookmarkEnd w:id="1"/>
    <w:p>
      <w:pPr>
        <w:ind w:left="4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499745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520065</wp:posOffset>
            </wp:positionV>
            <wp:extent cx="71481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6985"/>
                    </a:xfrm>
                    <a:prstGeom prst="rect">
                      <a:avLst/>
                    </a:prstGeom>
                    <a:noFill/>
                  </pic:spPr>
                </pic:pic>
              </a:graphicData>
            </a:graphic>
          </wp:anchor>
        </w:drawing>
        <w:t>Daré Bioscience, Inc. and Subsidiaries</w:t>
      </w:r>
    </w:p>
    <w:p>
      <w:pPr>
        <w:spacing w:after="0" w:line="5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Form 10-K – ANNUAL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Page</w:t>
            </w:r>
          </w:p>
        </w:tc>
      </w:tr>
      <w:tr>
        <w:trPr>
          <w:trHeight w:val="154"/>
        </w:trPr>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11"/>
          </w:tcPr>
          <w:p>
            <w:pPr>
              <w:jc w:val="center"/>
              <w:ind w:right="3560"/>
              <w:spacing w:after="0" w:line="149" w:lineRule="exact"/>
              <w:rPr>
                <w:sz w:val="20"/>
                <w:szCs w:val="20"/>
                <w:color w:val="auto"/>
              </w:rPr>
            </w:pPr>
            <w:r>
              <w:rPr>
                <w:rFonts w:ascii="Arial" w:cs="Arial" w:eastAsia="Arial" w:hAnsi="Arial"/>
                <w:sz w:val="14"/>
                <w:szCs w:val="14"/>
                <w:b w:val="1"/>
                <w:bCs w:val="1"/>
                <w:color w:val="0000FF"/>
                <w:w w:val="95"/>
              </w:rPr>
              <w:t>PART I</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w:t>
            </w:r>
          </w:p>
        </w:tc>
        <w:tc>
          <w:tcPr>
            <w:tcW w:w="20" w:type="dxa"/>
            <w:vAlign w:val="bottom"/>
          </w:tcPr>
          <w:p>
            <w:pPr>
              <w:spacing w:after="0"/>
              <w:rPr>
                <w:sz w:val="13"/>
                <w:szCs w:val="13"/>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1.</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Business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5</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1A.</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Risk Factors</w:t>
            </w:r>
          </w:p>
        </w:tc>
        <w:tc>
          <w:tcPr>
            <w:tcW w:w="174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0000FF"/>
              </w:rPr>
              <w:t>58</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1B.</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Unresolved Staff Comments</w:t>
            </w:r>
          </w:p>
        </w:tc>
        <w:tc>
          <w:tcPr>
            <w:tcW w:w="1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112</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1C.</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Cybersecurity</w:t>
            </w:r>
          </w:p>
        </w:tc>
        <w:tc>
          <w:tcPr>
            <w:tcW w:w="174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0000FF"/>
              </w:rPr>
              <w:t>112</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2.</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Properties</w:t>
            </w:r>
          </w:p>
        </w:tc>
        <w:tc>
          <w:tcPr>
            <w:tcW w:w="1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113</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3.</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Legal Proceedings</w:t>
            </w:r>
          </w:p>
        </w:tc>
        <w:tc>
          <w:tcPr>
            <w:tcW w:w="174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0000FF"/>
              </w:rPr>
              <w:t>113</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4.</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Mine Safety Disclosures</w:t>
            </w:r>
          </w:p>
        </w:tc>
        <w:tc>
          <w:tcPr>
            <w:tcW w:w="1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113</w:t>
            </w: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24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54"/>
        </w:trPr>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11"/>
          </w:tcPr>
          <w:p>
            <w:pPr>
              <w:jc w:val="center"/>
              <w:ind w:right="3560"/>
              <w:spacing w:after="0" w:line="149" w:lineRule="exact"/>
              <w:rPr>
                <w:sz w:val="20"/>
                <w:szCs w:val="20"/>
                <w:color w:val="auto"/>
              </w:rPr>
            </w:pPr>
            <w:r>
              <w:rPr>
                <w:rFonts w:ascii="Arial" w:cs="Arial" w:eastAsia="Arial" w:hAnsi="Arial"/>
                <w:sz w:val="14"/>
                <w:szCs w:val="14"/>
                <w:b w:val="1"/>
                <w:bCs w:val="1"/>
                <w:color w:val="0000FF"/>
                <w:w w:val="96"/>
              </w:rPr>
              <w:t>PART II</w:t>
            </w:r>
          </w:p>
        </w:tc>
        <w:tc>
          <w:tcPr>
            <w:tcW w:w="1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114</w:t>
            </w: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5.</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114</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6.</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Reserved</w:t>
            </w:r>
          </w:p>
        </w:tc>
        <w:tc>
          <w:tcPr>
            <w:tcW w:w="174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0000FF"/>
              </w:rPr>
              <w:t>114</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7.</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114</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7A.</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172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0000FF"/>
              </w:rPr>
              <w:t>131</w:t>
            </w:r>
          </w:p>
        </w:tc>
        <w:tc>
          <w:tcPr>
            <w:tcW w:w="20" w:type="dxa"/>
            <w:vAlign w:val="bottom"/>
            <w:shd w:val="clear" w:color="auto" w:fill="CCEEFF"/>
          </w:tcPr>
          <w:p>
            <w:pPr>
              <w:spacing w:after="0"/>
              <w:rPr>
                <w:sz w:val="13"/>
                <w:szCs w:val="13"/>
                <w:color w:val="auto"/>
              </w:rPr>
            </w:pP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8.</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Financial Statements and Supplementary Data</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131</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9.</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Changes in and Disagreement With Accountants on Accounting and Financial Disclosure</w:t>
            </w:r>
          </w:p>
        </w:tc>
        <w:tc>
          <w:tcPr>
            <w:tcW w:w="172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0000FF"/>
              </w:rPr>
              <w:t>131</w:t>
            </w:r>
          </w:p>
        </w:tc>
        <w:tc>
          <w:tcPr>
            <w:tcW w:w="20" w:type="dxa"/>
            <w:vAlign w:val="bottom"/>
            <w:shd w:val="clear" w:color="auto" w:fill="CCEEFF"/>
          </w:tcPr>
          <w:p>
            <w:pPr>
              <w:spacing w:after="0"/>
              <w:rPr>
                <w:sz w:val="13"/>
                <w:szCs w:val="13"/>
                <w:color w:val="auto"/>
              </w:rPr>
            </w:pP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9A.</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Controls and Procedures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131</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9B.</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Other Information</w:t>
            </w:r>
          </w:p>
        </w:tc>
        <w:tc>
          <w:tcPr>
            <w:tcW w:w="172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0000FF"/>
              </w:rPr>
              <w:t>132</w:t>
            </w:r>
          </w:p>
        </w:tc>
        <w:tc>
          <w:tcPr>
            <w:tcW w:w="20" w:type="dxa"/>
            <w:vAlign w:val="bottom"/>
            <w:shd w:val="clear" w:color="auto" w:fill="CCEEFF"/>
          </w:tcPr>
          <w:p>
            <w:pPr>
              <w:spacing w:after="0"/>
              <w:rPr>
                <w:sz w:val="13"/>
                <w:szCs w:val="13"/>
                <w:color w:val="auto"/>
              </w:rPr>
            </w:pP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0000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9C.</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Disclosure Regarding Foreign Jurisdictions That Prevent Inspections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24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72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54"/>
        </w:trPr>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12"/>
          </w:tcPr>
          <w:p>
            <w:pPr>
              <w:jc w:val="center"/>
              <w:ind w:right="3540"/>
              <w:spacing w:after="0" w:line="149" w:lineRule="exact"/>
              <w:rPr>
                <w:sz w:val="20"/>
                <w:szCs w:val="20"/>
                <w:color w:val="auto"/>
              </w:rPr>
            </w:pPr>
            <w:r>
              <w:rPr>
                <w:rFonts w:ascii="Arial" w:cs="Arial" w:eastAsia="Arial" w:hAnsi="Arial"/>
                <w:sz w:val="14"/>
                <w:szCs w:val="14"/>
                <w:b w:val="1"/>
                <w:bCs w:val="1"/>
                <w:color w:val="0000FF"/>
                <w:w w:val="96"/>
              </w:rPr>
              <w:t>PART III</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133</w:t>
            </w:r>
          </w:p>
        </w:tc>
        <w:tc>
          <w:tcPr>
            <w:tcW w:w="20" w:type="dxa"/>
            <w:vAlign w:val="bottom"/>
          </w:tcPr>
          <w:p>
            <w:pPr>
              <w:spacing w:after="0"/>
              <w:rPr>
                <w:sz w:val="13"/>
                <w:szCs w:val="13"/>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10.</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Directors, Executive Officers and Corporate Governance</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133</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11.</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Executive Compensation</w:t>
            </w:r>
          </w:p>
        </w:tc>
        <w:tc>
          <w:tcPr>
            <w:tcW w:w="172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0000FF"/>
              </w:rPr>
              <w:t>133</w:t>
            </w:r>
          </w:p>
        </w:tc>
        <w:tc>
          <w:tcPr>
            <w:tcW w:w="20" w:type="dxa"/>
            <w:vAlign w:val="bottom"/>
            <w:shd w:val="clear" w:color="auto" w:fill="CCEEFF"/>
          </w:tcPr>
          <w:p>
            <w:pPr>
              <w:spacing w:after="0"/>
              <w:rPr>
                <w:sz w:val="13"/>
                <w:szCs w:val="13"/>
                <w:color w:val="auto"/>
              </w:rPr>
            </w:pP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12.</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133</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13.</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Certain Relationships and Related Transactions, and Director Independence</w:t>
            </w:r>
          </w:p>
        </w:tc>
        <w:tc>
          <w:tcPr>
            <w:tcW w:w="172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0000FF"/>
              </w:rPr>
              <w:t>133</w:t>
            </w:r>
          </w:p>
        </w:tc>
        <w:tc>
          <w:tcPr>
            <w:tcW w:w="20" w:type="dxa"/>
            <w:vAlign w:val="bottom"/>
            <w:shd w:val="clear" w:color="auto" w:fill="CCEEFF"/>
          </w:tcPr>
          <w:p>
            <w:pPr>
              <w:spacing w:after="0"/>
              <w:rPr>
                <w:sz w:val="13"/>
                <w:szCs w:val="13"/>
                <w:color w:val="auto"/>
              </w:rPr>
            </w:pP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14.</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Principal Accountant Fees and Services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133</w:t>
            </w:r>
          </w:p>
        </w:tc>
        <w:tc>
          <w:tcPr>
            <w:tcW w:w="20" w:type="dxa"/>
            <w:vAlign w:val="bottom"/>
          </w:tcPr>
          <w:p>
            <w:pPr>
              <w:spacing w:after="0"/>
              <w:rPr>
                <w:sz w:val="13"/>
                <w:szCs w:val="13"/>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24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720" w:type="dxa"/>
            <w:vAlign w:val="bottom"/>
            <w:tcBorders>
              <w:top w:val="single" w:sz="8" w:color="0000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54"/>
        </w:trPr>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80" w:type="dxa"/>
            <w:vAlign w:val="bottom"/>
            <w:gridSpan w:val="13"/>
          </w:tcPr>
          <w:p>
            <w:pPr>
              <w:jc w:val="center"/>
              <w:ind w:right="3520"/>
              <w:spacing w:after="0" w:line="149" w:lineRule="exact"/>
              <w:rPr>
                <w:sz w:val="20"/>
                <w:szCs w:val="20"/>
                <w:color w:val="auto"/>
              </w:rPr>
            </w:pPr>
            <w:r>
              <w:rPr>
                <w:rFonts w:ascii="Arial" w:cs="Arial" w:eastAsia="Arial" w:hAnsi="Arial"/>
                <w:sz w:val="14"/>
                <w:szCs w:val="14"/>
                <w:b w:val="1"/>
                <w:bCs w:val="1"/>
                <w:color w:val="0000FF"/>
              </w:rPr>
              <w:t>PART IV</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134</w:t>
            </w:r>
          </w:p>
        </w:tc>
        <w:tc>
          <w:tcPr>
            <w:tcW w:w="20" w:type="dxa"/>
            <w:vAlign w:val="bottom"/>
          </w:tcPr>
          <w:p>
            <w:pPr>
              <w:spacing w:after="0"/>
              <w:rPr>
                <w:sz w:val="13"/>
                <w:szCs w:val="13"/>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9"/>
        </w:trPr>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ITEM 15.</w:t>
            </w: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Exhibits and Financial Statement Schedules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134</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ITEM 16.</w:t>
            </w: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Form 10-K Summary</w:t>
            </w:r>
          </w:p>
        </w:tc>
        <w:tc>
          <w:tcPr>
            <w:tcW w:w="172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0000FF"/>
              </w:rPr>
              <w:t>140</w:t>
            </w:r>
          </w:p>
        </w:tc>
        <w:tc>
          <w:tcPr>
            <w:tcW w:w="20" w:type="dxa"/>
            <w:vAlign w:val="bottom"/>
            <w:shd w:val="clear" w:color="auto" w:fill="CCEEFF"/>
          </w:tcPr>
          <w:p>
            <w:pPr>
              <w:spacing w:after="0"/>
              <w:rPr>
                <w:sz w:val="13"/>
                <w:szCs w:val="13"/>
                <w:color w:val="auto"/>
              </w:rPr>
            </w:pP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CCEEFF"/>
            </w:tcBorders>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8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20" w:type="dxa"/>
            <w:vAlign w:val="bottom"/>
          </w:tcPr>
          <w:p>
            <w:pPr>
              <w:spacing w:after="0"/>
              <w:rPr>
                <w:sz w:val="12"/>
                <w:szCs w:val="12"/>
                <w:color w:val="auto"/>
              </w:rPr>
            </w:pPr>
          </w:p>
        </w:tc>
        <w:tc>
          <w:tcPr>
            <w:tcW w:w="8520" w:type="dxa"/>
            <w:vAlign w:val="bottom"/>
            <w:gridSpan w:val="28"/>
          </w:tcPr>
          <w:p>
            <w:pPr>
              <w:ind w:left="420"/>
              <w:spacing w:after="0" w:line="149" w:lineRule="exact"/>
              <w:rPr>
                <w:sz w:val="20"/>
                <w:szCs w:val="20"/>
                <w:color w:val="auto"/>
              </w:rPr>
            </w:pPr>
            <w:r>
              <w:rPr>
                <w:rFonts w:ascii="Arial" w:cs="Arial" w:eastAsia="Arial" w:hAnsi="Arial"/>
                <w:sz w:val="14"/>
                <w:szCs w:val="14"/>
                <w:color w:val="0000FF"/>
              </w:rPr>
              <w:t>Signatures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141</w:t>
            </w:r>
          </w:p>
        </w:tc>
        <w:tc>
          <w:tcPr>
            <w:tcW w:w="20" w:type="dxa"/>
            <w:vAlign w:val="bottom"/>
          </w:tcPr>
          <w:p>
            <w:pPr>
              <w:spacing w:after="0"/>
              <w:rPr>
                <w:sz w:val="12"/>
                <w:szCs w:val="12"/>
                <w:color w:val="auto"/>
              </w:rPr>
            </w:pP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rPr>
                <w:sz w:val="14"/>
                <w:szCs w:val="14"/>
                <w:color w:val="auto"/>
              </w:rPr>
            </w:pPr>
          </w:p>
        </w:tc>
        <w:tc>
          <w:tcPr>
            <w:tcW w:w="8520" w:type="dxa"/>
            <w:vAlign w:val="bottom"/>
            <w:gridSpan w:val="28"/>
            <w:shd w:val="clear" w:color="auto" w:fill="CCEEFF"/>
          </w:tcPr>
          <w:p>
            <w:pPr>
              <w:ind w:left="420"/>
              <w:spacing w:after="0" w:line="155" w:lineRule="exact"/>
              <w:rPr>
                <w:sz w:val="20"/>
                <w:szCs w:val="20"/>
                <w:color w:val="auto"/>
              </w:rPr>
            </w:pPr>
            <w:r>
              <w:rPr>
                <w:rFonts w:ascii="Arial" w:cs="Arial" w:eastAsia="Arial" w:hAnsi="Arial"/>
                <w:sz w:val="14"/>
                <w:szCs w:val="14"/>
                <w:color w:val="0000FF"/>
              </w:rPr>
              <w:t>Financial Statements</w:t>
            </w:r>
          </w:p>
        </w:tc>
        <w:tc>
          <w:tcPr>
            <w:tcW w:w="158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000FF"/>
                <w:w w:val="72"/>
              </w:rPr>
              <w:t>F-1</w:t>
            </w:r>
          </w:p>
        </w:tc>
      </w:tr>
      <w:tr>
        <w:trPr>
          <w:trHeight w:val="861"/>
        </w:trPr>
        <w:tc>
          <w:tcPr>
            <w:tcW w:w="10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15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This Annual Report on Form 10-K, in particular ITEM 1. "BUSINESS,"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14"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1A, "RISK FACTORS,” in this report, and elsewhere in this report. Given these uncertainties, you should not place undue reliance on any forward-looking statement. The following factors are among those that may cause such differences:</w:t>
      </w:r>
    </w:p>
    <w:p>
      <w:pPr>
        <w:spacing w:after="0" w:line="76"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7"/>
          <w:szCs w:val="17"/>
          <w:i w:val="1"/>
          <w:iCs w:val="1"/>
          <w:color w:val="auto"/>
        </w:rPr>
      </w:pPr>
      <w:r>
        <w:rPr>
          <w:rFonts w:ascii="Arial" w:cs="Arial" w:eastAsia="Arial" w:hAnsi="Arial"/>
          <w:sz w:val="14"/>
          <w:szCs w:val="14"/>
          <w:i w:val="1"/>
          <w:iCs w:val="1"/>
          <w:color w:val="auto"/>
        </w:rPr>
        <w:t>Inability to raise additional capital, under favorable terms or at all, to fund our operating needs and continue as a going concern;</w:t>
      </w:r>
    </w:p>
    <w:p>
      <w:pPr>
        <w:spacing w:after="0" w:line="101" w:lineRule="exact"/>
        <w:rPr>
          <w:rFonts w:ascii="Arial" w:cs="Arial" w:eastAsia="Arial" w:hAnsi="Arial"/>
          <w:sz w:val="17"/>
          <w:szCs w:val="17"/>
          <w:i w:val="1"/>
          <w:iCs w:val="1"/>
          <w:color w:val="auto"/>
        </w:rPr>
      </w:pPr>
    </w:p>
    <w:p>
      <w:pPr>
        <w:ind w:left="500" w:hanging="240"/>
        <w:spacing w:after="0"/>
        <w:tabs>
          <w:tab w:leader="none" w:pos="500" w:val="left"/>
        </w:tabs>
        <w:numPr>
          <w:ilvl w:val="0"/>
          <w:numId w:val="3"/>
        </w:numPr>
        <w:rPr>
          <w:rFonts w:ascii="Arial" w:cs="Arial" w:eastAsia="Arial" w:hAnsi="Arial"/>
          <w:sz w:val="17"/>
          <w:szCs w:val="17"/>
          <w:i w:val="1"/>
          <w:iCs w:val="1"/>
          <w:color w:val="auto"/>
        </w:rPr>
      </w:pPr>
      <w:r>
        <w:rPr>
          <w:rFonts w:ascii="Arial" w:cs="Arial" w:eastAsia="Arial" w:hAnsi="Arial"/>
          <w:sz w:val="14"/>
          <w:szCs w:val="14"/>
          <w:i w:val="1"/>
          <w:iCs w:val="1"/>
          <w:color w:val="auto"/>
        </w:rPr>
        <w:t>Failure to maintain the listing of our common stock on the Nasdaq Capital Market or another nationally recognized exchange;</w:t>
      </w:r>
    </w:p>
    <w:p>
      <w:pPr>
        <w:spacing w:after="0" w:line="90" w:lineRule="exact"/>
        <w:rPr>
          <w:rFonts w:ascii="Arial" w:cs="Arial" w:eastAsia="Arial" w:hAnsi="Arial"/>
          <w:sz w:val="17"/>
          <w:szCs w:val="17"/>
          <w:i w:val="1"/>
          <w:iCs w:val="1"/>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number and scope of product development programs we pursue;</w:t>
      </w:r>
    </w:p>
    <w:p>
      <w:pPr>
        <w:spacing w:after="0" w:line="28" w:lineRule="exact"/>
        <w:rPr>
          <w:rFonts w:ascii="Arial" w:cs="Arial" w:eastAsia="Arial" w:hAnsi="Arial"/>
          <w:sz w:val="17"/>
          <w:szCs w:val="17"/>
          <w:color w:val="auto"/>
        </w:rPr>
      </w:pPr>
    </w:p>
    <w:p>
      <w:pPr>
        <w:ind w:left="520" w:hanging="260"/>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Difficulties or delays in commencement or completion, or the termination or suspension, of our current or planned clinical or preclinical studies;</w:t>
      </w:r>
    </w:p>
    <w:p>
      <w:pPr>
        <w:spacing w:after="0" w:line="51" w:lineRule="exact"/>
        <w:rPr>
          <w:rFonts w:ascii="Arial" w:cs="Arial" w:eastAsia="Arial" w:hAnsi="Arial"/>
          <w:sz w:val="14"/>
          <w:szCs w:val="14"/>
          <w:i w:val="1"/>
          <w:iCs w:val="1"/>
          <w:color w:val="auto"/>
        </w:rPr>
      </w:pPr>
    </w:p>
    <w:p>
      <w:pPr>
        <w:ind w:left="520" w:hanging="260"/>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Clinical trial outcomes and results of preclinical development;</w:t>
      </w:r>
    </w:p>
    <w:p>
      <w:pPr>
        <w:spacing w:after="0" w:line="83" w:lineRule="exact"/>
        <w:rPr>
          <w:rFonts w:ascii="Arial" w:cs="Arial" w:eastAsia="Arial" w:hAnsi="Arial"/>
          <w:sz w:val="14"/>
          <w:szCs w:val="14"/>
          <w:i w:val="1"/>
          <w:iCs w:val="1"/>
          <w:color w:val="auto"/>
        </w:rPr>
      </w:pPr>
    </w:p>
    <w:p>
      <w:pPr>
        <w:ind w:left="520" w:hanging="260"/>
        <w:spacing w:after="0" w:line="238"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Failure to complete development of our product candidates or submit and obtain United States Food and Drug Administration, or FDA, or foreign regulatory authority approval for our product candidates on projected timelines or budgets, or at all;</w:t>
      </w:r>
    </w:p>
    <w:p>
      <w:pPr>
        <w:spacing w:after="0" w:line="60"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performance of third parties on which we rely to conduct nonclinical studies and clinical trials of our product candidates;</w:t>
      </w:r>
    </w:p>
    <w:p>
      <w:pPr>
        <w:spacing w:after="0" w:line="28" w:lineRule="exact"/>
        <w:rPr>
          <w:rFonts w:ascii="Arial" w:cs="Arial" w:eastAsia="Arial" w:hAnsi="Arial"/>
          <w:sz w:val="17"/>
          <w:szCs w:val="17"/>
          <w:color w:val="auto"/>
        </w:rPr>
      </w:pPr>
    </w:p>
    <w:p>
      <w:pPr>
        <w:ind w:left="520" w:hanging="260"/>
        <w:spacing w:after="0" w:line="284"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enter into arrangements with outsourcing facilities on commercially reasonable terms required to compound and distribute the compounded drugs that we seek to make available under Section 503B of the Federal Food, Drug, and Cosmetic Act, or FDCA;</w:t>
      </w:r>
    </w:p>
    <w:p>
      <w:pPr>
        <w:ind w:left="520" w:hanging="260"/>
        <w:spacing w:after="0" w:line="284"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ind w:left="520" w:hanging="260"/>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performance of third parties on which we will rely to bring to market, or assist us in bringing to market, compounded drugs;</w:t>
      </w:r>
    </w:p>
    <w:p>
      <w:pPr>
        <w:spacing w:after="0" w:line="51" w:lineRule="exact"/>
        <w:rPr>
          <w:rFonts w:ascii="Arial" w:cs="Arial" w:eastAsia="Arial" w:hAnsi="Arial"/>
          <w:sz w:val="14"/>
          <w:szCs w:val="14"/>
          <w:i w:val="1"/>
          <w:iCs w:val="1"/>
          <w:color w:val="auto"/>
        </w:rPr>
      </w:pPr>
    </w:p>
    <w:p>
      <w:pPr>
        <w:ind w:left="520" w:hanging="260"/>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change in regulatory requirements related to compounded drugs under Section 503B of the FDCA;</w:t>
      </w:r>
    </w:p>
    <w:p>
      <w:pPr>
        <w:spacing w:after="0" w:line="83" w:lineRule="exact"/>
        <w:rPr>
          <w:rFonts w:ascii="Arial" w:cs="Arial" w:eastAsia="Arial" w:hAnsi="Arial"/>
          <w:sz w:val="14"/>
          <w:szCs w:val="14"/>
          <w:i w:val="1"/>
          <w:iCs w:val="1"/>
          <w:color w:val="auto"/>
        </w:rPr>
      </w:pPr>
    </w:p>
    <w:p>
      <w:pPr>
        <w:ind w:left="520" w:hanging="260"/>
        <w:spacing w:after="0" w:line="251"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Our failure, or a failure of a strategic collaborator, to successfully commercialize our product candidates, if approved, or our failure to otherwise monetize our portfolio programs and assets;</w:t>
      </w:r>
    </w:p>
    <w:p>
      <w:pPr>
        <w:spacing w:after="0" w:line="51" w:lineRule="exact"/>
        <w:rPr>
          <w:rFonts w:ascii="Arial" w:cs="Arial" w:eastAsia="Arial" w:hAnsi="Arial"/>
          <w:sz w:val="17"/>
          <w:szCs w:val="17"/>
          <w:color w:val="auto"/>
        </w:rPr>
      </w:pPr>
    </w:p>
    <w:p>
      <w:pPr>
        <w:jc w:val="both"/>
        <w:ind w:left="520" w:hanging="260"/>
        <w:spacing w:after="0" w:line="244"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Termination by a collaborator of our respective out-license agreements for commercialization of XACIATO™ (clindamycin phosphate) vaginal gel 2%, or XACIATO, and Ovaprene®, or, in the case of Ovaprene, a decision by the collaborator not to make the license grant fully effective following its review of the results of the ongoing pivotal clinical trial of Ovaprene;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3" w:name="page4"/>
    <w:bookmarkEnd w:id="3"/>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The timing and amount of future royalty, milestone or other payments to us, if any, under our out-license agreement for Ovaprene, and of upside-sharing milestone payments from XOMA under our traditional and synthetic royalty purchase agreements, if any;</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The performance of third parties on which we rely to commercialize, or assist us in commercializing, XACIATO and any future product;</w:t>
      </w:r>
    </w:p>
    <w:p>
      <w:pPr>
        <w:spacing w:after="0" w:line="60" w:lineRule="exact"/>
        <w:rPr>
          <w:rFonts w:ascii="Arial" w:cs="Arial" w:eastAsia="Arial" w:hAnsi="Arial"/>
          <w:sz w:val="17"/>
          <w:szCs w:val="17"/>
          <w:color w:val="auto"/>
        </w:rPr>
      </w:pPr>
    </w:p>
    <w:p>
      <w:pPr>
        <w:ind w:left="260" w:hanging="260"/>
        <w:spacing w:after="0" w:line="251"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Difficulties with maintaining existing collaborations relating to the development and/or commercialization of our product candidates, or establishing new ones on a timely basis or on acceptable terms, or at all;</w:t>
      </w:r>
    </w:p>
    <w:p>
      <w:pPr>
        <w:spacing w:after="0" w:line="40"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The terms and conditions of any future strategic collaborations relating to our product candidates;</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The degree of market acceptance that XACIATO and any future product achieves;</w:t>
      </w:r>
    </w:p>
    <w:p>
      <w:pPr>
        <w:spacing w:after="0" w:line="60"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Coverage and reimbursement levels for XACIATO and any future product by government health care programs, private health insurance companies and other third-party payors;</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Our loss of, or inability to attract, key personnel;</w:t>
      </w:r>
    </w:p>
    <w:p>
      <w:pPr>
        <w:spacing w:after="0" w:line="60" w:lineRule="exact"/>
        <w:rPr>
          <w:rFonts w:ascii="Arial" w:cs="Arial" w:eastAsia="Arial" w:hAnsi="Arial"/>
          <w:sz w:val="17"/>
          <w:szCs w:val="17"/>
          <w:color w:val="auto"/>
        </w:rPr>
      </w:pPr>
    </w:p>
    <w:p>
      <w:pPr>
        <w:ind w:left="260" w:hanging="260"/>
        <w:spacing w:after="0" w:line="251"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A change in the FDA's prior determination that the Center for Devices and Radiological Health would lead the review of a premarket approval application for potential marketing approval of Ovaprene;</w:t>
      </w:r>
    </w:p>
    <w:p>
      <w:pPr>
        <w:spacing w:after="0" w:line="51"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A change in regulatory requirements for our product candidates, including the development pathway pursuant to Section 505(b)(2) of the FDCA, or the FDA's 505(b)(2) pathway;</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Unfavorable differences between preliminary, interim or topline clinical study data reported by us and final study results;</w:t>
      </w:r>
    </w:p>
    <w:p>
      <w:pPr>
        <w:spacing w:after="0" w:line="60" w:lineRule="exact"/>
        <w:rPr>
          <w:rFonts w:ascii="Arial" w:cs="Arial" w:eastAsia="Arial" w:hAnsi="Arial"/>
          <w:sz w:val="17"/>
          <w:szCs w:val="17"/>
          <w:color w:val="auto"/>
        </w:rPr>
      </w:pPr>
    </w:p>
    <w:p>
      <w:pPr>
        <w:jc w:val="both"/>
        <w:ind w:left="260" w:hanging="260"/>
        <w:spacing w:after="0" w:line="244"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spacing w:after="0" w:line="57"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Loss or impairment of our in-licensed rights to develop and commercialize XACIATO and our product candidates;</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The timing and amount of our payment and other obligations under our in-license and acquisition agreements for XACIATO and our product candidates;</w:t>
      </w:r>
    </w:p>
    <w:p>
      <w:pPr>
        <w:spacing w:after="0" w:line="59"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Developments by our competitors that make XACIATO, or any potential product we develop, less competitive or obsolete;</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Unfavorable or unanticipated macroeconomic factors, geopolitical events or conflicts, public health emergencies, or natural disasters;</w:t>
      </w:r>
    </w:p>
    <w:p>
      <w:pPr>
        <w:spacing w:after="0" w:line="60"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Weak interest in women's health relative to other healthcare sectors from the investment community or from pharmaceutical companies and other potential development and commercialization collaborators;</w:t>
      </w:r>
    </w:p>
    <w:p>
      <w:pPr>
        <w:spacing w:after="0" w:line="60"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Cyber-attacks, security breaches or similar events compromising our technology systems and data, our financial resources and other assets, or the technology systems and data of third parties on which we rely;</w:t>
      </w:r>
    </w:p>
    <w:p>
      <w:pPr>
        <w:spacing w:after="0" w:line="48"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Difficulty in introducing branded products in a market made up of generic products;</w:t>
      </w:r>
    </w:p>
    <w:p>
      <w:pPr>
        <w:spacing w:after="0" w:line="59"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Inability to adequately protect or enforce our, or our licensor’s, intellectual property rights;</w:t>
      </w:r>
    </w:p>
    <w:p>
      <w:pPr>
        <w:spacing w:after="0" w:line="60"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Lack of patent protection for the active ingredients in XACIATO and certain of our product candidates that expose them to competition from other formulations using the same active ingredients;</w:t>
      </w:r>
    </w:p>
    <w:p>
      <w:pPr>
        <w:spacing w:after="0" w:line="60" w:lineRule="exact"/>
        <w:rPr>
          <w:rFonts w:ascii="Arial" w:cs="Arial" w:eastAsia="Arial" w:hAnsi="Arial"/>
          <w:sz w:val="17"/>
          <w:szCs w:val="17"/>
          <w:color w:val="auto"/>
        </w:rPr>
      </w:pPr>
    </w:p>
    <w:p>
      <w:pPr>
        <w:ind w:left="260" w:hanging="260"/>
        <w:spacing w:after="0" w:line="23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Higher risk of failure associated with product candidates in preclinical stages of development that may lead investors to assign them little to no value and make these assets difficult to fund;</w:t>
      </w:r>
    </w:p>
    <w:p>
      <w:pPr>
        <w:spacing w:after="0" w:line="32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710" w:right="319" w:bottom="1440" w:gutter="0" w:footer="0" w:header="0"/>
        </w:sectPr>
      </w:pPr>
    </w:p>
    <w:bookmarkStart w:id="4" w:name="page5"/>
    <w:bookmarkEnd w:id="4"/>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Dependence on grants and other financial awards from governmental entities and private foundations to advance the development of several of our product candidates;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Disputes or other developments concerning our intellectual property rights;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Actual and anticipated fluctuations in our quarterly or annual operating results or results that differ from investors' expectations for such results;</w:t>
      </w:r>
    </w:p>
    <w:p>
      <w:pPr>
        <w:spacing w:after="0" w:line="70"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Price and volume fluctuations in the stock market, and in our stock in particular, which could cause investors to experience losses and subject us to securities class-action litigation;</w:t>
      </w:r>
    </w:p>
    <w:p>
      <w:pPr>
        <w:spacing w:after="0" w:line="28" w:lineRule="exact"/>
        <w:rPr>
          <w:rFonts w:ascii="Arial" w:cs="Arial" w:eastAsia="Arial" w:hAnsi="Arial"/>
          <w:sz w:val="17"/>
          <w:szCs w:val="17"/>
          <w:color w:val="auto"/>
        </w:rPr>
      </w:pPr>
    </w:p>
    <w:p>
      <w:pPr>
        <w:jc w:val="both"/>
        <w:ind w:left="520" w:hanging="260"/>
        <w:spacing w:after="0" w:line="27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Product liability claims or governmental investigations;</w:t>
      </w:r>
    </w:p>
    <w:p>
      <w:pPr>
        <w:spacing w:after="0" w:line="51" w:lineRule="exact"/>
        <w:rPr>
          <w:rFonts w:ascii="Arial" w:cs="Arial" w:eastAsia="Arial" w:hAnsi="Arial"/>
          <w:sz w:val="14"/>
          <w:szCs w:val="14"/>
          <w:i w:val="1"/>
          <w:iCs w:val="1"/>
          <w:color w:val="auto"/>
        </w:rPr>
      </w:pPr>
    </w:p>
    <w:p>
      <w:pPr>
        <w:jc w:val="both"/>
        <w:ind w:left="520" w:hanging="260"/>
        <w:spacing w:after="0" w:line="270" w:lineRule="auto"/>
        <w:tabs>
          <w:tab w:leader="none" w:pos="5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spacing w:after="0" w:line="8" w:lineRule="exact"/>
        <w:rPr>
          <w:rFonts w:ascii="Arial" w:cs="Arial" w:eastAsia="Arial" w:hAnsi="Arial"/>
          <w:sz w:val="14"/>
          <w:szCs w:val="14"/>
          <w:i w:val="1"/>
          <w:iCs w:val="1"/>
          <w:color w:val="auto"/>
        </w:rPr>
      </w:pPr>
    </w:p>
    <w:p>
      <w:pPr>
        <w:ind w:left="520" w:hanging="260"/>
        <w:spacing w:after="0" w:line="263" w:lineRule="auto"/>
        <w:tabs>
          <w:tab w:leader="none" w:pos="5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Increased costs as a result of operating as a public company, and substantial time devoted by our management to compliance initiatives and corporate governance practices.</w:t>
      </w:r>
    </w:p>
    <w:p>
      <w:pPr>
        <w:spacing w:after="0" w:line="290"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4"/>
          <w:szCs w:val="14"/>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are a biopharmaceutical company driven by a mission to challenge the status quo, making women's health a priority. We exist to accelerate innovation in women’s health and we believe that innovation does not have to start from scratch. With growing awareness around menopause, sexual health, and vaginal health, the conversation is shifting, but access to real, evidence-based solutions still lags behind. We continuously hear from healthcare providers, researchers, and women themselves about the urgent need for access to evidence-based treatment options. Our goal is to fulfill that need by bringing to market as soon as practicable innovative evidence-based treatment solutions that address decades of unmet needs in women’s health and enhance outcomes and convenience, primarily in the areas of contraception, sexual health, pelvic pain, fertility, infectious disease, vaginal health and menopause - areas in women's health that we believe represent compelling and meaningful market opportunities. The solutions we aim to bring to market will primarily be available only with a physician’s prescription – either as an FDA-approved product or as a compounded drug under Section 503B of the FDCA. We may also bring to market consumer health products that can be obtained without a physician’s prescription.</w:t>
      </w:r>
    </w:p>
    <w:p>
      <w:pPr>
        <w:spacing w:after="0" w:line="1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began assembling our diverse portfolio of assets in 2017 through acquisitions, exclusive in-licenses and other collaborations. The first FDA-approved product to emerge from our portfolio is XACIATO™ (clindamycin phosphate) vaginal gel 2%, or XACIATO (pronounced zah-she-AH-toe). We achieved FDA approval of XACIATO three years after acquiring rights to the program. XACIATO was approved by the FDA in December 2021 as a single-dose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14"/>
          <w:szCs w:val="14"/>
          <w:color w:val="auto"/>
        </w:rPr>
        <w:t>prescription medication for the treatment of bacterial vaginosis in females 12 years of age and older. In 2022, we entered into an agreement with an affiliate of Organon &amp; Co., Organon International GmbH, or Organon, whereby Organon licensed exclusive worldwide rights to develop, manufacture and commercialize XACIATO. Organon commenced U.S. marketing of XACIATO in the fourth quarter of 2023 and, in January 2024, Organon announced that XACIATO was available nationwide. As described below, to provide funding for the development of the product candidates in our pipeline, in April 2024, we entered into an agreement with XOMA (US) LLC, or XOMA, whereby we sold our rights to all royalty and potential milestone payments based on net sales of XACIATO under our agreement with Organon, net of our obligations to certain third parties, until XOMA receives a specified return on its investment, after which we will share equally in the royalty and milestone payments earned on net sales of XACIATO from Organon.</w:t>
      </w:r>
    </w:p>
    <w:p>
      <w:pPr>
        <w:spacing w:after="0" w:line="1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product candidates are in various stages of development, from pre-clinical through a pivotal Phase 3 clinical study. The most advanced product candidates we are developing are: Ovaprene®, an investigational, hormone-free, monthly intravaginal contraceptive currently being evaluated in a pivotal Phase 3 clinical study, whose U.S. commercial rights are under a license agreement with Bayer; Sildenafil Cream, 3.6%, a novel cream formulation of sildenafil, the active ingredient in Viagra®, for the treatment of female sexual arousal disorder (FSAD); and DARE-HRT1, an intravaginal ring designed to deliver combination menopausal hormone therapy, bio-identical 17β-estradiol and progesterone together, continuously over a 28-day period for the treatment of moderate to severe vasomotor symptoms, also known as hot flashes.</w:t>
      </w:r>
    </w:p>
    <w:p>
      <w:pPr>
        <w:spacing w:after="0" w:line="10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As discussed in more detail below, because we believe women should not have to wait for needed medical treatment solutions, we are expanding our business strategy to include 503B compounding as a dual-path approach to bring some of our proprietary formulations to market as soon as practicable while we continue to pursue FDA approval of our product candidates. 503B compounding refers to the production and supply of compounded drugs by 503B-registered outsourcing facilities without patient-specific prescriptions in accordance with Section 503B of the FDCA. We are taking action to utilize 503B compounding to bring our proprietary Sildenafil Cream formulation to market, and we are targeting to make it available in the fourth quarter of 2025. In parallel, we will continue to pursue FDA approval of Sildenafil Cream as a treatment for FSAD. Bringing our proprietary Sildenafil Cream formulation to market via 503B compounding will not impact the regulatory process or commercial opportunity for an FDA-approved Sildenafil Cream product. Rather, if successful, 503B compounding will be a source of revenue from existing assets that is non-dilutive to our stockholders.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Our Strategy</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Our business strategy is to in-license or otherwise acquire the rights to intellectual property and know how that enables us to develop and bring to market differentiated evidence-based solutions that we believe can address unmet needs in women’s health and enhance outcomes and convenience, and that represent compelling and meaningful market opportunities. Certain assets we have in-licensed have existing clinical proof-of-concept data or an established safety profile for the active pharmaceutical ingredient that we seek to leverage. We may pursue regulatory approval of a product candidate through clinical development or, if the active pharmaceutical ingredient is on the FDA’s list of bulk drug substances for which there is a clinical need, we may seek to bring it to market under Section 503B of the FDCA. In certain circumstances, as discussed in more detail below with respect to our proprietary Sildenafil Cream formulation, we may pursue both pathways. We believe having alternative pathways allows us to bring solutions to market as soon as practicable and optimizes access for women in a fiscally responsible manner.</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primarily focused on progressing the development and achieving commercialization of our existing portfolio of product candidates. However, we also explore opportunities to expand our portfolio through both business development activities that may result in acquiring, or acquiring access to, new intellectual property rights and know how through in-licensing or other collaborative arrangements, and leveraging platform technology assets we previously acquired or in-licensed from third parties that can be modified with different active pharmaceutical ingredients to address multiple indications. As with our current portfolio, we seek innovations in women’s health that have (a) attractive market opportunities with the potential to address an unmet need, including through new formulations, manners of application or delivery methods of well-known drug substances that result in novel product candidates customized for women, (b) human proof-of-concept clinical data previously generated by third parties, (c) potential to utilize the FDA's 505(b)(2) pathway, and/or (d) potential to become a first-in-category or first-line product. We consider a candidate to have potential to become a “first-in-category” product when we believe that, if the candidate were to successfully complete clinical development and receive marketing approval for the use for which it is being developed, or for which we anticipate developing it, the product would address a need in women’s health that is not being met by existing FDA-approved products.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Key elements of our business strategy are as follows:</w:t>
      </w:r>
    </w:p>
    <w:p>
      <w:pPr>
        <w:spacing w:after="0" w:line="96" w:lineRule="exact"/>
        <w:rPr>
          <w:sz w:val="20"/>
          <w:szCs w:val="20"/>
          <w:color w:val="auto"/>
        </w:rPr>
      </w:pPr>
    </w:p>
    <w:p>
      <w:pPr>
        <w:jc w:val="both"/>
        <w:ind w:left="1020" w:hanging="251"/>
        <w:spacing w:after="0" w:line="270"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Accelerate innovation in women’s health and bring our proprietary formulations and other assets to market as soon as practicable utilizing all available pathways for the asset</w:t>
      </w:r>
      <w:r>
        <w:rPr>
          <w:rFonts w:ascii="Arial" w:cs="Arial" w:eastAsia="Arial" w:hAnsi="Arial"/>
          <w:sz w:val="14"/>
          <w:szCs w:val="14"/>
          <w:color w:val="auto"/>
        </w:rPr>
        <w:t>, including as a compounded drug under Section 503B of the FDCA, as an FDA-approved product, or as a consumer health product that does not require a</w:t>
      </w:r>
      <w:r>
        <w:rPr>
          <w:rFonts w:ascii="Arial" w:cs="Arial" w:eastAsia="Arial" w:hAnsi="Arial"/>
          <w:sz w:val="14"/>
          <w:szCs w:val="14"/>
          <w:i w:val="1"/>
          <w:iCs w:val="1"/>
          <w:color w:val="auto"/>
        </w:rPr>
        <w:t xml:space="preserve"> </w:t>
      </w:r>
      <w:r>
        <w:rPr>
          <w:rFonts w:ascii="Arial" w:cs="Arial" w:eastAsia="Arial" w:hAnsi="Arial"/>
          <w:sz w:val="14"/>
          <w:szCs w:val="14"/>
          <w:color w:val="auto"/>
        </w:rPr>
        <w:t>physician’s prescription.</w:t>
      </w:r>
    </w:p>
    <w:p>
      <w:pPr>
        <w:spacing w:after="0" w:line="48" w:lineRule="exact"/>
        <w:rPr>
          <w:rFonts w:ascii="Arial" w:cs="Arial" w:eastAsia="Arial" w:hAnsi="Arial"/>
          <w:sz w:val="14"/>
          <w:szCs w:val="14"/>
          <w:color w:val="auto"/>
        </w:rPr>
      </w:pPr>
    </w:p>
    <w:p>
      <w:pPr>
        <w:jc w:val="both"/>
        <w:ind w:left="1020" w:hanging="251"/>
        <w:spacing w:after="0" w:line="282"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Advance clinical development of the product candidates in our portfolio through mid- to late-stage clinical development or regulatory approval</w:t>
      </w:r>
      <w:r>
        <w:rPr>
          <w:rFonts w:ascii="Arial" w:cs="Arial" w:eastAsia="Arial" w:hAnsi="Arial"/>
          <w:sz w:val="14"/>
          <w:szCs w:val="14"/>
          <w:color w:val="auto"/>
        </w:rPr>
        <w:t>. In 2024, we</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continued to make important progress in the clinical development of our product candidates, including with ongoing enrollment in the pivotal Phase 3 study of Ovaprene.</w:t>
      </w:r>
    </w:p>
    <w:p>
      <w:pPr>
        <w:spacing w:after="0" w:line="215" w:lineRule="exact"/>
        <w:rPr>
          <w:rFonts w:ascii="Arial" w:cs="Arial" w:eastAsia="Arial" w:hAnsi="Arial"/>
          <w:sz w:val="14"/>
          <w:szCs w:val="14"/>
          <w:color w:val="auto"/>
        </w:rPr>
      </w:pPr>
    </w:p>
    <w:p>
      <w:pPr>
        <w:jc w:val="both"/>
        <w:ind w:left="1020" w:hanging="251"/>
        <w:spacing w:after="0" w:line="271"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Explore opportunities to expand our portfolio, with evidence-based solutions for women’s health as our sole focus</w:t>
      </w:r>
      <w:r>
        <w:rPr>
          <w:rFonts w:ascii="Arial" w:cs="Arial" w:eastAsia="Arial" w:hAnsi="Arial"/>
          <w:sz w:val="14"/>
          <w:szCs w:val="14"/>
          <w:color w:val="auto"/>
        </w:rPr>
        <w:t>. While simultaneously advancing our current</w:t>
      </w:r>
      <w:r>
        <w:rPr>
          <w:rFonts w:ascii="Arial" w:cs="Arial" w:eastAsia="Arial" w:hAnsi="Arial"/>
          <w:sz w:val="14"/>
          <w:szCs w:val="14"/>
          <w:i w:val="1"/>
          <w:iCs w:val="1"/>
          <w:color w:val="auto"/>
        </w:rPr>
        <w:t xml:space="preserve"> </w:t>
      </w:r>
      <w:r>
        <w:rPr>
          <w:rFonts w:ascii="Arial" w:cs="Arial" w:eastAsia="Arial" w:hAnsi="Arial"/>
          <w:sz w:val="14"/>
          <w:szCs w:val="14"/>
          <w:color w:val="auto"/>
        </w:rPr>
        <w:t>portfolio, we intend to continue to identify other important areas of unmet need in women’s health and to explore opportunities to build our portfolio by acquiring or in-licensing new programs or leveraging assets we previously acquired or in-licensed to create new programs that meet our selection criteria.</w:t>
      </w:r>
    </w:p>
    <w:p>
      <w:pPr>
        <w:spacing w:after="0" w:line="50" w:lineRule="exact"/>
        <w:rPr>
          <w:rFonts w:ascii="Arial" w:cs="Arial" w:eastAsia="Arial" w:hAnsi="Arial"/>
          <w:sz w:val="14"/>
          <w:szCs w:val="14"/>
          <w:color w:val="auto"/>
        </w:rPr>
      </w:pPr>
    </w:p>
    <w:p>
      <w:pPr>
        <w:jc w:val="both"/>
        <w:ind w:left="1020" w:hanging="251"/>
        <w:spacing w:after="0" w:line="258"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Pursue strategic collaborations to fund our business, enhance our development and commercialization capabilities, and/or commercial offerings, optimizing for access in a fiscally responsible manner. </w:t>
      </w:r>
      <w:r>
        <w:rPr>
          <w:rFonts w:ascii="Arial" w:cs="Arial" w:eastAsia="Arial" w:hAnsi="Arial"/>
          <w:sz w:val="14"/>
          <w:szCs w:val="14"/>
          <w:color w:val="auto"/>
        </w:rPr>
        <w:t>With respect to our product candidates, we intend to develop and maintain strategic relationships with commercial-stage</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that are leaders or emerging leaders in women’s health, as well as with other entities, where we believe such collaborations will help fund our business or accelerate or otherwise improve upon our clinical development and regulatory strengths and/or product manufacturing, and commercialization capabilities. With respect to 503B compounding, we intend to develop and maintain relationships with Section 503B-registered outsourcing facilities to help bring our proprietary formulations to market. Examples of strategic collaborations to date include our license agreement with Organon to commercialize XACIATO, and our license agreement with Bayer to commercialize Ovaprene, if approved and the license becomes effective.</w:t>
      </w:r>
    </w:p>
    <w:p>
      <w:pPr>
        <w:spacing w:after="0" w:line="59" w:lineRule="exact"/>
        <w:rPr>
          <w:rFonts w:ascii="Arial" w:cs="Arial" w:eastAsia="Arial" w:hAnsi="Arial"/>
          <w:sz w:val="14"/>
          <w:szCs w:val="14"/>
          <w:color w:val="auto"/>
        </w:rPr>
      </w:pPr>
    </w:p>
    <w:p>
      <w:pPr>
        <w:ind w:left="1020" w:hanging="251"/>
        <w:spacing w:after="0" w:line="290"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Seek non-dilutive sources of funding to support product development. </w:t>
      </w:r>
      <w:r>
        <w:rPr>
          <w:rFonts w:ascii="Arial" w:cs="Arial" w:eastAsia="Arial" w:hAnsi="Arial"/>
          <w:sz w:val="14"/>
          <w:szCs w:val="14"/>
          <w:color w:val="auto"/>
        </w:rPr>
        <w:t>We intend to advance development of our product candidates through a variety of means,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through non-dilutive funding and potential revenue from 503B compounding. To date, we have received non-dilutive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7" w:name="page8"/>
    <w:bookmarkEnd w:id="7"/>
    <w:p>
      <w:pPr>
        <w:jc w:val="both"/>
        <w:ind w:left="1020"/>
        <w:spacing w:after="0" w:line="271" w:lineRule="auto"/>
        <w:rPr>
          <w:sz w:val="20"/>
          <w:szCs w:val="20"/>
          <w:color w:val="auto"/>
        </w:rPr>
      </w:pPr>
      <w:r>
        <w:rPr>
          <w:rFonts w:ascii="Arial" w:cs="Arial" w:eastAsia="Arial" w:hAnsi="Arial"/>
          <w:sz w:val="14"/>
          <w:szCs w:val="14"/>
          <w:color w:val="auto"/>
        </w:rPr>
        <w:t>funding from federal government agencies and/or a private foundation to support various aspects of our research and development activities, from preclinical discovery to a Phase 3 clinical study, for eight of our programs. We intend to continue to explore grants and other forms of non-dilutive funding to support development of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XACIATO™</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XACIATO (clindamycin phosphate) vaginal gel, a lincosamide antibacterial, received FDA approval in December 2021 for the treatment of bacterial vaginosis in female patients 12 years of age and older.</w:t>
      </w:r>
    </w:p>
    <w:p>
      <w:pPr>
        <w:spacing w:after="0" w:line="9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XACIATO is our first and, to date, only approved product. We achieved FDA approval of XACIATO three years after acquiring rights to the program. We commenced and completed a successful pivotal clinical study, prepared and filed a new drug application, or NDA, with the FDA and received notification from the FDA of U.S. marketing approval, all during the COVID-19 pandemic.</w:t>
      </w:r>
    </w:p>
    <w:p>
      <w:pPr>
        <w:spacing w:after="0" w:line="10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2022, we licensed to Organon exclusive worldwide rights to develop, manufacture and commercialize XACIATO. See "Strategic Agreements for Product Commercialization" below for further discussion of the terms of our agreement with Organon. We remained the NDA holder of XACIATO until December 2023, at which time the NDA was transferred by the FDA to Organon, and Organon assumed all manufacturing responsibilities, regulatory and compliance matters. Organon is also responsible for commercializing, promoting, determining pricing, and negotiating reimbursement matters related to XACIATO. Organon commenced U.S. marketing of XACIATO in the fourth quarter of 2023, and, in January 2024, announced that XACIATO was available nationwide. As described below, to provide funding for the development of the product candidates in our pipeline, in April 2024, we sold to XOMA our rights to all royalty and potential milestone payments based on net sales of XACIATO under our agreement with Organon, net of our obligations to certain third parties, until XOMA receives a specified return on its investment, after which we will share equally in the royalty and milestone payments earned on net sales of XACIATO from Organon. See below under "Royalty Monetization Transactions" for additional details.</w:t>
      </w:r>
    </w:p>
    <w:p>
      <w:pPr>
        <w:spacing w:after="0" w:line="14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XACIATO previously received both Qualified Infectious Disease Product (QIDP) and Fast Track designations from the FDA for the treatment of bacterial vaginosis in women. As a result of the QIDP designation, XACIATO was eligible to receive a five-year extension of the three years of data exclusivity in the U.S. available to the product based on the submission of new clinical data that were essential to its approval. The FDA granted XACIATO for the treatment of bacterial vaginosis in female patients 12 years of age and older three years of data exclusivity, which was extended by five years, such that the data exclusivity period will expire on December 7, 2029. XACIATO has also been designated as a reference listed drug by the FDA for purposes of future generic drug development. The data exclusivity period should block the FDA from approving either a subsequent abbreviated NDA or 505(b)(2) NDA that relies in whole or in part on our protected clinical data. See also "Government Regulation - U.S. Government Regulation- New Drug Marketing Exclusivity under the Hatch-Waxman Act Amendments &amp; GAIN Exclusivity Extension" below. Additionally, see the discussion of patents and patent applications related to XACIATO under "Intellectual Property—Patents" below.</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Pipeline: Clinical-Stage Programs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Ovaprene®</w:t>
      </w:r>
    </w:p>
    <w:p>
      <w:pPr>
        <w:spacing w:after="0" w:line="1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spacing w:after="0" w:line="9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Ovaprene is a novel, investigational hormone-free monthly intravaginal contraceptive designed to be worn conveniently over multiple weeks (one menstrual cycle) that currently is being evaluated in a pivotal Phase 3 clinical study. Based on the results of our pre-pivotal postcoital test, or PCT, clinical trial, as discussed below, we believe Ovaprene has the potential to achieve “typical use” contraceptive efficacy in the range of approximately 86% to 91% at 6-months, which approaches the approximately 93% typical use efficacy at 12-months of current FDA-approved non-implanted, non-injected hormonal contraceptive methods (pills, patches and vaginal rings). Typical use contraceptive efficacy refers to the expected rate of pregnancy prevention during the first year of actual use of a method, including sometimes using the method in a way that is not correct or not consistent. Ovaprene features a proprietary knitted polymer barrier to physically block sperm from entering the cervical canal within a silicone-reinforced ring that releases non-hormonal agent ferrous gluconate to impede sperm motility. Unlike current FDA-approved monthly intravaginal contraceptives, Ovaprene does not contain hormones, but, consistent with those monthly intravaginal contraceptives, including Merck’s NuvaRing®, Ovaprene is designed to be a “one size fits most”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monthly, self-administered product. If approved, Ovaprene could be the first hormone-free, monthly contraceptive option for women.</w:t>
      </w:r>
    </w:p>
    <w:p>
      <w:pPr>
        <w:spacing w:after="0" w:line="14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4"/>
          <w:szCs w:val="14"/>
          <w:color w:val="auto"/>
        </w:rPr>
        <w:t>Ovaprene is composed of both device and drug components and is considered a combination product by the FDA. There is no predicate device for Ovaprene (i.e., there is no existing FDA-approved product that the FDA can use to compare with Ovaprene). As such, Ovaprene will be reviewed via a premarket approval, or PMA, process and not a 510(k) premarket submission. While the regulatory process for such a novel product can require more interactions and research to support FDA approval, the benefit is a clearly differentiated product. Ovaprene previously underwent a request for designation process with the FDA that determined that the Center for Devices and Radiological Health, or CDRH, would lead the review of a PMA application for potential marketing approval in the U.S.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 xml:space="preserve">In a PCT pilot clinical study conducted by the previous sponsor in 20 women and published in </w:t>
      </w:r>
      <w:r>
        <w:rPr>
          <w:rFonts w:ascii="Arial" w:cs="Arial" w:eastAsia="Arial" w:hAnsi="Arial"/>
          <w:sz w:val="14"/>
          <w:szCs w:val="14"/>
          <w:i w:val="1"/>
          <w:iCs w:val="1"/>
          <w:color w:val="auto"/>
        </w:rPr>
        <w:t>The Journal of Reproductive Medicine®</w:t>
      </w:r>
      <w:r>
        <w:rPr>
          <w:rFonts w:ascii="Arial" w:cs="Arial" w:eastAsia="Arial" w:hAnsi="Arial"/>
          <w:sz w:val="14"/>
          <w:szCs w:val="14"/>
          <w:color w:val="auto"/>
        </w:rPr>
        <w:t xml:space="preserve">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spacing w:after="0" w:line="1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November 2019, we announced positive topline results of our PCT clinical trial of Ovaprene (ClinicalTrials.gov ID: NCT03598088).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Ovaprene use did not result in cervicovaginal irritation or adverse effects on resident vaginal microbiota, and did not impact transitions from a Lactobacillus-dominated community state type to an anaerobic, diverse vaginal microbiota community state type IV. Use of Ovaprene resulted in meeting the prespecified criterion for contraceptive effect by all participants during all postcoital test cycles. The safety and PCT results from this study were published in the peer-reviewed journal Contraception, an international reproductive health journal and the official journal of the Society for Family Planning.</w:t>
      </w:r>
    </w:p>
    <w:p>
      <w:pPr>
        <w:spacing w:after="0" w:line="10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 xml:space="preserve">PCT clinical trials have been used as a surrogate marker for contraceptive effectiveness. Infertility research suggests that higher rates of pregnancy are associated with PMS per HPF of from greater than one to greater than 20 PMS, and less than five PMS per HPF is considered indicative of contraceptive effectiveness. In a peer-reviewed article published in the journal </w:t>
      </w:r>
      <w:r>
        <w:rPr>
          <w:rFonts w:ascii="Arial" w:cs="Arial" w:eastAsia="Arial" w:hAnsi="Arial"/>
          <w:sz w:val="14"/>
          <w:szCs w:val="14"/>
          <w:i w:val="1"/>
          <w:iCs w:val="1"/>
          <w:color w:val="auto"/>
        </w:rPr>
        <w:t>Biology of Reproduction</w:t>
      </w:r>
      <w:r>
        <w:rPr>
          <w:rFonts w:ascii="Arial" w:cs="Arial" w:eastAsia="Arial" w:hAnsi="Arial"/>
          <w:sz w:val="14"/>
          <w:szCs w:val="14"/>
          <w:color w:val="auto"/>
        </w:rPr>
        <w:t xml:space="preserve"> that analyzed the use of PCT studies in the development of vaginal contraceptives, the authors observed, for instance, that Lea’s Shield and the Ortho and Caya diaphragms had 0 PMS/HPF in their respective PCT studies and six-month typical use failure rates in contraceptive effectiveness trials of 8.7, 7.9, and 12.5%, respectively. The article concluded that, although ultimate contraceptive efficacy is influenced by the ease and convenience of use of a product, along with patient compliance, a PCT study of a test product can be predictive of contraceptive effectiveness, and PCT results similar to results seen with products such as Lea’s Shield and the Ortho and Caya diaphragms is the best indicator of likely success of the test product in a contraceptive effectiveness study.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 w:name="page10"/>
    <w:bookmarkEnd w:id="9"/>
    <w:p>
      <w:pPr>
        <w:ind w:left="520"/>
        <w:spacing w:after="0"/>
        <w:rPr>
          <w:sz w:val="20"/>
          <w:szCs w:val="20"/>
          <w:color w:val="auto"/>
        </w:rPr>
      </w:pPr>
      <w:r>
        <w:rPr>
          <w:rFonts w:ascii="Arial" w:cs="Arial" w:eastAsia="Arial" w:hAnsi="Arial"/>
          <w:sz w:val="14"/>
          <w:szCs w:val="14"/>
          <w:b w:val="1"/>
          <w:bCs w:val="1"/>
          <w:i w:val="1"/>
          <w:iCs w:val="1"/>
          <w:color w:val="auto"/>
        </w:rPr>
        <w:t>Pivotal Phase 3 Clinical Study</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2023, we announced commencement of the multi-center, single arm, non-comparative, pivotal Phase 3 clinical study of Ovaprene to evaluate its effectiveness as a contraceptive along with its safety and acceptability (ClinicalTrials.gov ID: NCT06127199). The study aims to enroll sufficient participants across approximately 20 study sites in the U.S. to have approximately 250 participants complete approximately 12 months (13 menstrual cycles) of use. Based on typical dropout rates for contraceptive efficacy studies, we will seek to enroll more than double the number of subjects we target to complete 13 menstrual cycles of use. Twenty clinical research sites from within the Eunice Kennedy Shriver National Institute of Child Health and Human Development's (NICHD) Contraceptive Clinical Trials Network (CCTN) were trained on the protocol and were initiated to start screening and enrolling participants in late 2023 and early 2024. Currently, there are 15 active NICHD CCTN sites following enrolled participants in the study. Enrollment is currently proceeding at five study sites that were initiated in 2025, funded by a grant we received in 2024 from the Gates Foundation, or the Foundation, to accelerate the overall study timeline. We anticipate that approximately 125 women, which is half of our target number of participants to complete the study, will complete approximately six months of Ovaprene use by the end of the second quarter of 2025. This is a designated check point for review of interim data by the study's data safety monitoring board, or DSMB, an independent group of experts which evaluates the safety and integrity of the study.</w:t>
      </w:r>
    </w:p>
    <w:p>
      <w:pPr>
        <w:spacing w:after="0" w:line="9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 If successful, we expect the study to support the submission of a premarket approval application for Ovaprene to the FDA, as well as regulatory filings in Europe and other countries worldwide, to allow for marketing approvals of Ovaprene.</w:t>
      </w:r>
    </w:p>
    <w:p>
      <w:pPr>
        <w:spacing w:after="0" w:line="10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The Phase 3 study is being conducted, in part, under our Cooperative Research and Development Agreement, or CRADA, with the U.S. Department of Health and Human Services (HHS), as represented by the NICHD, part of the U.S. National Institutes of Health (NIH), and within the CCTN. Under the CRADA, we and NICHD each provide medical oversight and final data review and analysis for the study at these sites and will work together to prepare the final report of the results of the study from these sites. We are responsible for providing clinical supplies of Ovaprene, coordinating interactions with the FDA, preparing and submitting supportive regulatory documentation, and providing a total of $5.5 million to NICHD to be applied toward the costs of conducting the Phase 3 study, all of which had been paid as of September 30, 2024. NICHD is responsible for the other costs related to the conduct of the Phase 3 study and for managing the payment of expenses to the contract research organization for the study, the clinical sites, and other parties involved with the study. Executive orders and other actions taken by the new U.S. presidential administration in the first quarter of 2025 have negatively impacted the Phase 3 study and NICHD’s ability to carry out its responsibilities under the CRADA. In particular, the NICHD process to enter into contract modifications with the CCTN sites participating in the study in the same manner as it would ordinarily do to provide additional funding to those sites within the current budget under the CRADA has been impacted and remains uncertain. As a result, to help ensure the CCTN sites remain active for continued follow-up with existing study participants, we and NICHD agreed to pause recruitment of new participants at the CCTN sites. This pause in recruitment at the CCTN sites does not effect the anticipated timing for reaching the designated check point for DSMB review. Depending on its duration, it could adversely impact the overall enrollment rate for the study and increase the time and cost to us to complete the study. In addition, most of the CCTN sites participating in the study are part of colleges or universities, and the federal government recently has terminated or threatened to terminate grants and contracts with colleges and universities, including clinical study contracts with at least one university that is a CCTN site in our study. To date, these developments have not materially impacted the study, however, if NICHD is unable to enter into new contracts or contract modifications with CCTN sites for a prolonged period, or terminates its contracts with CCTN sites in our study before the study follow-up visits with existing participants are completed or before the study is completed, we may determine to contract directly with those sites to enable them to restart recruitment and enrollment of new participants and/or ensure they remain active sites to continue follow-up with existing participants, which could increase the time and cost to us to complete the study. There is a high level of uncertainty relating to U.S. government contracts and funding and regulation of research and development, as well as the functioning and funding of many federal government departments and agencies in general, and future developments may significantly delay or jeopardize the completion of the Phase 3 study and significantly increase the cost of the study to us. Further, depending on the duration of the enrollment period and number of subjects enrolled in the Phase 3 study, there may be future costs associated with the study that are not reflected in the current budget under the CRADA for the CCTN sites. We and NICHD have been in discussions regarding the CRADA, which are continuing and which may include discussing a mechanism to potentially provide for additional future payments by us in support of the Phase 3 study for the CCTN sites to complete subjects already enrolled, in the event that the currently budgeted CRADA funds are insufficient. As discussed above, we have contracted directly with five new study sites, which began recruiting in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4"/>
          <w:szCs w:val="14"/>
          <w:color w:val="auto"/>
        </w:rPr>
        <w:t>first quarter of 2025, with the support of grant funding we received from the Foundation. At this time, due to the uncertainty regarding the CCTN sites and because the five new study sites only recently began participant recruitment, we cannot reasonably predict the enrollment rate for the remainder of the study or an estimated time for completion of enrollment.</w:t>
      </w:r>
    </w:p>
    <w:p>
      <w:pPr>
        <w:spacing w:after="0" w:line="24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are collaborating with ADVA-Tec, Inc., or ADVA-Tec, and Bayer HealthCare LLC, or Bayer, for the development and commercialization of Ovaprene as part of two strategic collaborations announced in March 2017 and January 2020, respectively. See "Strategic Agreements for Pipeline Development" and "Strategic Agreements for Product Commercialization" below for discussion of the terms of e</w:t>
      </w:r>
      <w:r>
        <w:rPr>
          <w:rFonts w:ascii="Arial" w:cs="Arial" w:eastAsia="Arial" w:hAnsi="Arial"/>
          <w:sz w:val="14"/>
          <w:szCs w:val="14"/>
          <w:color w:val="191C1F"/>
        </w:rPr>
        <w:t>ach collaboration.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Sildenafil Cream, 3.6%</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While numerous pharmaceutical products have been developed and approved to treat erectile dysfunction (ED) in men, women continue to lack effective options for female sexual arousal disorder, or FSAD, which is clinically analogous to ED in men. To date, there are no FDA-approved pharmacological treatments for FSAD. Market research conducted in 2015 suggests that approximately 33% of women in the U.S. ages 21 to 60 are not satisfied with their sexual arousal, and half of those women, 16% of women in the U.S. ages 21 to 60, or approximately 10 million women, are distressed from experiencing symptoms associated with FSAD, including lack of or low sexual arousal, and are actively seeking solutions to improve their condition. In comparison, the prevalence of complete ED in men is estimated to be about 5% of men at age 40, increasing to about 15% at age</w:t>
      </w:r>
    </w:p>
    <w:p>
      <w:pPr>
        <w:spacing w:after="0" w:line="1" w:lineRule="exact"/>
        <w:rPr>
          <w:sz w:val="20"/>
          <w:szCs w:val="20"/>
          <w:color w:val="auto"/>
        </w:rPr>
      </w:pPr>
    </w:p>
    <w:p>
      <w:pPr>
        <w:jc w:val="both"/>
        <w:ind w:firstLine="5"/>
        <w:spacing w:after="0" w:line="255" w:lineRule="auto"/>
        <w:tabs>
          <w:tab w:leader="none" w:pos="251"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developing Sildenafil Cream, 3.6%, or Sildenafil Cream, an investigational proprietary cream formulation of sildenafil, a phosphodiesterase-5 inhibitor and the active ingredient in the male erectile dysfunction drug Viagra®, for topical administration to the female genitalia for treatment of FSAD. Because, today, there are no treatments approved by the FDA for FSAD, there are no efficacy endpoints that have been previously validated in a Phase 3 pivotal study for potential treatments for FSAD. Our Phase 2b RESPOND clinical study of Sildenafil Cream, which is discussed below, was a first of its kind Phase 2b clinical study that included patient reported outcome (PRO) instruments to screen eligible women and a number of primary, secondary, and exploratory PRO assessments to measure improvement in localized genital sensations of arousal and reduction in the distress that women experience with FSAD. The study enabled us to identify a subgroup of patients who are most likely to benefit from Sildenafil Cream therapy and achieve meaningful improvement in their symptoms.</w:t>
      </w:r>
    </w:p>
    <w:p>
      <w:pPr>
        <w:spacing w:after="0" w:line="12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Based on data from the Phase 2b RESPOND study and feedback from the FDA, we are preparing to advance Sildenafil Cream into a Phase 3 clinical study for the treatment of FSAD. A second confirmatory Phase 3 study will be required to support an NDA submission. We plan to leverage the existing data and established safety profile of sildenafil and the Viagra® brand to utilize the FDA’s 505(b)(2) pathway to obtain marketing approval of Sildenafil Cream in the U.S. for the treatment of women suffering from FSAD. If approved, Sildenafil Cream could be the first FDA-approved FSAD treatment option for women.</w:t>
      </w:r>
    </w:p>
    <w:p>
      <w:pPr>
        <w:spacing w:after="0" w:line="10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color w:val="auto"/>
        </w:rPr>
        <w:t>FSAD, as described in the Diagnostic and Statistical Manual of Mental Disorders 4th Edition Text Revision ("DSM IV TR"),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 (also described in DSM IV TR), which is characterized primarily by lack or absence</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of sexual fantasies and desire for sexual activity (also commonly referred to as low libido). As with erectile dysfunction in men, FSAD in women is associated with insufficient blood flow to the genitalia. Sildenafil Cream is designed to facilitate vasodilation and increase genital blood flow, and, as a result, to provide improvements in the female genital arousal response, while avoiding systemic side effects observed with oral formulations of sildenafil.</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 Phase 1 clinical study conducted by our licensor Strategic Science and Technologies, LLC, or SST, of three escalating doses of topical sildenafil cream (1 g cream with 35 mg sildenafil; 2 g cream with 71 mg sildenafil; and 4 g cream with 142 mg sildenafil) in 20 healthy postmenopausal women using a crossover study design, topical sildenafil cream demonstrated significantly lower systemic exposure to sildenafil compared to a 50 mg oral sildenafil dose, and topical sildenafil cream was well tolerated at clinically relevant doses (1-2 g cream). Study subjects reported favorable product characteristics: easy to use and readily absorbed.</w:t>
      </w:r>
    </w:p>
    <w:p>
      <w:pPr>
        <w:spacing w:after="0" w:line="10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a Phase 2a, single center, single-dose, double-blind, placebo-controlled, 2-way crossover study conducted by SST, women with FSAD, ages 21 to 60, received a single 2 g dose of Sildenafil Cream. Of the 35 women enrolled, 31 (15 premenopausal and 16 postmenopausal) completed the study. The primary objective was to evaluate the efficacy of Sildenafil Cream compared to placebo cream assessed by participant-reported levels of subjective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4"/>
          <w:szCs w:val="14"/>
          <w:color w:val="auto"/>
        </w:rPr>
        <w:t>cognitive sexual arousal and by physiological genital arousal response. Sildenafil Cream demonstrated increases in measurable blood flow to the genital tissue compared to placebo (mean change in vaginal pulse amplitude analysis) using a vaginal photoplethysmograph approximately 30 minutes post-dosing. Treatment with a single dose of 2 grams of Sildenafil Cream (71 mg sildenafil) applied intravaginally and externally to the labia minora and clitoris in study participants was well tolerated. No serious adverse events (SAEs) were reported. A total of 18 treatment emergent adverse events (TEAEs) were reported, with a similar incidence under Sildenafil Cream treatment (8 events in 4 participants [12.1%]) and under placebo treatment (10 events in 4 participants [12.1%]). The majority of these TEAEs were considered to be related to treatment (14 out of 18). All TEAEs were all mild or moderate in severity; in particular, TEAEs reported under Sildenafil Cream treatment were all mild. Half of the 18 TEAEs reported were in the system organ classification of “Reproductive system and breast disorders”, and events included vaginismus, vulvovaginal burning sensation, vulvovaginal discomfort, and vulvovaginal pain. There were more of these TEAEs under Sildenafil Cream treatment than under placebo (6 and 3, respectively). However, these events were typically transient (lasting less than 1 minute) and resolved without medical attention.</w:t>
      </w:r>
    </w:p>
    <w:p>
      <w:pPr>
        <w:spacing w:after="0" w:line="11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 Phase 1, single-dose, double-blind, placebo-controlled, two-way crossover study to evaluate the feasibility of using thermography to assess the pharmacodynamics (PD) of Sildenafil Cream in normal healthy women was conducted at a single center. During the thermography study, genital temperature, a surrogate for genital blood flow, was captured and recorded utilizing an infrared camera capable of detecting heat patterns from blood flow in body tissues. The study, which was designed to evaluate up to 10 subjects, achieved the study objectives based on a planned interim analysis of the first six completed subjects, and thus additional subjects were not enrolled. In this study, Sildenafil Cream demonstrated significantly greater increases in genital temperature compared to placebo cream, indicating a positive impact on genital blood flow during the 30-minute post-dosing testing session, with statistical separation from placebo cream within the first 15 minutes after dosing. Additionally, significantly greater self-reported arousal responses were reported during Sildenafil Cream visits compared to placebo cream visits. One postmenopausal subject had a mild vaginal burning sensation following application of both the placebo cream and Sildenafil Cream, which resolved itself and did not require any additional intervention or study withdrawal. One subject had a small laceration to the perineum post coitus, which was unrelated to study treatment and participation, resolved itself, and did not require additional intervention or withdrawal.</w:t>
      </w:r>
    </w:p>
    <w:p>
      <w:pPr>
        <w:spacing w:after="0" w:line="12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2019, as part of our exploratory Phase 2b clinical program for Sildenafil Cream, we completed a non-interventional study, or the content validity study, designed to identify and document the genital arousal symptoms that are most important and relevant to women with FSAD. Participants who met the eligibility criteria participated in one-on-one, in-depth interviews conducted by subject matter experts in the field of clinical outcome assessments and female sexual medicine. The findings of that study helped facilitate alignment with the FDA on acceptable efficacy endpoints in our exploratory Phase 2b clinical study and future Phase 3 program, including with respect to the patient reported outcome, or PRO, instruments to be used to screen eligible patients with FSAD and to measure achievement of the primary efficacy endpoint in the Phase 2b study.</w:t>
      </w:r>
    </w:p>
    <w:p>
      <w:pPr>
        <w:spacing w:after="0" w:line="10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April 2023, we initiated subject enrollment in a Phase 1, single-dose, double-blind, placebo-controlled, 3-way crossover clinical study of Sildenafil Cream using thermography to assess the PD and pharmacokinetic (PK) characterization of Sildenafil Cream. The study was closed in March 2024. Sildenafil Cream was well tolerated in the study. Among the 13 enrolled participants, two subjects had a mild vaginal burning sensation following application of Sildenafil Cream and placebo cream. One subject had a mild vaginal burning sensation following application of Sildenafil Cream and placebo cream, which resolved itself and did not require any additional intervention or study withdrawal. Three subjects withdrew from the study for asymptomatic orthostatic tachycardia that occurred during the multiple serial blood draws for pharmacokinetics and one subject withdrew due to bacterial vaginosis. Among the 13 enrolled subjects, ten had adequate paired plasma samples from all three treatments to evaluate. Plasma PK of sildenafil following a single topical (applied externally to the pre-specified vulvar area and internally intravaginally) administration of Sildenafil Cream was characterized and findings were similar to those reported in a prior Phase 1 PK study conducted by our licensor SST.</w:t>
      </w:r>
    </w:p>
    <w:p>
      <w:pPr>
        <w:spacing w:after="0" w:line="11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In June 2023, we announced topline results from our exploratory Phase 2b RESPOND clinical study of Sildenafil Cream in premenopausal women with FSAD, and in July and November 2023, we announced additional findings based on further analyses of data from the study. In 2024, several peer-reviewed journal articles were published on the study, including efficacy findings in </w:t>
      </w:r>
      <w:r>
        <w:rPr>
          <w:rFonts w:ascii="Arial" w:cs="Arial" w:eastAsia="Arial" w:hAnsi="Arial"/>
          <w:sz w:val="14"/>
          <w:szCs w:val="14"/>
          <w:i w:val="1"/>
          <w:iCs w:val="1"/>
          <w:color w:val="auto"/>
        </w:rPr>
        <w:t>Obstetrics &amp; Gynecology</w:t>
      </w:r>
      <w:r>
        <w:rPr>
          <w:rFonts w:ascii="Arial" w:cs="Arial" w:eastAsia="Arial" w:hAnsi="Arial"/>
          <w:sz w:val="14"/>
          <w:szCs w:val="14"/>
          <w:color w:val="auto"/>
        </w:rPr>
        <w:t xml:space="preserve">, the official journal of the American College of Obstetricians and Gynecologists (ACOG), and safety findings in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Journal of Sexual Medicine</w:t>
      </w:r>
      <w:r>
        <w:rPr>
          <w:rFonts w:ascii="Arial" w:cs="Arial" w:eastAsia="Arial" w:hAnsi="Arial"/>
          <w:sz w:val="14"/>
          <w:szCs w:val="14"/>
          <w:color w:val="auto"/>
        </w:rPr>
        <w:t>, the official journal of the International Society for the Study of Women’s Sexual Health (ISSWHS). In February 2024, we presented additional findings</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study at the Annual Meeting of ISSWHS. In addition, efficacy findings from the study were the featured topic of ACOG Green Room Gynecology Podcast in August 2024.</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2" w:name="page13"/>
    <w:bookmarkEnd w:id="12"/>
    <w:p>
      <w:pPr>
        <w:jc w:val="both"/>
        <w:ind w:firstLine="509"/>
        <w:spacing w:after="0" w:line="255" w:lineRule="auto"/>
        <w:rPr>
          <w:sz w:val="20"/>
          <w:szCs w:val="20"/>
          <w:color w:val="auto"/>
        </w:rPr>
      </w:pPr>
      <w:r>
        <w:rPr>
          <w:rFonts w:ascii="Arial" w:cs="Arial" w:eastAsia="Arial" w:hAnsi="Arial"/>
          <w:sz w:val="14"/>
          <w:szCs w:val="14"/>
          <w:color w:val="auto"/>
        </w:rPr>
        <w:t>During the multi-center, double-blind, randomized, placebo-controlled study, subjects used Sildenafil Cream and placebo cream in their home setting over 12 weeks following a 4-week non-drug run-in period and a 4-week, single-blind placebo run-in period. A total of 252 subjects were enrolled in the 4-week single-blind placebo run-in period and a total of 200 subjects were randomized to the 12-week double-blind dosing period. A total of seven subjects were randomized but not treated in the double-blind dosing period. In the intent to treat (ITT) population, 99 subjects were randomized to the Sildenafil Cream group and 94 subjects were randomized to the placebo cream group. A total of 174 participants completed the study (Sildenafil Cream, n=90, placebo cream, n=84). The study did not meet its co-primary or secondary endpoints, which were measured based on the ITT population. Among the ITT population, which included women with only FSAD as well as those with FSAD and concomitant sexual dysfunction diagnoses or genital pain, though the Sildenafil Cream group demonstrated greater improvement in the Sexual Function Questionnaire (SFQ28) Arousal Sensation (AS) Domain scores, there were no statistically significant differences between Sildenafil Cream and placebo cream users in the co-primary and secondary efficacy endpoints. An exploratory post-hoc subset of the ITT population with an enrollment diagnosis of FSAD with or without concomitant decreased desire randomized to Sildenafil Cream reported significant increases in their SFQ28 AS Domain score (LS Mean [SE] 2.03 [0.62]) compared to placebo cream (LS Mean [SE] 0.08 [0.71]), p=0.04. This subset achieved a larger mean improvement in the SFQ28 Desire and Orgasm Domain scores. This subset population also had significantly reduced sexual distress and interpersonal difficulties with Sildenafil Cream use, as measured by Female Sexual Distress Scale-Desire, Arousal, Orgasm (FSDS-DAO) questions 3, 5, and 10 (all p values≤0.04). In summary, Sildenafil Cream improved outcomes among women with FSAD, most significantly in those who did not have concomitant orgasmic dysfunction. In particular, in an exploratory analysis of a subset of women with FSAD with or without concomitant decreased desire, Sildenafil Cream increased sexual arousal sensation, desire, and orgasm and reduced sexual distress.</w:t>
      </w:r>
    </w:p>
    <w:p>
      <w:pPr>
        <w:spacing w:after="0" w:line="12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During the 12-week double-blind dosing period, there were 78 TEAEs reported by 29 of the 99 Sildenafil Cream-assigned participants and 65 TEAEs reported by 28 of the 94 placebo cream-assigned participants (p=0.76). All TEAEs were mild or moderate in severity. The most common treatment-related TEAE among these participants was application site discomfort. There were no differences in the number of treatment-related TEAEs among Sildenafil Cream versus placebo cream users (p&gt;0.99). Four Sildenafil Cream participants and three placebo cream participants discontinued the study due to TEAEs involving application site discomfort (p&gt;0.99). There were 9 TEAEs reported by 7 of 91 sexual partners exposed to Sildenafil Cream versus 4 TEAEs reported by 4 of 84 sexual partners exposed to placebo cream (p=0.54). These data demonstrate that Sildenafil Cream was well tolerated by exposed users and their sexual partners.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Phase 3 Program</w:t>
      </w:r>
    </w:p>
    <w:p>
      <w:pPr>
        <w:spacing w:after="0" w:line="14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In January 2024, we announced the successful completion of an end-of-Phase 2 meeting with the FDA. We and the FDA aligned on key elements of the Phase 3 program to support an NDA filing, including confirming that FSAD is acceptable as an indication, the clinical trials can be conducted in a premenopausal-only FSAD population, and 12-weeks of blinded treatment to assess efficacy may be acceptable, provided that the trials are adequately powered for efficacy assessment. This is a shorter period of blinded treatment than the 24 weeks recommended in the FDA's 2016 draft guidance for industry on developing drugs for the treatment of low sexual interest, desire and/or arousal in women.</w:t>
      </w:r>
    </w:p>
    <w:p>
      <w:pPr>
        <w:spacing w:after="0" w:line="28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December 2024, we announced plans for a Phase 3 study of Sildenafil Cream reflecting further FDA feedback for safety and efficacy evaluations to support the indication of treatment of FSAD in premenopausal women. Consistent with the Phase 2b RESPOND study, the planned Phase 3 study will include a 12-week, double-blind treatment period evaluating Sildenafil Cream compared to placebo cream in patients with FSAD with or without concomitant decreased desire. The currently planned Phase 3 study will have co-primary efficacy endpoints- one assessing arousal sensations and one assessing associated distress, which will be the same co-primary endpoints for arousal sensations and associated distress used in the Phase 2b RESPOND study. In addition, secondary efficacy endpoints to assess improvement in orgasm, desire, and distress and interpersonal difficulties will be included in the Phase 3 study, as they were in the Phase 2b RESPOND study.</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plan to submit the protocol and statistical analysis plan for an adequate and well-controlled Phase 3 clinical study, reflecting the FDA’s recommendations, to the FDA in the second quarter of 2025, pending review of additional forthcoming recommendations from the FDA that impact our statistical analysis plan. We are targeting 2025 for commencement of the Phase 3 study pending the forthcoming FDA recommendations. We do not plan to conduct the Phase 3 study until after we secure additional capital.</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second confirmatory Phase 3 study will be required to support the NDA submission. We anticipate that each</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Phase 3 study will be approximately $15.0 million in direct R&amp;D costs (as defined below).</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are developing Sildenafil Cream with Strategic Science &amp; Technologies-D LLC and Strategic Science &amp; Technologies, LLC (which we refer to collectively as SST) under our license and collaboration agreement announced in February 2018. See “Strategic Agreements for Pipeline Development” below for discussion of the terms of this collaboration.</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DARE-HRT1</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DARE-HRT1 is a unique intravaginal ring, or IVR, designed to deliver bio-identical 17β-estradiol and bio-identical progesterone continuously over a 28-day period as part of a menopausal hormone therapy regimen.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 Hormone therapy is considered the most effective treatment for vasomotor symptoms, or VMS, commonly referred to as hot flashes, and the genitourinary syndrome of menopause, or GSM, and it has been shown to prevent bone loss and fracture.</w:t>
      </w:r>
    </w:p>
    <w:p>
      <w:pPr>
        <w:spacing w:after="0" w:line="11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Following clinical development, we intend to leverage the large body of existing safety and efficacy data on estradiol and progesterone, the active ingredients in DARE-HRT1, to utilize the FDA's 505(b)(2) pathway to obtain marketing approval in the U.S. of DARE-HRT1 for the treatment of moderate-to-severe VMS due to menopause in women with intact uteri. Based on pre-IND communications with the FDA and the topline PK data from our Phase 1/2 clinical trial of DARE-HRT1, which is discussed below, we believe FDA approval of DARE-HRT1 for that indication is achievable via the FDA's 505(b)(2) pathway supported by a single, placebo-controlled Phase 3 clinical trial of DARE-HRT1, with safety evaluations out to 12 months, and a scientifically justified PK “bridge” (via a relative bioavailability trial) between DARE-HRT1 and the selected listed estradiol and progesterone drugs. We are conducting activities necessary to enable submission of an IND application to the FDA for a pivotal Phase 3 clinical study of DARE-HRT1. We do not plan to conduct the Phase 3 study until after we secure additional capital.</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There are currently no FDA-approved IVRs that deliver bio-identical progesterone in combination with bio-identical estradiol. As such, DARE-HRT1 has the potential to be a first-in-category product that offers monthly convenience for women, and non-oral concurrent dosing of bio-identical progesterone in combination with bio-identical estradiol.</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In January 2023, data from our Phase 1 clinical trial of DARE-HRT1 conducted by our wholly owned subsidiary in Australia were published in </w:t>
      </w:r>
      <w:r>
        <w:rPr>
          <w:rFonts w:ascii="Arial" w:cs="Arial" w:eastAsia="Arial" w:hAnsi="Arial"/>
          <w:sz w:val="14"/>
          <w:szCs w:val="14"/>
          <w:i w:val="1"/>
          <w:iCs w:val="1"/>
          <w:color w:val="auto"/>
        </w:rPr>
        <w:t>Menopause: The Journal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North American Menopause Society, </w:t>
      </w:r>
      <w:r>
        <w:rPr>
          <w:rFonts w:ascii="Arial" w:cs="Arial" w:eastAsia="Arial" w:hAnsi="Arial"/>
          <w:sz w:val="14"/>
          <w:szCs w:val="14"/>
          <w:color w:val="auto"/>
        </w:rPr>
        <w:t>or the</w:t>
      </w:r>
      <w:r>
        <w:rPr>
          <w:rFonts w:ascii="Arial" w:cs="Arial" w:eastAsia="Arial" w:hAnsi="Arial"/>
          <w:sz w:val="14"/>
          <w:szCs w:val="14"/>
          <w:i w:val="1"/>
          <w:iCs w:val="1"/>
          <w:color w:val="auto"/>
        </w:rPr>
        <w:t xml:space="preserve"> Menopause </w:t>
      </w:r>
      <w:r>
        <w:rPr>
          <w:rFonts w:ascii="Arial" w:cs="Arial" w:eastAsia="Arial" w:hAnsi="Arial"/>
          <w:sz w:val="14"/>
          <w:szCs w:val="14"/>
          <w:color w:val="auto"/>
        </w:rPr>
        <w:t>journal, in an article entitled, “Evaluation of 28-day estradiol and progesterone vaginal rings in a phase 1 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pharmacokinetic study.” We previously announced positive topline results from the study in June 2021. The randomized, open-label, three-arm, parallel group trial evaluated the PK and safety of DARE-HRT1 in approximately 30 healthy, postmenopausal women with intact uteri, and was conducted by our wholly-owned Australian subsidiary at two specialty women's health sites in Australia. Women in the first arm received one IVR designed to release 17β-estradiol (E2) at a rate of 80 μg/d and progesterone (P4) at 4 mg/d, or the 80/4 IVR. Women in the second arm received one IVR designed to release E2 at a rate of 160 μg/d and P4 at 8 mg/d, or the 160/8 IVR. Women in the third arm received oral Estrofem® (1 mg E2) and oral Prometrium® (100 mg P4) both daily for 29 days. The primary objective of the study was to describe the PK parameters of the 80/4 IVR and the 160/8 IVR. Secondary endpoints of the study were to assess the safety and tolerability of the IVRs and compare the systemic exposure of E2, estrone, and P4 in the IVR groups with the oral group. Blood samples were taken predose then intensively over the first day (Day 1) and periodically thereafter over the remaining 27 days. After removal of the IVRs on the morning of Day 29, intensive samples were collected. Similar procedures were conducted with women enrolled in the oral group.</w:t>
      </w:r>
    </w:p>
    <w:p>
      <w:pPr>
        <w:spacing w:after="0" w:line="1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journal article concluded that the 80/4 IVR and the 160/8 IVR gave similar steady-state concentrations of E2 as seen with drug products approved by the FDA for treatment of VMS and genitourinary symptoms of menopause, and that the E2 concentrations of the study support the potential of DARE-HRT1 as a new option for hormone therapy for treatment of VMS and vaginal symptoms associated with menopause. The IVRs were well tolerated, and no SAEs were reported.</w:t>
      </w:r>
    </w:p>
    <w:p>
      <w:pPr>
        <w:spacing w:after="0" w:line="10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DARE-HRT1 has also been evaluated in a Phase 1/2 clinical trial conducted by our wholly owned subsidiary in Australia. The randomized, open-label, two-arm, parallel group Phase 1/2 study of DARE-HRT1 was designed 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14"/>
          <w:szCs w:val="14"/>
          <w:color w:val="auto"/>
        </w:rPr>
        <w:t>evaluate the PK of the same two versions of DARE-HRT1 as were evaluated in our earlier Phase 1 clinical study, the 80/4 IVR and the 160/8 IVR, in approximately 20 healthy, postmenopausal women with intact uteri. In the study, women were randomized (1:1) to either the 80/4 IVR or the 160/8 IVR and used DARE-HRT1 for three 28-day cycles, inserting a new IVR monthly. The study also collected safety, usability, acceptability and symptom-relief data, including VMS as well as the vaginal symptoms of menopause. Preliminary GSM treatment efficacy was estimated by measuring changes from baseline in vaginal pH, vaginal maturation index (VMI), and changes in the severity of GSM symptoms. Preliminary systemic VMS efficacy was measured by changes in responses to the Menopause-Specific Quality of Life (MENQOL) questionnaire. Acceptability was assessed by product experience surveys.</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In 2023, data from the Phase 1/2 study of DARE-HRT1 were published in the </w:t>
      </w:r>
      <w:r>
        <w:rPr>
          <w:rFonts w:ascii="Arial" w:cs="Arial" w:eastAsia="Arial" w:hAnsi="Arial"/>
          <w:sz w:val="14"/>
          <w:szCs w:val="14"/>
          <w:i w:val="1"/>
          <w:iCs w:val="1"/>
          <w:color w:val="auto"/>
        </w:rPr>
        <w:t>Menopause</w:t>
      </w:r>
      <w:r>
        <w:rPr>
          <w:rFonts w:ascii="Arial" w:cs="Arial" w:eastAsia="Arial" w:hAnsi="Arial"/>
          <w:sz w:val="14"/>
          <w:szCs w:val="14"/>
          <w:color w:val="auto"/>
        </w:rPr>
        <w:t xml:space="preserve"> journal in articles entitled, “A phase 1/2, open-label, parallel group study to evaluate the safety and pharmacokinetics of DARE-HRT1 (80 μg estradiol/4 mg progesterone and 160 μg estradiol/8 mg progesterone intravaginal rings) over 12 weeks in healthy postmenopausal women” (</w:t>
      </w:r>
      <w:r>
        <w:rPr>
          <w:rFonts w:ascii="Arial" w:cs="Arial" w:eastAsia="Arial" w:hAnsi="Arial"/>
          <w:sz w:val="14"/>
          <w:szCs w:val="14"/>
          <w:i w:val="1"/>
          <w:iCs w:val="1"/>
          <w:color w:val="auto"/>
        </w:rPr>
        <w:t>Menopause</w:t>
      </w:r>
      <w:r>
        <w:rPr>
          <w:rFonts w:ascii="Arial" w:cs="Arial" w:eastAsia="Arial" w:hAnsi="Arial"/>
          <w:sz w:val="14"/>
          <w:szCs w:val="14"/>
          <w:color w:val="auto"/>
        </w:rPr>
        <w:t xml:space="preserve"> 30(8):p 817-823, August 2023) and “A phase 1/2, open-label, parallel group study to evaluate the preliminary efficacy and usability of DARE-HRT1 (80 μg estradiol/4 mg progesterone and 160 μg estradiol/8 mg progesterone intravaginal rings) over 12 weeks in healthy postmenopausal women” (</w:t>
      </w:r>
      <w:r>
        <w:rPr>
          <w:rFonts w:ascii="Arial" w:cs="Arial" w:eastAsia="Arial" w:hAnsi="Arial"/>
          <w:sz w:val="14"/>
          <w:szCs w:val="14"/>
          <w:i w:val="1"/>
          <w:iCs w:val="1"/>
          <w:color w:val="auto"/>
        </w:rPr>
        <w:t>Menopause</w:t>
      </w:r>
      <w:r>
        <w:rPr>
          <w:rFonts w:ascii="Arial" w:cs="Arial" w:eastAsia="Arial" w:hAnsi="Arial"/>
          <w:sz w:val="14"/>
          <w:szCs w:val="14"/>
          <w:color w:val="auto"/>
        </w:rPr>
        <w:t xml:space="preserve"> 30(9):p 940-946, September 2023).</w:t>
      </w:r>
    </w:p>
    <w:p>
      <w:pPr>
        <w:spacing w:after="0" w:line="11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first article (</w:t>
      </w:r>
      <w:r>
        <w:rPr>
          <w:rFonts w:ascii="Arial" w:cs="Arial" w:eastAsia="Arial" w:hAnsi="Arial"/>
          <w:sz w:val="14"/>
          <w:szCs w:val="14"/>
          <w:i w:val="1"/>
          <w:iCs w:val="1"/>
          <w:color w:val="auto"/>
        </w:rPr>
        <w:t>Menopause</w:t>
      </w:r>
      <w:r>
        <w:rPr>
          <w:rFonts w:ascii="Arial" w:cs="Arial" w:eastAsia="Arial" w:hAnsi="Arial"/>
          <w:sz w:val="14"/>
          <w:szCs w:val="14"/>
          <w:color w:val="auto"/>
        </w:rPr>
        <w:t xml:space="preserve"> 30(8):p 817-823, August 2023) found that both versions of DARE-HRT1 evaluated in the Phase 1/2 study released E2 in systemic concentrations, which were in the low, normal premenopausal early folicular range and that systemic P4 concentrations were all in the normal post ovulatory range, which predicts endometrial protection. All TEAEs were mild or moderate and were distributed similarly among the 80/4 IVR and the 160/8 IVR users. The second article (</w:t>
      </w:r>
      <w:r>
        <w:rPr>
          <w:rFonts w:ascii="Arial" w:cs="Arial" w:eastAsia="Arial" w:hAnsi="Arial"/>
          <w:sz w:val="14"/>
          <w:szCs w:val="14"/>
          <w:i w:val="1"/>
          <w:iCs w:val="1"/>
          <w:color w:val="auto"/>
        </w:rPr>
        <w:t>Menopause</w:t>
      </w:r>
      <w:r>
        <w:rPr>
          <w:rFonts w:ascii="Arial" w:cs="Arial" w:eastAsia="Arial" w:hAnsi="Arial"/>
          <w:sz w:val="14"/>
          <w:szCs w:val="14"/>
          <w:color w:val="auto"/>
        </w:rPr>
        <w:t xml:space="preserve"> 30(9):p 940-946, September 2023) found that (a) preliminary local GSM treatment efficacy was supported by significant decreases in vaginal pH and percentage (%) parabasal cells, and significant increases in the overall VMI and % superficial cells for both DARE-HRT1 groups (all P values &lt;0.01) and (b) preliminary VMS efficacy was supported by significant decreases in all domains of the MENQOL questionnaire from baseline for both dosing groups (all P values &lt;0.01). Both articles concluded that data from the Phase 1/2 study support further development of DARE-HRT1 for the treatment of menopausal symptoms.</w:t>
      </w:r>
    </w:p>
    <w:p>
      <w:pPr>
        <w:spacing w:after="0" w:line="1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are developing DARE-HRT1 under our license agreement with Catalent JNP, Inc. See “Strategic Agreements for Pipeline Development” below for discussion of the terms of that agreement.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DARE-VVA1</w:t>
      </w:r>
    </w:p>
    <w:p>
      <w:pPr>
        <w:spacing w:after="0" w:line="14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DARE-VVA1 is a proprietary investigational formulation of tamoxifen in a soft gelatin capsule for intravaginal administration. We are developing DARE-VVA1 as a hormone-free alternative to estrogen-based therapies for the treatment of moderate-to-severe dyspareunia, or pain during sexual intercourse, a symptom of GSM (formerly called vulvar and vaginal atrophy or vulvovaginal atrophy (VVA)). Tamoxifen is a well-known and well-characterized selective estrogen receptor modulator, or SERM. Tamoxifen has unique properties that produce different effects (estrogen agonist or estrogen antagonist) in different types of tissues. In breast tissue, tamoxifen acts as an estrogen antagonist, meaning that it can inhibit estrogen's effect at the tissue level and hence why it may be effective in treating hormone-receptor positive (HR+) breast cancer. However, in other tissue, including vaginal tissue, tamoxifen has been reported to elicit an estrogen-like response. This has the potential to have a favorable effect on vaginal cytology and atrophy. GSM is an inflammation and thinning of the vaginal epithelium due to chronic hypo-estrogenism, which is the reduction in levels of circulating estrogen. Typical symptoms include vaginal dryness, itching and burning, and dyspareunia. GSM is a common condition in postmenopausal women and women with, or with a history of, HR+ breast cancer who received anti-cancer therapy. The prevalence of GSM in postmenopausal women is over 50% and survey data indicate only 56% of women experiencing menopausal vaginal changes discuss these symptoms with healthcare professionals, indicating that the syndrome is often underdiagnosed. Commonly used therapies for GSM are estrogen-based and are often contraindicated in HR+ breast cancer patients, or patients with a genetic predisposition or history of familial disease, because of the concern that estrogen use will promote recurrence or occurrence of disease. We believe there is a clear unmet medical need for an effective non-hormonal treatment for moderate-to-severe dyspareunia, a symptom of GSM .</w:t>
      </w:r>
    </w:p>
    <w:p>
      <w:pPr>
        <w:spacing w:after="0" w:line="11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December 2023, we announced FDA clearance of our IND application for DARE-VVA1, which was supported by results from our Phase 1/2 clinical study of DARE-VVA1 (discussed below), and we are conducting activities in preparation for a Phase 2 randomized, double-blinded, placebo-controlled, dose-finding clinical study of DARE-VVA1 for moderate-to-severe dyspareunia. At the conclusion of our development program, if successful, we intend to leverage the existing safety and efficacy data for tamoxifen to utilize the FDA’s 505(b)(2) pathway to obtain marketing approval of DARE-VVA1 in the U.S.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5" w:name="page16"/>
    <w:bookmarkEnd w:id="15"/>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An exploratory study of vaginal administration of tamoxifen in four healthy postmenopausal women diagnosed with VVA published in </w:t>
      </w:r>
      <w:r>
        <w:rPr>
          <w:rFonts w:ascii="Arial" w:cs="Arial" w:eastAsia="Arial" w:hAnsi="Arial"/>
          <w:sz w:val="14"/>
          <w:szCs w:val="14"/>
          <w:i w:val="1"/>
          <w:iCs w:val="1"/>
          <w:color w:val="auto"/>
        </w:rPr>
        <w:t>Clinical and Experimental Obstetrics &amp;</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Gynecology </w:t>
      </w:r>
      <w:r>
        <w:rPr>
          <w:rFonts w:ascii="Arial" w:cs="Arial" w:eastAsia="Arial" w:hAnsi="Arial"/>
          <w:sz w:val="14"/>
          <w:szCs w:val="14"/>
          <w:color w:val="auto"/>
        </w:rPr>
        <w:t>(2019, 46(2), 285-288) demonstrated that tamoxifen self-administered intravaginally for three months clinically benefited women with symptoms of VVA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significant systemic absorption of the study drug. In the open-label prospective cohort study with no placebo arm, participants were instructed to self-administer a vaginal suppository containing tamoxifen (20 mg) daily for one week and twice weekly for three months. Overall, the study drug was well tolerated. The primary efficacy endpoints evaluated normalization of vaginal pH and improvement of vaginal dryness. Vaginal pH and dryness scores using a visual analog scale were recorded at enrollment and subsequent assessments were recorded using self-assessment questionnaires over a three-month period. Both vaginal pH and vaginal dryness symptoms showed significant improvement after three months compared to baseline, with an approximately 30% improvement in vaginal pH scores and an approximately 63% improvement in vaginal dryness scores. The secondary endpoint was the measurement of tamoxifen concentrations after eight weeks of vaginal tamoxifen administration. When measured after eight weeks on the study treatment, serum tamoxifen levels were negligible, 5.8 ng/ml (median), with a range of 1.0 to 10.0 ng/ml. In comparison, after three months of once daily administration of oral dose of 20-mg tamoxifen, Nolvadex® (tamoxifen citrate) tablets, the average steady state plasma concentration of tamoxifen is 122 ng/ml (range of 71 to 183 ng/ml).</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DARE-VVA1 has also been evaluated in a Phase 1/2 clinical study conducted by our wholly-owned subsidiary in Australia. The randomized, multi-center, double-blind, parallel-arm, placebo-controlled, dose-ranging study enrolled 17 postmenopausal women with moderate-to-severe VVA and evaluated the safety, tolerability, plasma PK and PD of DARE-VVA1. The age of the 17 study participants ranged from 49 to 68 years, with an average age of 60.9 years. Participants were randomly allocated to one of five treatment groups (approximately four participants per group) that evaluated four dose levels of DARE-VVA1 (1 mg, 5 mg, 10 mg, and 20 mg tamoxifen) and a placebo. Following a screening visit, DARE-VVA1 was self-administered by study participants intravaginally once a day for the first two weeks, and then twice a week for the following six weeks for a total treatment period of 56 days. In each treatment group, participants had serial blood sampling for PK analysis and underwent safety evaluations and preliminary assessments of effectiveness. Following the completion of the treatment period, participants attended a safety follow-up visit. Fourteen participants completed the study. The primary endpoints of the study evaluated the safety and tolerability of DARE-VVA1 by vaginal administration and determined the plasma PK of DARE-VVA1 after intravaginal application. Secondary endpoints evaluated preliminary efficacy and PD of DARE-VVA1 in terms of the most bothersome vaginal symptom and changes in vaginal cytology and pH.</w:t>
      </w:r>
    </w:p>
    <w:p>
      <w:pPr>
        <w:spacing w:after="0" w:line="12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In November 2022, we announced topline results from the Phase 1/2 study of DARE-VVA1. In 2023, data from the study were published in Climacteric, the official journal of the International Menopause Society, in an article entitled, “Pharmacokinetics, safety and preliminary pharmacodynamic evaluation of DARE-VVA1: a soft gelatin capsule containing tamoxifen for the treatment of vulvovaginal atrophy.” The article concluded that DARE-VVA1 resulted in minimal systemic exposure to tamoxifen. Adverse events were mild to moderate in severity and distributed similarly among the DARE-VVA1 and placebo groups. Of the 15 participants who reported at least one TEAE, nine reported a TEAE related to the reproductive system, with vulvovaginal discomfort (n=5 participant reports) and vulvovaginal pruritus (n=4 participants reports) being the most common organ system preferred term. The mean local erythema scores for all visits, for all dosing groups, were in the none\absent (0) to mild (1) range, with a few outliers in the moderate (2) grading, with no discernible pattern or correlation to group. All endometrial width measurements assessed with transvaginal ultrasound were normal at baseline and at 57 days of treatment, with the maximum measurement not exceeding 4.0 mm. Plasma tamoxifen concentrations were highest among women using DARE-VVA1 20 mg, but the maximum mean (standard deviation) plasma tamoxifen concentrations on day 1 and day 56 of the treatment period were less than 14% of those measured after one oral tamoxifen dose. The article also concluded that preliminary efficacy data support further development of DARE-VVA1. The article found that DARE-VVA1 users had significant decreases from pre-treatment baseline in vaginal pH and proportion of vaginal parabasal cells (p = 0.04 for both endpoints). Plasma tamoxifen concentrations were significantly and negatively correlated with vaginal pH (Spearman R = -0.51, p&lt;0.01) and % vaginal parabasal cells (Spearman R = -0.53, p&lt;0.01). Plasma tamoxifen concentrations were significantly and positively correlated with % vaginal superficial cells (Spearman R = 0.45, p&lt;0.01), % vaginal intermediate cells (Spearman R = 0.45, p &lt;0.01) and total vaginal maturation index (VMI) (Spearman R = 0.62, p&lt;0.01). Women randomized to use DARE-VVA1 10 mg or DARE-VVA1 20 mg experienced the largest treatment impact. The severity of vaginal dryness and dyspareunia decreased significantly from baseline with DARE-VVA1 use (p = 0.02 for both endpoints).</w:t>
      </w:r>
    </w:p>
    <w:p>
      <w:pPr>
        <w:spacing w:after="0" w:line="11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acquired the DARE-VVA1 program through our acquisition of Pear Tree Pharmaceuticals in 2018. See "Strategic Agreements for Pipeline Development" below for discussion of that merger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16" w:name="page17"/>
    <w:bookmarkEnd w:id="16"/>
    <w:p>
      <w:pPr>
        <w:ind w:left="520"/>
        <w:spacing w:after="0"/>
        <w:rPr>
          <w:sz w:val="20"/>
          <w:szCs w:val="20"/>
          <w:color w:val="auto"/>
        </w:rPr>
      </w:pPr>
      <w:r>
        <w:rPr>
          <w:rFonts w:ascii="Arial" w:cs="Arial" w:eastAsia="Arial" w:hAnsi="Arial"/>
          <w:sz w:val="14"/>
          <w:szCs w:val="14"/>
          <w:b w:val="1"/>
          <w:bCs w:val="1"/>
          <w:i w:val="1"/>
          <w:iCs w:val="1"/>
          <w:u w:val="single" w:color="auto"/>
          <w:color w:val="auto"/>
        </w:rPr>
        <w:t>DARE-HPV</w:t>
      </w:r>
    </w:p>
    <w:p>
      <w:pPr>
        <w:spacing w:after="0" w:line="15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DARE-HPV (formerly referred to as R-131-2 and DARE-CIN) is an investigational, proprietary fixed-dose formulation of lopinavir and ritonavir in a soft gel vaginal insert, which we plan to develop for the treatment of genital human papillomavirus (HPV) infection in women as well as treatment of cervical intraepithelial neoplasia, or CIN (also known as cervical dysplasia), and other HPV-related pathologies. CIN is a precancerous condition in women strongly linked to HPV infection, the most common sexually transmitted infection in the U.S. Disease severity is classified on a scale from one to three based on how much epithelial tissue in the cervix has abnormal cells. There is no FDA-approved treatment for HPV infection and no non-surgical pharmaceutical intervention to treat CIN2 or CIN3 (collectively referred to as CIN2+). Current surgical procedures to treat cervical dysplasia are invasive and can adversely impact future pregnancies. We believe a non-surgical pharmaceutical approach could provide women with an important alternative to surgical procedures to treat cervical dysplasia.</w:t>
      </w:r>
    </w:p>
    <w:p>
      <w:pPr>
        <w:spacing w:after="0" w:line="11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We are conducting activities necessary to enable submission of an IND application to the FDA for a Phase 2 clinical study of DARE-HPV as a treatment for genital persistent HPV infection with high risk strains. The IND enabling activities, IND submission, and the Phase 2 study are expected to be supported by non-dilutive funding under awards granted by the federal government in 2024. See ITEM 7. "MANAGEMENT'S DISCUSSION AND ANALYSIS OF FINANCIAL CONDITION AND RESULTS OF OPERATIONS–Recent Events–Non-Dilutive Funding Awards for DARE-HPV," below.</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3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An earlier non-optimized formulation of the same two active pharmaceutical ingredients in DARE-HPV was previously evaluated in 23 non-pregnant, healthy, premenopausal, HIV un-infected Kenyan women with CIN2 or CIN3 in an open-label, proof-of-concept clinical study with all women receiving a 4:1 (133 mg lopinavir and 33 mg ritonavir) oral tablet (Lopimune) which is FDA approved for the treatment of human immunodeficiency virus (HIV), but dosed vaginally twice daily for 14 days in this study. There were no SAEs. The most common TEAEs were headache (3/23, 13%) followed by vaginal irritation (2/23, 8.7%); nausea (2/23, 8.7%); feeling faint/dizziness (2/23, 8.7%), abnormal vaginal discharge (2/23 8.7%); and abdominal pains (1/23 4.3%). In total, 5/23 or 21.7% of study subjects experienced some form of minor complaint within the first month of taking Lopimune as described. The results demonstrated its potential as a self-applied therapy for HPV infection and related cervical lesions. The proof-of-concept study is published in the Public Library of Science (PLoS) One. DARE-HPV was also previously evaluated in 12 healthy, non-pregnant, premenopausal women without high-risk HPV or CIN, in a double-blind, placebo controlled, Phase 1 clinical study to assess PK and safety in New Zealand. Participants inserted one tablet vaginally daily for 21 days. Participants reported the amount of vaginal or vulvar irritation they experienced daily using a Likert scale ranging from 0 (none) to 1 (mild, does not require medical attention) to 2 (moderate, requires medical attention) to 3 (severe, requires medical attention and results in study medication being stopped). The mean daily vaginal irritation score was 1.47 ± 1.29 for active product users (n=8) versus 1.40 ± 0.9 for placebo product users (n=4).</w:t>
      </w:r>
    </w:p>
    <w:p>
      <w:pPr>
        <w:spacing w:after="0" w:line="12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are developing DARE-HPV under our license agreement with Douglas Pharmaceuticals, Limited. See "Strategic Agreements for Pipeline Development" below for discussion of the terms of that agreement.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7" w:name="page18"/>
    <w:bookmarkEnd w:id="17"/>
    <w:p>
      <w:pPr>
        <w:ind w:left="520"/>
        <w:spacing w:after="0"/>
        <w:rPr>
          <w:sz w:val="20"/>
          <w:szCs w:val="20"/>
          <w:color w:val="auto"/>
        </w:rPr>
      </w:pPr>
      <w:r>
        <w:rPr>
          <w:rFonts w:ascii="Arial" w:cs="Arial" w:eastAsia="Arial" w:hAnsi="Arial"/>
          <w:sz w:val="14"/>
          <w:szCs w:val="14"/>
          <w:b w:val="1"/>
          <w:bCs w:val="1"/>
          <w:i w:val="1"/>
          <w:iCs w:val="1"/>
          <w:u w:val="single" w:color="auto"/>
          <w:color w:val="auto"/>
        </w:rPr>
        <w:t>DARE-PDM1</w:t>
      </w:r>
    </w:p>
    <w:p>
      <w:pPr>
        <w:spacing w:after="0" w:line="11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DARE-PDM1 is an investigational proprietary hydrogel formulation of diclofenac for vaginal administration designed to treat primary dysmenorrhea. DARE-PDM1 utilizes our proprietary hydrogel technology to vaginally deliver the active pharmaceutical ingredient, diclofenac, a nonsteroidal anti-inflammatory drug (NSAID), in a novel way for the treatment of primary dysmenorrhea. Primary dysmenorrhea is defined as painful menstruation in girls and women with normal pelvic anatomy, typically described as cramping pain in the low back or lower abdomen before or during the menstrual period. Oral NSAIDs, such as diclofenac, are often recommended for temporary relief from the painful symptoms of primary dysmenorrhea. Because there are currently no FDA-approved vaginal diclofenac treatment options for primary dysmenorrhea, DARE-PDM1 has the potential to be a first-in-category product, delivering diclofenac in a convenient vaginal format that may extend the duration of pain relief and reduce the risks associated with the oral delivery of NSAIDs. According to the American College of Obstetricians and Gynecologists’ Committee on Adolescent Health Care, dysmenorrhea is the most common menstrual symptom among adolescent girls and young women, and most adolescents experiencing dysmenorrhea have primary dysmenorrhea. Prevalence rates of dysmenorrhea vary but range from 50% to 90%.</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1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DARE-PDM1 has been evaluated in a Phase 1 clinical study, DARE-PDM1-001, conducted by our wholly-owned subsidiary in Australia. DARE-PDM1-001 was a multi-center, randomized, placebo-controlled, double-blind, three-arm parallel group study that enrolled approximately 42 healthy, premenopausal women with symptomatic primary dysmenorrhea. This study was designed to assess the systemic (plasma) and local mucosal (vaginal fluid) diclofenac PK and safety after a single dose and during three daily doses of vaginally administered DARE-PDM1, given in two different strengths (1% or 3% diclofenac in 2.5 mL of hydrogel) versus placebo (vaginal hydrogel, no active ingredient). The study also assessed, as an exploratory endpoint, the preliminary dysmenorrhea treatment efficacy of DARE-PDM1, when dosed in three daily doses at the onset of dysmenorrhea symptoms, compared to a no-treatment, baseline, control cycle. The study observation period encompassed approximately three menstrual cycles.</w:t>
      </w:r>
    </w:p>
    <w:p>
      <w:pPr>
        <w:spacing w:after="0" w:line="8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December 2023, we announced topline data from the DARE-PDM1-001 study. Participants received 1% diclofenac (n=14), 3% diclofenac (n=14) or placebo (n=14). All 42 participants completed the nine study visits. The topline data indicate that the study treatment was well-tolerated, and TEAE profiles were comparable between the DARE-PDM1 treatment groups and the placebo group. All adverse events were mild or moderate; most adverse events (85%) were mild. There were no early discontinuations due to an adverse event, and no SAEs were reported. The most common TEAEs were nausea, vomiting and abdominal discomfort, followed by vulvovaginal candidiasis and pelvic discomfort.</w:t>
      </w:r>
    </w:p>
    <w:p>
      <w:pPr>
        <w:spacing w:after="0" w:line="8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vaginal fluid PK results exhibited dose proportionality for the 1% and 3% diclofenac strengths of the DARE-PDM1 study treatment. Additionally, the vaginal fluid PK results demonstrated that for approximately 75% (21/28) of the women in the DARE-PDM1 treatment groups the product was retained in the vaginal canal through 24 hours. The plasma PK results similarly exhibited dose proportionality for the 1% and 3% diclofenac strengths of the DARE-PDM1 study treatment. Plasma levels of diclofenac were at peak plasma concentrations within 3-4 hours for both diclofenac strengths of the DARE-PDM1 study treatment, and diclofenac was no longer detectable in the plasma by 48 hours post study treatment for the majority of subjects in the study. The plasma PK results for both DARE-PDM1 treatment groups indicate that vaginal dosing could result in systemic exposure which is approximately 1,000 times less than that seen from oral use of diclofenac.</w:t>
      </w:r>
    </w:p>
    <w:p>
      <w:pPr>
        <w:spacing w:after="0" w:line="7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exploratory endpoint that evaluated the preliminary efficacy of DARE-PDM1 versus placebo in reducing dysmenorrhea-associated pain showed a promising signal, with a statistically significant decrease in pelvic/vaginal and lower back pain scores in the 1% diclofenac DARE-PDM1 treatment group compared to the placebo group, as well as a decrease in pain scores in the 3% diclofenac DARE-PDM1 treatment group. Additionally, while most participants used at least one non-pharmacologic pain relief method (e.g., heating pad) for dysmenorrhea-associated pain during the no-treatment, baseline, control cycle, the proportion of participants who used at least one non-pharmacologic pain relief method for dysmenorrhea-associated pain decreased significantly in the DARE-PDM1 treatment groups during the dosing period, but not in the placebo group. There was no difference in the exploratory assessment of frequency of use of rescue medications in the treatment phase between the three groups.</w:t>
      </w:r>
    </w:p>
    <w:p>
      <w:pPr>
        <w:spacing w:after="0" w:line="8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believe the topline results of the Phase 1 study support continued clinical development of DARE-PDM1 as a treatment for primary dysmenorrhea. At the conclusion of the development program, if successful, we intend to leverage the existing safety and efficacy data for diclofenac to utilize the FDA's 505(b)(2) pathway to obtain marketing approval of DARE-PDM1 in the 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18" w:name="page19"/>
    <w:bookmarkEnd w:id="18"/>
    <w:p>
      <w:pPr>
        <w:jc w:val="both"/>
        <w:ind w:firstLine="509"/>
        <w:spacing w:after="0" w:line="290" w:lineRule="auto"/>
        <w:rPr>
          <w:sz w:val="20"/>
          <w:szCs w:val="20"/>
          <w:color w:val="auto"/>
        </w:rPr>
      </w:pPr>
      <w:r>
        <w:rPr>
          <w:rFonts w:ascii="Arial" w:cs="Arial" w:eastAsia="Arial" w:hAnsi="Arial"/>
          <w:sz w:val="14"/>
          <w:szCs w:val="14"/>
          <w:color w:val="auto"/>
        </w:rPr>
        <w:t>We are developing DARE-PDM1 under our agreements with TriLogic Pharma, LLC, MilanaPharm LLC and Hammock Pharmaceuticals, Inc. See "Strategic Agreements for Pipeline Development" below for discussion of those agreements.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DARE-204 and DARE-214</w:t>
      </w:r>
    </w:p>
    <w:p>
      <w:pPr>
        <w:spacing w:after="0" w:line="8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DARE-204 and DARE-214 are formulations of etonogestrel designed to provide contraception over 6-month and 12-month periods, respectively. These product candidates are being developed as a sub-cutaneous injectable, longer-acting, reversible method of contraception with a more predictable return to fertility. We plan to conduct Phase 1 clinical studies of DARE-204 and DARE-214 in Australia through our wholly-owned subsidiary in Australia. Additional manufacturing activities are necessary to commence the Phase 1 studies and these activities have not commenced. If we exercise our option and enter into an exclusive worldwide license agreement for DARE-204 and/or DARE-214, at the conclusion of these development programs, if successful, we intend to leverage the existing safety and efficacy data for etonogestrel to utilize the FDA's 505(b)(2) pathway to obtain marketing approval in the U.S.</w:t>
      </w:r>
    </w:p>
    <w:p>
      <w:pPr>
        <w:spacing w:after="0" w:line="8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are developing DARE-204 and DARE-214 under our development and option agreement with Adare Pharmaceuticals USA, Inc. See "Strategic Agreements for Pipeline Development" below for discussion of the terms of that agreement.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DARE-FRT1 and DARE-PTB1</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DARE-FRT1 and DARE-PTB1 are IVRs designed to release bio-identical progesterone continuously for up to 14 days. DARE-FRT1 is being developed for luteal phase support as part of an in vitro fertilization, or IVF, treatment plan. DARE-PTB1 is being developed for the prevention of preterm birth. DARE-FRT1 and DARE-PTB1 use the same IVR technology platform as DARE-HRT1. We are conducting development activities to support IND submissions and Phase 1 clinical studies of these product candidates. We have a grant award from the NIH to support a Phase 1 study of DARE-PTB1, but do not plan to conduct the Phase 1 studies until after we secure additional capital. At the conclusion of these development programs, if successful, we intend to leverage the existing safety and efficacy data for progesterone to utilize the FDA’s 505(b)(2) pathway to obtain marketing approval of DARE-FRT1 and DARE-PTB1 in the U.S.</w:t>
      </w:r>
    </w:p>
    <w:p>
      <w:pPr>
        <w:spacing w:after="0" w:line="1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are developing DARE-FRT1 and DARE-PTB1 under our license agreement with Catalent JNP, Inc. See "Strategic Agreements for Pipeline Development" below for discussion of the terms of that agreement.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Casea 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Casea S is an investigational biodegradable contraceptive implant. Casea S is designed to control release of a well-characterized contraceptive, etonogestrel, for a set period of time (18-24 months) before dissolving. It is designed to provide women with a long-acting, minimally-invasive contraceptive method that will not require surgical removal by a healthcare provider, which would improve convenience and could eliminate one of the barriers to use associated with existing implanted contraceptives. Casea S is being tested in a single-center, two-part Phase 1 clinical study to evaluate the PK of etonogestrel, removability, safety, and tolerability of Casea S pellets inserted subdermally in healthy women of reproductive age (ClinicalTrials.gov ID: NCT05174884). The ongoing Phase 1 study is being conducted by FHI 360, a nonprofit organization, with support from the Foundation. There are no development costs to us at this time.</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Casea S was recently acquired by Theramex. In February 2025, we entered into a co-development and licensing agreement with Theramex for the development of Casea S in the U.S. If we determine that the results from the Phase 1 study are positive and elect to proceed with development, we would be responsible for conducting a Phase 2 study in the U.S., In accordance with our agreement, the costs of such Phase 2 study would be shared by us and Theramex on terms to be agreed upon, taking into account the size of the opportunity for Casea S in our respective markets. See "Strategic Agreements for Pipeline Development" below for discussion of the terms of that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503B Compounding</w:t>
      </w:r>
    </w:p>
    <w:p>
      <w:pPr>
        <w:spacing w:after="0" w:line="1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Sildenafil citrate is currently listed as a nominated bulk drug substance that may be used in compounding by 503B-registered outsourcing facilities, and we are taking action to make our proprietary Sildenafil Cream formulation available via prescription under Section 503B of the FDCA. Under Section 503B of the FDCA, outsourcing facilities, which must be registered with the FDA and are subject to current Good Manufacturing Practice, or cGMP, requirements and FDA inspections, may provide compounded drugs without an individual patient prescription. See "Government Regulation—U.S. Government Regulation—Regulation of Compounded Drugs” below for additional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4"/>
          <w:szCs w:val="14"/>
          <w:color w:val="auto"/>
        </w:rPr>
        <w:t>information regarding compounding under Section 503B of the FDCA. We are targeting to make our proprietary Sildenafil Cream formulation available in the fourth quarter of 2025. For additional information, see ITEM 7. “MANAGEMENT’S DISCUSSION AND ANALYSIS OF FINANCIAL CONDITION AND RESULTS OF OPERATIONS–Recent Events– Sildenafil Cream as a Compounded Drug,” below.</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Pipeline: Pre-Clinical Stage Programs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pre-clinical stage programs include:</w:t>
      </w:r>
    </w:p>
    <w:p>
      <w:pPr>
        <w:spacing w:after="0" w:line="94" w:lineRule="exact"/>
        <w:rPr>
          <w:sz w:val="20"/>
          <w:szCs w:val="20"/>
          <w:color w:val="auto"/>
        </w:rPr>
      </w:pPr>
    </w:p>
    <w:p>
      <w:pPr>
        <w:ind w:left="1020" w:hanging="251"/>
        <w:spacing w:after="0" w:line="290" w:lineRule="auto"/>
        <w:tabs>
          <w:tab w:leader="none" w:pos="1016"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DARE-LARC1</w:t>
      </w:r>
      <w:r>
        <w:rPr>
          <w:rFonts w:ascii="Arial" w:cs="Arial" w:eastAsia="Arial" w:hAnsi="Arial"/>
          <w:sz w:val="14"/>
          <w:szCs w:val="14"/>
          <w:color w:val="auto"/>
        </w:rPr>
        <w:t>, a contraceptive implant delivering levonorgestrel with a woman-centered design that has the potential to be a long-acting, yet convenient and user-controlled contraceptive option;</w:t>
      </w:r>
    </w:p>
    <w:p>
      <w:pPr>
        <w:spacing w:after="0" w:line="35" w:lineRule="exact"/>
        <w:rPr>
          <w:rFonts w:ascii="Arial" w:cs="Arial" w:eastAsia="Arial" w:hAnsi="Arial"/>
          <w:sz w:val="14"/>
          <w:szCs w:val="14"/>
          <w:b w:val="1"/>
          <w:bCs w:val="1"/>
          <w:color w:val="auto"/>
        </w:rPr>
      </w:pPr>
    </w:p>
    <w:p>
      <w:pPr>
        <w:ind w:left="1020" w:hanging="251"/>
        <w:spacing w:after="0"/>
        <w:tabs>
          <w:tab w:leader="none" w:pos="10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DARE-RH1</w:t>
      </w:r>
      <w:r>
        <w:rPr>
          <w:rFonts w:ascii="Arial" w:cs="Arial" w:eastAsia="Arial" w:hAnsi="Arial"/>
          <w:sz w:val="14"/>
          <w:szCs w:val="14"/>
          <w:color w:val="auto"/>
        </w:rPr>
        <w:t>, a novel approach to non-hormonal contraception for both men and women by targeting the CatSper ion channel; and</w:t>
      </w:r>
    </w:p>
    <w:p>
      <w:pPr>
        <w:spacing w:after="0" w:line="93" w:lineRule="exact"/>
        <w:rPr>
          <w:rFonts w:ascii="Arial" w:cs="Arial" w:eastAsia="Arial" w:hAnsi="Arial"/>
          <w:sz w:val="14"/>
          <w:szCs w:val="14"/>
          <w:b w:val="1"/>
          <w:bCs w:val="1"/>
          <w:color w:val="auto"/>
        </w:rPr>
      </w:pPr>
    </w:p>
    <w:p>
      <w:pPr>
        <w:ind w:left="1020" w:hanging="251"/>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DARE-PTB2</w:t>
      </w:r>
      <w:r>
        <w:rPr>
          <w:rFonts w:ascii="Arial" w:cs="Arial" w:eastAsia="Arial" w:hAnsi="Arial"/>
          <w:sz w:val="14"/>
          <w:szCs w:val="14"/>
          <w:color w:val="auto"/>
        </w:rPr>
        <w:t>, a novel approach for the prevention and treatment of idiopathic preterm birth through inhibition of a stress response protein.</w:t>
      </w:r>
    </w:p>
    <w:p>
      <w:pPr>
        <w:spacing w:after="0" w:line="1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DARE-LARC1, our potential user-controlled, long-acting reversible contraceptive, is designed to store and precisely deliver hundreds of therapeutic doses of the contraceptive levonorgestrel over a period of years and to be controlled by the user, without further intervention by a healthcare provider. DARE-LARC1’s woman-centered design seeks to offer the benefits of traditional long-acting reversible contraceptives with the added flexibility and convenience for the user to pause and resume release of levonorgestrel, depending on her desire for fertility or contraceptive protection. Under a grant agreement we entered into in June 2021, as amended, we may receive up to approximately $ 49.0 million, payable over approximately five years, to advance development of the technology through nonclinical proof of principle studies to enable an IND submission. As of the date of this report, we have received payments totaling approximately $31.8 million under the grant agreement. Additional payments are contingent upon the DARE-LARC1 program's achievement of development and reporting milestones specified in the grant agreement.</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DARE-LBT program has been supported by a private foundation grant of approximately $585,000 under a grant agreement that we entered into in November 2022. The grant funds supported activities related to development of a vaginal thermosetting gel formulation for the delivery of live biotherapeutics that can be reconstituted at the point of care. We believe DARE-LBT merits further development as a delivery vehicle with potential to enhance the availability of novel therapeutics for vaginal health in the United States and worldwide, including in countries with varying climatic conditions and/or where extended storage may be required.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5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Our approach is to develop an appropriate commercialization strategy for each of our product candidates based on the size of the market opportunity, the level of competition and the anticipated complexity of the launch. As we move our product candidates through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Organon has global commercial rights to XACIATO under our exclusive license agreement, and we have an exclusive license agreement with Bayer to out-license U.S. commercialization of Ovaprene. Each of these collaborators has established marketing, sales and distribution capabilities in women's health. We expect to continue to evaluate each product opportunity and pursue the commercialization strategy that we believe will maximize the return on our assets in and outside of the U.S. for our stockholders. We have engaged third parties to assist in commercial planning and other commercial readiness activities for our product candidates and intend to continue to do so, as needed.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“Strategic Agreements for Product Commercialization” below for a discussion of the terms of our out-license agreements.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Manufacturing and Supply</w:t>
      </w:r>
    </w:p>
    <w:p>
      <w:pPr>
        <w:spacing w:after="0" w:line="15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do not own or operate, nor do we expect to own or operate, facilities for manufacturing, storage and distribution, or testing of our product candidates. We rely on third parties to supply and manufacture our product candidates and other materials necessary to conduct pre -clinical testing, clinical trials and other activities required for regulatory approval of our product candidates, and expect to continue to do so in the future. In addition, to the extent our commercialization strategy for any future approved product requires that we undertake commercial supply obligations, we intend to rely on contract manufacturers and suppliers for manufacture, storage, distribution and testing of our finished commercial products and their respective components, including the active pharmaceutical ingredients, or API. These arrangements require less upfront capital expenditure and allow us to maintain a smaller and more flexible infrastructure.</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Under the terms of our license agreement with Organon, we were responsible for providing product supply of XACIATO on an interim basis until Organon assumed such responsibility. In March 2022, we entered into a long-term supply and manufacturing agreement with the contract manufacturing organization, or CMO, that provided clinical supplies of XACIATO for our pivotal Phase 3 DARE-BVFREE clinical study. Under the terms of our agreement, the CMO was responsible for obtaining supplies, at our expense, of all components necessary for the manufacture of XACIATO, including the API, clindamycin. In December 2023, Organon assumed our obligations under the agreement with the CMO and our product supply agreement with Organon was terminated.</w:t>
      </w:r>
    </w:p>
    <w:p>
      <w:pPr>
        <w:spacing w:after="0" w:line="1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Under our agreement with ADVA-Tec, ADVA-Tec is responsible for providing all clinical trial and commercial supplies of Ovaprene, either directly or through a CMO, and except under limited circumstances, we may not obtain supplies of Ovaprene from any source other than ADVA-Tec or its CMO and licensor, Poly-Med, Inc. Other than our agreement with ADVA-Tec, we have no long-term arrangements for the production or supply of our product candidates or the materials required to produce them.</w:t>
      </w:r>
    </w:p>
    <w:p>
      <w:pPr>
        <w:spacing w:after="0" w:line="1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Under the terms of our license agreement with SST, SST was responsible for providing clinical supplies of Sildenafil Cream for Phase 2 clinical studies in the U.S., and we are responsible for providing supplies of Sildenafil Cream for Phase 3 clinical development and, if approved, for marketing and sale. Currently, we plan to obtain clinical supplies of Sildenafil Cream from the same CMO that manufactured Sildenafil Cream for the Phase 2b RESPOND clinical study.</w:t>
      </w:r>
    </w:p>
    <w:p>
      <w:pPr>
        <w:spacing w:after="0" w:line="10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expect that our current arrangements will meet our foreseeable needs for clinical trial materials or, generally, that alternative supply sources will be readily available. However, we may experience manufacturing and supply delays and disruptions in the event we need to engage alternative supply sources, as well as in connection with our current CMOs scaling up production to meet our clinical supply requirements for later stage clinical studies. In addition, some key raw materials or components of our clinical-stage product candidates, including Ovaprene and Sildenafil Cream, have only a single source of supply and alternative supply sources may not be readily available. Global supply chain disruptions, including those related to recent and ongoing geopolitical events, may contribute to manufacturing and supply delays. See ITEM 1A. "RISK FACTORS – Risks Related to Product Research &amp; Development and Regulatory Approval – 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below.</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Strategic Agreements for Product Commercialization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Organon License Agreement</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March 2022, we entered into an agreement with Organon, which became fully effective in June 2022, whereby Organon licensed exclusive worldwide rights to develop, manufacture and commercialize XACIATO and other future intravaginal or urological products for human use formulated with clindamycin that rely on intellectual property we control. In 2022, we received a $10.0 million non-refundable and non-creditable payment from Organon, which was recorded as license fee revenue. In 2023, Organon paid us $1.0 million in connection with entering into an amendment to our license agreement, which was also recorded as license fee revenue, and $1.8 million in connection with the first commercial sale of a licensed product in the United States, which was recorded as milestone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4"/>
          <w:szCs w:val="14"/>
          <w:color w:val="auto"/>
        </w:rPr>
        <w:t>Under the terms of our license agreement, as amended, Organon agreed to pay tiered double-digit royalties based on net sales and potential future milestone payments of up to $180.0 million in tiered commercial sales milestones and regulatory milestones. Royalty payments will be subject to customary reductions and offsets. 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2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4"/>
          <w:szCs w:val="14"/>
          <w:color w:val="auto"/>
        </w:rPr>
        <w:t>As described below, in April 2024, we sold to XOMA our rights to all royalty and potential milestone payments based on net sales of XACIATO under our license agreement with Organon, net of our obligations to certain third parties, until XOMA receives a specified return on its investment, after which we will share equally in the royalty and milestone payments earned on net sales of XACIATO from Organon.</w:t>
      </w:r>
    </w:p>
    <w:p>
      <w:pPr>
        <w:spacing w:after="0" w:line="16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Unless terminated earlier, our license agreement with Organon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spacing w:after="0" w:line="10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Our license agreement with Organon includes customary representations and warranties, covenants and indemnification obligations of each party. In addition, the agreement provides Organon exclusive worldwide rights of first negotiation for specified potential future products of ours.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Bayer License Agreement</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January 2020, we entered into a license agreement with Bayer regarding the further development and commercialization of Ovaprene in the U.S. We received a $ 1.0 million upfront non-refundable payment from Bayer and Bayer agreed to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w:t>
      </w:r>
    </w:p>
    <w:p>
      <w:pPr>
        <w:spacing w:after="0" w:line="10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i w:val="1"/>
          <w:iCs w:val="1"/>
          <w:color w:val="auto"/>
        </w:rPr>
        <w:t xml:space="preserve">Royalties and Milestone Payments Payable by Bayer. </w:t>
      </w:r>
      <w:r>
        <w:rPr>
          <w:rFonts w:ascii="Arial" w:cs="Arial" w:eastAsia="Arial" w:hAnsi="Arial"/>
          <w:sz w:val="14"/>
          <w:szCs w:val="14"/>
          <w:color w:val="auto"/>
        </w:rPr>
        <w:t>We will be entitled to receive (a) a milestone payment in the low double-digit millions upon the first commercial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4"/>
          <w:szCs w:val="14"/>
          <w:color w:val="auto"/>
        </w:rPr>
        <w:t>As described below, in April 2024, we sold to XOMA a portion of our rights to the potential $20.0 million payment from Bayer described above and our rights to a portion of future net sales of Ovaprene under our agreement with Bayer.</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Efforts</w:t>
      </w:r>
      <w:r>
        <w:rPr>
          <w:rFonts w:ascii="Arial" w:cs="Arial" w:eastAsia="Arial" w:hAnsi="Arial"/>
          <w:sz w:val="14"/>
          <w:szCs w:val="14"/>
          <w:color w:val="auto"/>
        </w:rPr>
        <w:t>. We will be responsible for the pivotal trial for Ovaprene and for its development and regulatory activities and we have product supply obligations. After payment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Clinical Trial and Manufacturing Activities Fee, Bayer will be responsible for the commercialization of Ovaprene for human contraception in the U.S.</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The initial term of the agreement, which is subject to automatic renewal terms, continues until the later of (a) the expiration of any valid claim covering the</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manufacture, use, sale or import of Ovaprene in the U.S.; or (b) 15</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4"/>
          <w:szCs w:val="14"/>
          <w:color w:val="auto"/>
        </w:rPr>
        <w:t>years from the first commercial sale of Ovaprene in the U.S. In addition to customary termination rights for both parties, Bayer may terminate the agreement at any time on 90 days’ notice and the agreement will automatically terminate if we do not receive the Clinical Trial and Manufacturing Activities Fee if and when due.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Agreements for Pipeline Development</w:t>
      </w:r>
    </w:p>
    <w:p>
      <w:pPr>
        <w:spacing w:after="0" w:line="20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following is a summary of certain rights and obligations under our strategic agreements and describes expenses incurred during 2024 and our future payment or potential future payment obligations thereunder.</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Theramex Co-Development and License Agreement</w:t>
      </w:r>
    </w:p>
    <w:p>
      <w:pPr>
        <w:spacing w:after="0" w:line="14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February 2025, we entered into a co-development and licensing agreement with Theramex for an investigational biodegradable contraceptive implant called Casea S recently acquired by Theramex. Under the agreement, we received a royalty-free, exclusive, fully paid up, sublicensable license to the U.S. patents Theramex recently acquired for Casea S. We paid a minimal fee to Theramex in connection with entering into the agreement. There are no development costs to us at this time. If we determine that the results from the ongoing Phase 1 clinical study are positive and elect to proceed with development, we would be responsible for conducting a Phase 2 study in the U.S. In accordance with our agreement, the costs of such Phase 2 study, and the costs of a future Phase 3 study in the U.S., would be shared by us and Theramex on terms to be agreed upon, taking into account the size of the opportunity for Casea S in our respective markets. If we do not elect to proceed with development after reviewing the results from the Phase 1 study, we may terminate the agreement upon notice to Theramex.</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Douglas License Agreement / The University of Manchester Stand-by Direct License Arrangement</w:t>
      </w:r>
    </w:p>
    <w:p>
      <w:pPr>
        <w:spacing w:after="0" w:line="17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August 2023, we entered into a license agreement with Douglas Pharmaceuticals Limited, or Douglas, under which we acquired the exclusive rights to develop and commercialize a lopinavir and ritonavir combination soft gel vaginal insert for the treatment of CIN and other HPV-related pathologies, and an agreement with The University of Manchester, pursuant to which The University of Manchester consented to Douglas' sublicense to us of certain rights it previously granted to Douglas and agreed to grant us a direct license to such rights if its license agreement with Douglas is terminated. As a result of these agreements, we commenced our DARE-CIN program. Under our agreement with Douglas, we received an exclusive, royalty-bearing license to research, develop and commercialize the licensed intellectual property in the United States for the treatment or prevention of all indications for women in female reproductive health. We are entitled to sublicense the rights granted to us under the agreement.</w:t>
      </w:r>
    </w:p>
    <w:p>
      <w:pPr>
        <w:spacing w:after="0" w:line="14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agreed to make potential future milestone payments to Douglas of (1) up to $5.25 million in the aggregate upon achieving certain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milestones, which may be paid in shares of our common stock, in our sole discretion subject to specified limitations, and (2) up to $64.0 million in the aggregate upon achieving certain commercial sales milestones for each product covered by the licenses granted under the agreement.</w:t>
      </w:r>
    </w:p>
    <w:p>
      <w:pPr>
        <w:spacing w:after="0" w:line="10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Douglas is eligible to receive tiered royalties in low single-digit to low double-digit percentages based on annual net sales of products and processes</w:t>
      </w:r>
      <w:r>
        <w:rPr>
          <w:rFonts w:ascii="Arial" w:cs="Arial" w:eastAsia="Arial" w:hAnsi="Arial"/>
          <w:sz w:val="14"/>
          <w:szCs w:val="14"/>
          <w:i w:val="1"/>
          <w:iCs w:val="1"/>
          <w:color w:val="auto"/>
        </w:rPr>
        <w:t xml:space="preserve"> </w:t>
      </w:r>
      <w:r>
        <w:rPr>
          <w:rFonts w:ascii="Arial" w:cs="Arial" w:eastAsia="Arial" w:hAnsi="Arial"/>
          <w:sz w:val="14"/>
          <w:szCs w:val="14"/>
          <w:color w:val="auto"/>
        </w:rPr>
        <w:t>covered by the licenses granted under the agreement.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to develop and introduce to market at least one product or process.</w:t>
      </w:r>
    </w:p>
    <w:p>
      <w:pPr>
        <w:spacing w:after="0" w:line="14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Unless earlier terminated, the agreement expires upon the expiration of the last-to-expire royalty term. In addition to customary termination rights for both parties, we</w:t>
      </w:r>
      <w:r>
        <w:rPr>
          <w:rFonts w:ascii="Arial" w:cs="Arial" w:eastAsia="Arial" w:hAnsi="Arial"/>
          <w:sz w:val="14"/>
          <w:szCs w:val="14"/>
          <w:i w:val="1"/>
          <w:iCs w:val="1"/>
          <w:color w:val="auto"/>
        </w:rPr>
        <w:t xml:space="preserve"> </w:t>
      </w:r>
      <w:r>
        <w:rPr>
          <w:rFonts w:ascii="Arial" w:cs="Arial" w:eastAsia="Arial" w:hAnsi="Arial"/>
          <w:sz w:val="14"/>
          <w:szCs w:val="14"/>
          <w:color w:val="auto"/>
        </w:rPr>
        <w:t>may elect to terminate the agreement at any time, with or without cause, upon advance written notice to Douglas, and Douglas may terminate the agreement if we materially fail to fulfill diligence requirements with respect to product development.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Hennepin License Agreement</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August 2022, we entered into a license agreement with Hennepin Life Sciences LLC, or Hennepin, under which we acquired the exclusive global rights to develop and commercialize treatments delivering the novel antimicrobial glycerol monolaurate (GML) intravaginally for a variety of health conditions including bacterial, fungal, and viral infections. As a result of this license agreement, we commenced our DARE-GML program. Under the agreement, we received an exclusive, worldwide, royalty-bearing license to research, develop and commercialize the licensed technology. We are entitled to sublicense the rights granted to us under the agreement.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23" w:name="page24"/>
    <w:bookmarkEnd w:id="23"/>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agreed to make potential future development and sales milestone payments of (1) up to $ 6.25 million in the aggregate upon achieving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and regulatory milestones, and (2) up to $ 45.0 million in the aggregate upon achieving certain commercial sales milestones for each product covered by the licenses granted under the agreement, which may be paid, in our sole discretion, in cash or shares of our common stock.</w:t>
      </w:r>
    </w:p>
    <w:p>
      <w:pPr>
        <w:spacing w:after="0" w:line="11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Hennepin is eligible to receive tiered royalties in low single-digit to low double-digit percentages based on worldwide net sales of products and processes</w:t>
      </w:r>
      <w:r>
        <w:rPr>
          <w:rFonts w:ascii="Arial" w:cs="Arial" w:eastAsia="Arial" w:hAnsi="Arial"/>
          <w:sz w:val="14"/>
          <w:szCs w:val="14"/>
          <w:i w:val="1"/>
          <w:iCs w:val="1"/>
          <w:color w:val="auto"/>
        </w:rPr>
        <w:t xml:space="preserve"> </w:t>
      </w:r>
      <w:r>
        <w:rPr>
          <w:rFonts w:ascii="Arial" w:cs="Arial" w:eastAsia="Arial" w:hAnsi="Arial"/>
          <w:sz w:val="14"/>
          <w:szCs w:val="14"/>
          <w:color w:val="auto"/>
        </w:rPr>
        <w:t>covered by the licenses granted under the agreement.</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to develop and introduce to market at least one product.</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Unless earlier terminated, the agreement expires in its entirety upon the last to expire royalty term. In addition to customary termination rights for both parties, we may</w:t>
      </w:r>
      <w:r>
        <w:rPr>
          <w:rFonts w:ascii="Arial" w:cs="Arial" w:eastAsia="Arial" w:hAnsi="Arial"/>
          <w:sz w:val="14"/>
          <w:szCs w:val="14"/>
          <w:i w:val="1"/>
          <w:iCs w:val="1"/>
          <w:color w:val="auto"/>
        </w:rPr>
        <w:t xml:space="preserve"> </w:t>
      </w:r>
      <w:r>
        <w:rPr>
          <w:rFonts w:ascii="Arial" w:cs="Arial" w:eastAsia="Arial" w:hAnsi="Arial"/>
          <w:sz w:val="14"/>
          <w:szCs w:val="14"/>
          <w:color w:val="auto"/>
        </w:rPr>
        <w:t>elect to terminate the agreement at any time, with or without cause, on a country-by-country basis, and Hennepin may terminate the agreement if we do not undertake any development work with respect to the licensed intellectual property for five consecutive years from the date of the agreement.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Cooperative Research and Development Agreement with NICHD</w:t>
      </w:r>
    </w:p>
    <w:p>
      <w:pPr>
        <w:spacing w:after="0" w:line="14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In July 2021, we entered into a CRADA with the U.S. Department of Health and Human Services (HHS), as represented by NICHD, part of the NIH, for the conduct of a pivotal Phase 3 clinical study of Ovaprene. Pursuant to the terms of the CRADA, we are responsible for providing clinical supplies of Ovaprene, coordinating interactions with the FDA, preparing and submitting supportive regulatory documentation, and providing a total of $5.5 million to NICHD to be applied toward the costs of conducting the Phase 3 study, all of which had been paid as of September 30, 2024. NICHD is responsible for the other costs related to the conduct of the Phase 3 study and for managing the payment of expenses to other parties involved with the study. However, for recent developments relating to NICHD's performance under the CRADA, see "Our Pipeline: Clinical Stage Programs–Ovaprene–Pivotal Phase 3 Clinical Study" above.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 The CRADA expires five years from its effective date.</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MBI Acquisition</w:t>
      </w:r>
    </w:p>
    <w:p>
      <w:pPr>
        <w:spacing w:after="0" w:line="1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November 2019, we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8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24" w:name="page25"/>
    <w:bookmarkEnd w:id="24"/>
    <w:p>
      <w:pPr>
        <w:jc w:val="both"/>
        <w:ind w:firstLine="509"/>
        <w:spacing w:after="0" w:line="260" w:lineRule="auto"/>
        <w:rPr>
          <w:sz w:val="20"/>
          <w:szCs w:val="20"/>
          <w:color w:val="auto"/>
        </w:rPr>
      </w:pPr>
      <w:r>
        <w:rPr>
          <w:rFonts w:ascii="Arial" w:cs="Arial" w:eastAsia="Arial" w:hAnsi="Arial"/>
          <w:sz w:val="14"/>
          <w:szCs w:val="14"/>
          <w:color w:val="auto"/>
        </w:rPr>
        <w:t>In June 2021, a total of $ 1.25 million of the contingent consideration became payable upon the achievement of certain of the funding and product development milestone events, $1.0 million of which was recorded as contingent consideration on our consolidated balance sheets upon the completion of the MBI acquisition and $250,000 of which was expensed in 2021. In July 2021, our board of directors elected to make these milestone payments in shares of our common stock, to the extent permissible under the terms of the merger agreement with MBI, and, in September 2021, we issued approximately 58,334 shares of our common stock to former stockholders of MBI and paid $75,000 in cash to the stockholders' representative in accordance with the terms of the merger agreement in satisfaction of the $1.25 million in milestone payments associated with milestones achieved in June 2021.</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TriLogic and MilanaPharm License Agreement / Hammock Assignment Agreement</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we entered into amendments to each of the Assignment Agreement and License Amendment. In September 2021, we entered into a second amendment to the License Agreement. In March 2022, in connection with entering into our exclusive license agreement with Organon, we entered into a consent, waiver and stand-by license agreement with TriLogic, MilanaPharm and Organon, which further amended the License Agreement.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License Amendment, as amended:</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paid MilanaPharm $500,000 in connection with the first commercial sale in the United States of XACIATO in the fourth quarter of 2023. We may</w:t>
      </w:r>
      <w:r>
        <w:rPr>
          <w:rFonts w:ascii="Arial" w:cs="Arial" w:eastAsia="Arial" w:hAnsi="Arial"/>
          <w:sz w:val="14"/>
          <w:szCs w:val="14"/>
          <w:i w:val="1"/>
          <w:iCs w:val="1"/>
          <w:color w:val="auto"/>
        </w:rPr>
        <w:t xml:space="preserve"> </w:t>
      </w:r>
      <w:r>
        <w:rPr>
          <w:rFonts w:ascii="Arial" w:cs="Arial" w:eastAsia="Arial" w:hAnsi="Arial"/>
          <w:sz w:val="14"/>
          <w:szCs w:val="14"/>
          <w:color w:val="auto"/>
        </w:rPr>
        <w:t>pay up to $250,000 upon the first commercial sale in the United States of successive licensed products for each vaginal or urological use. In addition, upon achievement of $50.0 million in cumulative worldwide net sales of licensed products, we must pay $1.0 million to MilanaPharm.</w:t>
      </w:r>
    </w:p>
    <w:p>
      <w:pPr>
        <w:spacing w:after="0" w:line="11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Foreign Sublicense Income</w:t>
      </w:r>
      <w:r>
        <w:rPr>
          <w:rFonts w:ascii="Arial" w:cs="Arial" w:eastAsia="Arial" w:hAnsi="Arial"/>
          <w:sz w:val="14"/>
          <w:szCs w:val="14"/>
          <w:color w:val="auto"/>
        </w:rPr>
        <w:t>. MilanaPharm is eligible to receive a low double-digit percentage of all income received by us or our affiliates in connection with any sublicense</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to a third party for use outside of the United States, subject to certain exclusions.</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During the royalty term, MilanaPharm is eligible to receive high single-digit to low double-digit royalties based on annual worldwide net sales of licensed</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Efforts</w:t>
      </w:r>
      <w:r>
        <w:rPr>
          <w:rFonts w:ascii="Arial" w:cs="Arial" w:eastAsia="Arial" w:hAnsi="Arial"/>
          <w:sz w:val="14"/>
          <w:szCs w:val="14"/>
          <w:color w:val="auto"/>
        </w:rPr>
        <w:t>. We must use commercially reasonable efforts and resources to (1) develop and commercialize at least one licensed product or process in the United States and at</w:t>
      </w:r>
      <w:r>
        <w:rPr>
          <w:rFonts w:ascii="Arial" w:cs="Arial" w:eastAsia="Arial" w:hAnsi="Arial"/>
          <w:sz w:val="14"/>
          <w:szCs w:val="14"/>
          <w:i w:val="1"/>
          <w:iCs w:val="1"/>
          <w:color w:val="auto"/>
        </w:rPr>
        <w:t xml:space="preserve"> </w:t>
      </w:r>
      <w:r>
        <w:rPr>
          <w:rFonts w:ascii="Arial" w:cs="Arial" w:eastAsia="Arial" w:hAnsi="Arial"/>
          <w:sz w:val="14"/>
          <w:szCs w:val="14"/>
          <w:color w:val="auto"/>
        </w:rPr>
        <w:t>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term continues until (1) on a licensed product-by-product (or process-by-process basis) and country-by-country basis, the date</w:t>
      </w:r>
      <w:r>
        <w:rPr>
          <w:rFonts w:ascii="Arial" w:cs="Arial" w:eastAsia="Arial" w:hAnsi="Arial"/>
          <w:sz w:val="14"/>
          <w:szCs w:val="14"/>
          <w:i w:val="1"/>
          <w:iCs w:val="1"/>
          <w:color w:val="auto"/>
        </w:rPr>
        <w:t xml:space="preserve"> </w:t>
      </w:r>
      <w:r>
        <w:rPr>
          <w:rFonts w:ascii="Arial" w:cs="Arial" w:eastAsia="Arial" w:hAnsi="Arial"/>
          <w:sz w:val="14"/>
          <w:szCs w:val="14"/>
          <w:color w:val="auto"/>
        </w:rPr>
        <w:t>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25" w:name="page26"/>
    <w:bookmarkEnd w:id="25"/>
    <w:p>
      <w:pPr>
        <w:jc w:val="both"/>
        <w:ind w:firstLine="509"/>
        <w:spacing w:after="0" w:line="260" w:lineRule="auto"/>
        <w:rPr>
          <w:sz w:val="20"/>
          <w:szCs w:val="20"/>
          <w:color w:val="auto"/>
        </w:rPr>
      </w:pPr>
      <w:r>
        <w:rPr>
          <w:rFonts w:ascii="Arial" w:cs="Arial" w:eastAsia="Arial" w:hAnsi="Arial"/>
          <w:sz w:val="14"/>
          <w:szCs w:val="14"/>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Assignment Agreement, as amended</w:t>
      </w:r>
    </w:p>
    <w:p>
      <w:pPr>
        <w:spacing w:after="0" w:line="15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i w:val="1"/>
          <w:iCs w:val="1"/>
          <w:color w:val="auto"/>
        </w:rPr>
        <w:t>Assignment; Technology Transfer</w:t>
      </w:r>
      <w:r>
        <w:rPr>
          <w:rFonts w:ascii="Arial" w:cs="Arial" w:eastAsia="Arial" w:hAnsi="Arial"/>
          <w:sz w:val="14"/>
          <w:szCs w:val="14"/>
          <w:color w:val="auto"/>
        </w:rPr>
        <w:t>. Hammock assigned and transferred to us all of its right, title and interest in and to the MilanaPharm License Agreement and agreed to</w:t>
      </w:r>
      <w:r>
        <w:rPr>
          <w:rFonts w:ascii="Arial" w:cs="Arial" w:eastAsia="Arial" w:hAnsi="Arial"/>
          <w:sz w:val="14"/>
          <w:szCs w:val="14"/>
          <w:i w:val="1"/>
          <w:iCs w:val="1"/>
          <w:color w:val="auto"/>
        </w:rPr>
        <w:t xml:space="preserve"> </w:t>
      </w:r>
      <w:r>
        <w:rPr>
          <w:rFonts w:ascii="Arial" w:cs="Arial" w:eastAsia="Arial" w:hAnsi="Arial"/>
          <w:sz w:val="14"/>
          <w:szCs w:val="14"/>
          <w:color w:val="auto"/>
        </w:rPr>
        <w:t>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27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Hammock is eligible to receive up to $250,000 in the aggregate upon achievement of a regulatory development milestone related to a non-bacterial</w:t>
      </w:r>
      <w:r>
        <w:rPr>
          <w:rFonts w:ascii="Arial" w:cs="Arial" w:eastAsia="Arial" w:hAnsi="Arial"/>
          <w:sz w:val="14"/>
          <w:szCs w:val="14"/>
          <w:i w:val="1"/>
          <w:iCs w:val="1"/>
          <w:color w:val="auto"/>
        </w:rPr>
        <w:t xml:space="preserve"> </w:t>
      </w:r>
      <w:r>
        <w:rPr>
          <w:rFonts w:ascii="Arial" w:cs="Arial" w:eastAsia="Arial" w:hAnsi="Arial"/>
          <w:sz w:val="14"/>
          <w:szCs w:val="14"/>
          <w:color w:val="auto"/>
        </w:rPr>
        <w:t>vaginosis product.</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The Assignment Agreement will terminate upon the later of (1) completion of the parties’ technology transfer plan, and (2) payment to Hammock of the last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 payments.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Pear Tree Acquisition and License Agreements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May 2018, we completed our acquisition of Pear Tree Pharmaceuticals, Inc., or Pear Tree. We acquired Pear Tree to secure exclusive, sublicensable, worldwide rights under certain patents and know-how to develop and commercialize a proprietary formulation of tamoxifen for vaginal administration. This acquisition led to our DARE-VVA1 program. Under the merger agreement, former stockholders of Pear Tree are eligible to receive tiered royalties based on net sales of licensed products by us or our affiliates, subject to customary reductions and offsets and to offset by royalty and sublicense revenue share payments payable to Pear Tree’s licensors as further described below, and a percentage of sublicense revenue. Former stockholders of Pear Tree and Pear Tree’s licensors are also eligible to receive payments based on achievement of specified clinical development, regulatory and commercial milestones by licensed products as further described below.</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Former stockholders of Pear Tree are eligible to receive up to $15.5 million in the aggregate in payments based on the achievement of 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and regulatory milestones by licensed products and up to $47.0 million in the aggregate in payments based on the achievement of commercial milestones by licensed products. These payments shall only be due once upon the first occurrence any of the specified milestone events. In addition, licensors of Pear Tree are eligible to receive up to approximately $3.2 million in the aggregate in payments based on the achievement of clinical development, regulatory and commercial milestones by each licensed product. These milestone payments may be made, in our sole discretion, in cash or in shares of our common stock in accordance with the terms of the merger agreement and the license agreements.</w:t>
      </w:r>
    </w:p>
    <w:p>
      <w:pPr>
        <w:spacing w:after="0" w:line="11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Royalty Payments; Sublicense Revenue Share</w:t>
      </w:r>
      <w:r>
        <w:rPr>
          <w:rFonts w:ascii="Arial" w:cs="Arial" w:eastAsia="Arial" w:hAnsi="Arial"/>
          <w:sz w:val="14"/>
          <w:szCs w:val="14"/>
          <w:color w:val="auto"/>
        </w:rPr>
        <w:t>. Former stockholders of Pear Tree are eligible to receive tiered royalties based on single-digit to low double-digit</w:t>
      </w:r>
      <w:r>
        <w:rPr>
          <w:rFonts w:ascii="Arial" w:cs="Arial" w:eastAsia="Arial" w:hAnsi="Arial"/>
          <w:sz w:val="14"/>
          <w:szCs w:val="14"/>
          <w:i w:val="1"/>
          <w:iCs w:val="1"/>
          <w:color w:val="auto"/>
        </w:rPr>
        <w:t xml:space="preserve"> </w:t>
      </w:r>
      <w:r>
        <w:rPr>
          <w:rFonts w:ascii="Arial" w:cs="Arial" w:eastAsia="Arial" w:hAnsi="Arial"/>
          <w:sz w:val="14"/>
          <w:szCs w:val="14"/>
          <w:color w:val="auto"/>
        </w:rPr>
        <w:t>percentages of annual net sales of licensed products by us or our affiliates, subject to customary reductions and offsets, and a portion of royalties we receive from sublicensees. These payments may be made, in our sole discretion, in cash or in shares of our common stock in accordance with the terms of the merger agreement. Pear Tree’s licensors are eligible to receive semi-annual royalties based on a single-digit percentage of net sales of licensed products by us or our affiliates, subject to customary reductions and offsets, or a portion of any royalties received by us or our affiliates from sublicensees, and a low double-digit percentage of all sublicensing fees or other lump sum payments or compensation we receive from sublicensees, subject to customary exclusions. Portions of certain milestone payments made to Pear Tree’s licensors may be creditable against royalty payments due to Pear Tree’s licensors.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License Agreements Revenue Share Offset</w:t>
      </w:r>
      <w:r>
        <w:rPr>
          <w:rFonts w:ascii="Arial" w:cs="Arial" w:eastAsia="Arial" w:hAnsi="Arial"/>
          <w:sz w:val="14"/>
          <w:szCs w:val="14"/>
          <w:color w:val="auto"/>
        </w:rPr>
        <w:t>. Under the merger agreement, in addition to customary royalty reductions and offsets, royalty payments and payments based</w:t>
      </w:r>
      <w:r>
        <w:rPr>
          <w:rFonts w:ascii="Arial" w:cs="Arial" w:eastAsia="Arial" w:hAnsi="Arial"/>
          <w:sz w:val="14"/>
          <w:szCs w:val="14"/>
          <w:i w:val="1"/>
          <w:iCs w:val="1"/>
          <w:color w:val="auto"/>
        </w:rPr>
        <w:t xml:space="preserve"> </w:t>
      </w:r>
      <w:r>
        <w:rPr>
          <w:rFonts w:ascii="Arial" w:cs="Arial" w:eastAsia="Arial" w:hAnsi="Arial"/>
          <w:sz w:val="14"/>
          <w:szCs w:val="14"/>
          <w:color w:val="auto"/>
        </w:rPr>
        <w:t>on income received from sublicensees of licensed products made by us to Pear Tree’s licensors are creditable against all royalty and sublicense revenue share payments payable to former stockholders of Pear Tree.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26" w:name="page27"/>
    <w:bookmarkEnd w:id="26"/>
    <w:p>
      <w:pPr>
        <w:ind w:left="520"/>
        <w:spacing w:after="0"/>
        <w:rPr>
          <w:sz w:val="20"/>
          <w:szCs w:val="20"/>
          <w:color w:val="auto"/>
        </w:rPr>
      </w:pPr>
      <w:r>
        <w:rPr>
          <w:rFonts w:ascii="Arial" w:cs="Arial" w:eastAsia="Arial" w:hAnsi="Arial"/>
          <w:sz w:val="14"/>
          <w:szCs w:val="14"/>
          <w:b w:val="1"/>
          <w:bCs w:val="1"/>
          <w:i w:val="1"/>
          <w:iCs w:val="1"/>
          <w:color w:val="auto"/>
        </w:rPr>
        <w:t>Catalent JNP License Agreement</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we commenced our DARE-HRT1, DARE-FRT1 and DARE-PTB1 programs. We are entitled to sublicense the rights granted to us under this agreement.</w:t>
      </w:r>
    </w:p>
    <w:p>
      <w:pPr>
        <w:spacing w:after="0" w:line="1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Annual Maintenance Fee. </w:t>
      </w:r>
      <w:r>
        <w:rPr>
          <w:rFonts w:ascii="Arial" w:cs="Arial" w:eastAsia="Arial" w:hAnsi="Arial"/>
          <w:sz w:val="14"/>
          <w:szCs w:val="14"/>
          <w:color w:val="auto"/>
        </w:rPr>
        <w:t>We pay an annual license maintenance fee of $100,000 to Catalent on each anniversary of the date of the agreement, which will be creditable</w:t>
      </w:r>
      <w:r>
        <w:rPr>
          <w:rFonts w:ascii="Arial" w:cs="Arial" w:eastAsia="Arial" w:hAnsi="Arial"/>
          <w:sz w:val="14"/>
          <w:szCs w:val="14"/>
          <w:i w:val="1"/>
          <w:iCs w:val="1"/>
          <w:color w:val="auto"/>
        </w:rPr>
        <w:t xml:space="preserve"> </w:t>
      </w:r>
      <w:r>
        <w:rPr>
          <w:rFonts w:ascii="Arial" w:cs="Arial" w:eastAsia="Arial" w:hAnsi="Arial"/>
          <w:sz w:val="14"/>
          <w:szCs w:val="14"/>
          <w:color w:val="auto"/>
        </w:rPr>
        <w:t>against royalties and other payments due to Catalent in the same calendar year (including milestone payments and sublicense income), but may not be carried forward to any other year.</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Catalent is eligible to receive (1) up to $12.5 million in the aggregate in payments based on the achievement of specified clinical and regulatory</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milestones, and (2) up to $30.3 million in the aggregate in payments based on the achievement of specified commercial sales milestones for each product or process covered by the licenses granted under the agreement.</w:t>
      </w:r>
    </w:p>
    <w:p>
      <w:pPr>
        <w:spacing w:after="0" w:line="10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During the royalty term, Catalent is eligible to receive mid single-digit to low double-digit royalties based on worldwide net sales of products and</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to develop and make at least one product or process available to the public, which efforts include achieving specific</w:t>
      </w:r>
      <w:r>
        <w:rPr>
          <w:rFonts w:ascii="Arial" w:cs="Arial" w:eastAsia="Arial" w:hAnsi="Arial"/>
          <w:sz w:val="14"/>
          <w:szCs w:val="14"/>
          <w:i w:val="1"/>
          <w:iCs w:val="1"/>
          <w:color w:val="auto"/>
        </w:rPr>
        <w:t xml:space="preserve"> </w:t>
      </w:r>
      <w:r>
        <w:rPr>
          <w:rFonts w:ascii="Arial" w:cs="Arial" w:eastAsia="Arial" w:hAnsi="Arial"/>
          <w:sz w:val="14"/>
          <w:szCs w:val="14"/>
          <w:color w:val="auto"/>
        </w:rPr>
        <w:t>diligence requirements by specific dates specified in the agreement.</w:t>
      </w:r>
    </w:p>
    <w:p>
      <w:pPr>
        <w:spacing w:after="0" w:line="8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term of the agreement will continue on a country-by-country basis until the later of (1) the expiration date of the last valid claim within</w:t>
      </w:r>
      <w:r>
        <w:rPr>
          <w:rFonts w:ascii="Arial" w:cs="Arial" w:eastAsia="Arial" w:hAnsi="Arial"/>
          <w:sz w:val="14"/>
          <w:szCs w:val="14"/>
          <w:i w:val="1"/>
          <w:iCs w:val="1"/>
          <w:color w:val="auto"/>
        </w:rPr>
        <w:t xml:space="preserve"> </w:t>
      </w:r>
      <w:r>
        <w:rPr>
          <w:rFonts w:ascii="Arial" w:cs="Arial" w:eastAsia="Arial" w:hAnsi="Arial"/>
          <w:sz w:val="14"/>
          <w:szCs w:val="14"/>
          <w:color w:val="auto"/>
        </w:rPr>
        <w:t>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agreement. We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we terminate the agreement, Catalent will have full access including the right to use and reference all product data generated during the term of the agreement that is owned by us.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Adare Development and Option Agreement</w:t>
      </w:r>
    </w:p>
    <w:p>
      <w:pPr>
        <w:spacing w:after="0" w:line="3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March 2018, we entered into an exclusive development and option agreement with Adare Pharmaceuticals USA, Inc. (formerly known as Orbis Biosciences, Inc., and which we refer to as Adare), for the development and potential exclusive worldwide license of injectable formulations of etonogestrel for contraceptive protection over 6-month and 12-month periods (which we refer to as DARE-204 and DARE-214, respectively). The agreement, as amended, provides us with an option to negotiate an exclusive, worldwide, royalty-bearing license, with rights to sublicense, for the programs if we fund the conduct of specified development work. We have no obligation to exercise our option.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27" w:name="page28"/>
    <w:bookmarkEnd w:id="27"/>
    <w:p>
      <w:pPr>
        <w:ind w:left="520"/>
        <w:spacing w:after="0"/>
        <w:rPr>
          <w:sz w:val="20"/>
          <w:szCs w:val="20"/>
          <w:color w:val="auto"/>
        </w:rPr>
      </w:pPr>
      <w:r>
        <w:rPr>
          <w:rFonts w:ascii="Arial" w:cs="Arial" w:eastAsia="Arial" w:hAnsi="Arial"/>
          <w:sz w:val="14"/>
          <w:szCs w:val="14"/>
          <w:b w:val="1"/>
          <w:bCs w:val="1"/>
          <w:i w:val="1"/>
          <w:iCs w:val="1"/>
          <w:color w:val="auto"/>
        </w:rPr>
        <w:t>SST License and Collaboration Agreement</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February 2018, we entered into a license and collaboration agreement with Strategic Science &amp; Technologies-D LLC and Strategic Science &amp; 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as it existed as of the effective date of this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Invention Ownership. </w:t>
      </w:r>
      <w:r>
        <w:rPr>
          <w:rFonts w:ascii="Arial" w:cs="Arial" w:eastAsia="Arial" w:hAnsi="Arial"/>
          <w:sz w:val="14"/>
          <w:szCs w:val="14"/>
          <w:color w:val="auto"/>
        </w:rPr>
        <w:t>We retain rights to inventions made by our employees, SST retains rights to inventions made by its employees, and each party owns a 50% undivided</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in all joint inventions.</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Joint Development Committee. </w:t>
      </w:r>
      <w:r>
        <w:rPr>
          <w:rFonts w:ascii="Arial" w:cs="Arial" w:eastAsia="Arial" w:hAnsi="Arial"/>
          <w:sz w:val="14"/>
          <w:szCs w:val="14"/>
          <w:color w:val="auto"/>
        </w:rPr>
        <w:t>The parties will collaborate through a joint development committee that will determine the strategic objectives for, and generally oversee, the</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efforts of both parties under the agreement.</w:t>
      </w:r>
    </w:p>
    <w:p>
      <w:pPr>
        <w:spacing w:after="0" w:line="9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Development</w:t>
      </w:r>
      <w:r>
        <w:rPr>
          <w:rFonts w:ascii="Arial" w:cs="Arial" w:eastAsia="Arial" w:hAnsi="Arial"/>
          <w:sz w:val="14"/>
          <w:szCs w:val="14"/>
          <w:color w:val="auto"/>
        </w:rPr>
        <w:t>. We must use commercially reasonable efforts to develop the Licensed Products in the Field of Use in accordance with a development plan in the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and to commercialize the Licensed Products in the Field of Use. We are responsible for all reasonable internal and external costs and expenses incurred by SST in its performance of the development activities it must perform under the agreement.</w:t>
      </w:r>
    </w:p>
    <w:p>
      <w:pPr>
        <w:spacing w:after="0" w:line="10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SST will be eligible to receive tiered royalties based on percentages of annual net sales of Licensed Products in the single digits to the mid double digits,</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customary royalty reductions and offsets, and a percentage of sublicense revenue.</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SST will be eligible to receive payments (1) ranging from $0.5 million to $18.0 million in the aggregate upon achieving certain clinical and regulatory</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milestones in the U.S. and worldwide, and (2) between $10.0 million to $100.0 million in the aggregate upon achieving certain commercial sales milestones. If we enter into strategic development or distribution partnerships related to the Licensed Products, additional milestone payments would be due to SST.</w:t>
      </w:r>
    </w:p>
    <w:p>
      <w:pPr>
        <w:spacing w:after="0" w:line="11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i w:val="1"/>
          <w:iCs w:val="1"/>
          <w:color w:val="auto"/>
        </w:rPr>
        <w:t>License Term</w:t>
      </w:r>
      <w:r>
        <w:rPr>
          <w:rFonts w:ascii="Arial" w:cs="Arial" w:eastAsia="Arial" w:hAnsi="Arial"/>
          <w:sz w:val="14"/>
          <w:szCs w:val="14"/>
          <w:color w:val="auto"/>
        </w:rPr>
        <w:t>. Our license continues on a country-by-country basis until the later of 10 years from the date of the first commercial sale of such Licensed Product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spacing w:after="0" w:line="10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Termination</w:t>
      </w:r>
      <w:r>
        <w:rPr>
          <w:rFonts w:ascii="Arial" w:cs="Arial" w:eastAsia="Arial" w:hAnsi="Arial"/>
          <w:sz w:val="14"/>
          <w:szCs w:val="14"/>
          <w:color w:val="auto"/>
        </w:rPr>
        <w:t>. In addition to customary termination rights for both parties: (1) prior to receipt of approval by a regulatory authority necessary for commercialization of a</w:t>
      </w:r>
      <w:r>
        <w:rPr>
          <w:rFonts w:ascii="Arial" w:cs="Arial" w:eastAsia="Arial" w:hAnsi="Arial"/>
          <w:sz w:val="14"/>
          <w:szCs w:val="14"/>
          <w:i w:val="1"/>
          <w:iCs w:val="1"/>
          <w:color w:val="auto"/>
        </w:rPr>
        <w:t xml:space="preserve"> </w:t>
      </w:r>
      <w:r>
        <w:rPr>
          <w:rFonts w:ascii="Arial" w:cs="Arial" w:eastAsia="Arial" w:hAnsi="Arial"/>
          <w:sz w:val="14"/>
          <w:szCs w:val="14"/>
          <w:color w:val="auto"/>
        </w:rPr>
        <w:t>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 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ADVA-Tec License Agreement</w:t>
      </w:r>
    </w:p>
    <w:p>
      <w:pPr>
        <w:spacing w:after="0" w:line="18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March 2017, we entered into a license agreement with ADVA-Tec, Inc., under which we were granted an exclusive license to develop and commercialize Ovaprene for human contraceptive use worldwide. We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us to seek a PMA from the FDA. ADVA-Tec is responsible for providing us with clinical trial and commercial supplies of Ovaprene, either directly or through a CMO, on commercially reasonable terms, and, except under limited circumstances, we may not obtain supplies of Ovaprene from another source.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28" w:name="page29"/>
    <w:bookmarkEnd w:id="28"/>
    <w:p>
      <w:pPr>
        <w:ind w:firstLine="509"/>
        <w:spacing w:after="0" w:line="290" w:lineRule="auto"/>
        <w:rPr>
          <w:sz w:val="20"/>
          <w:szCs w:val="20"/>
          <w:color w:val="auto"/>
        </w:rPr>
      </w:pPr>
      <w:r>
        <w:rPr>
          <w:rFonts w:ascii="Arial" w:cs="Arial" w:eastAsia="Arial" w:hAnsi="Arial"/>
          <w:sz w:val="14"/>
          <w:szCs w:val="14"/>
          <w:color w:val="auto"/>
        </w:rPr>
        <w:t>Under the license agreement, in addition to an exclusive, sublicensable license to ADVA-Tec’s and its affiliates’ intellectual property rights for all uses of Ovaprene as a human contraceptive device, we have a right of first refusal to license these patents and patent applications for additional indications.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may pay to ADVA-Tec: (1) up to $13.0 million in the aggregate based on the achievement of specified development and regulatory milestones and</w:t>
      </w:r>
    </w:p>
    <w:p>
      <w:pPr>
        <w:spacing w:after="0" w:line="23" w:lineRule="exact"/>
        <w:rPr>
          <w:sz w:val="20"/>
          <w:szCs w:val="20"/>
          <w:color w:val="auto"/>
        </w:rPr>
      </w:pPr>
    </w:p>
    <w:p>
      <w:pPr>
        <w:jc w:val="both"/>
        <w:ind w:firstLine="5"/>
        <w:spacing w:after="0" w:line="261"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up to $20 million in the aggregate based on the achievement of certain worldwide net sales milestones. The future development and regulatory milestones include: successful completion of a Phase 3/pivotal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w:t>
      </w:r>
    </w:p>
    <w:p>
      <w:pPr>
        <w:spacing w:after="0" w:line="11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ADVA-Tec is eligible to receive royalties based on aggregate annual net sales of Ovaprene in specified regions at a royalty rate that will vary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1% and 10% and will increase based on various net sales thresholds, subject to customary reductions and offsets.</w:t>
      </w:r>
    </w:p>
    <w:p>
      <w:pPr>
        <w:spacing w:after="0" w:line="7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i w:val="1"/>
          <w:iCs w:val="1"/>
          <w:color w:val="auto"/>
        </w:rPr>
        <w:t>Sublicense Revenue Payments</w:t>
      </w:r>
      <w:r>
        <w:rPr>
          <w:rFonts w:ascii="Arial" w:cs="Arial" w:eastAsia="Arial" w:hAnsi="Arial"/>
          <w:sz w:val="14"/>
          <w:szCs w:val="14"/>
          <w:color w:val="auto"/>
        </w:rPr>
        <w:t>. If we sublicense our rights under the license agreement, in lieu of royalty payments to ADVA-Tec, ADVA-Tec is eligible to receive a double-digit percentage of sublicense revenue received by us during the royalty term; provided, however, that for sublicense revenue we receive prior to the first commercial sale of a licensed product that represents an upfront payment or license fee due on or around the effective date of the sublicense, ADVA-Tec is eligible to receive a single-digit percentage of that sublicense 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we received under the agreement continues on a country-by-country basis until the later of the life of the licensed patents or our</w:t>
      </w:r>
      <w:r>
        <w:rPr>
          <w:rFonts w:ascii="Arial" w:cs="Arial" w:eastAsia="Arial" w:hAnsi="Arial"/>
          <w:sz w:val="14"/>
          <w:szCs w:val="14"/>
          <w:i w:val="1"/>
          <w:iCs w:val="1"/>
          <w:color w:val="auto"/>
        </w:rPr>
        <w:t xml:space="preserve"> </w:t>
      </w:r>
      <w:r>
        <w:rPr>
          <w:rFonts w:ascii="Arial" w:cs="Arial" w:eastAsia="Arial" w:hAnsi="Arial"/>
          <w:sz w:val="14"/>
          <w:szCs w:val="14"/>
          <w:color w:val="auto"/>
        </w:rPr>
        <w:t>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 -clinical and clinical studies required to support and submit a PMA, or (4) conduct clinical trials as set forth in the development plan to which we and ADVA-Tec agree, and as may be modified by a joint research committee, unless such failure is caused by events outside of our reasonable control.</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Monetization Transactions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Traditional and Synthetic Royalty Purchase Agreements with XOMA</w:t>
      </w:r>
    </w:p>
    <w:p>
      <w:pPr>
        <w:spacing w:after="0" w:line="13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On April 29, 2024, we entered into a traditional royalty purchase agreement and a synthetic royalty purchase agreement with XOMA (which, together, we refer to as the Royalty Purchase Agreements), and XOMA paid $22.0 million to us. In addition, if XOMA receives total payments under the Royalty Purchase Agreements (as described below) equal to an amount that exceeds $88.0 million (which we refer to as the Revenue Sharing Threshold), XOMA will pay $11.0 million to us for each successive $22.0 million XOMA receives under the Royalty Purchase Agreements (such $11.0 million payments to us we refer to as the Contingent Purchase Price Payments).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Royalty Purchase Agreements, we sold, assigned, transferred and conveyed our right, title and interest in and to the following to XOMA:</w:t>
      </w:r>
    </w:p>
    <w:p>
      <w:pPr>
        <w:spacing w:after="0" w:line="147" w:lineRule="exact"/>
        <w:rPr>
          <w:sz w:val="20"/>
          <w:szCs w:val="20"/>
          <w:color w:val="auto"/>
        </w:rPr>
      </w:pPr>
    </w:p>
    <w:p>
      <w:pPr>
        <w:jc w:val="both"/>
        <w:ind w:firstLine="1023"/>
        <w:spacing w:after="0" w:line="265" w:lineRule="auto"/>
        <w:tabs>
          <w:tab w:leader="none" w:pos="1241" w:val="left"/>
        </w:tabs>
        <w:numPr>
          <w:ilvl w:val="0"/>
          <w:numId w:val="10"/>
        </w:numPr>
        <w:rPr>
          <w:rFonts w:ascii="Arial" w:cs="Arial" w:eastAsia="Arial" w:hAnsi="Arial"/>
          <w:sz w:val="14"/>
          <w:szCs w:val="14"/>
          <w:color w:val="auto"/>
        </w:rPr>
      </w:pPr>
      <w:r>
        <w:rPr>
          <w:rFonts w:ascii="Arial" w:cs="Arial" w:eastAsia="Arial" w:hAnsi="Arial"/>
          <w:sz w:val="14"/>
          <w:szCs w:val="14"/>
          <w:color w:val="auto"/>
        </w:rPr>
        <w:t>100% of the royalties and potential milestone payments we would otherwise have the right to receive from and after April 1, 2024 under our exclusive license agreement with Organon, based on net sales of XACIATO, net of (i) all royalty and milestone payments due and payable and actually paid by or on behalf of us under our exclusive license agreement with third-party licensors TriLogic and MilanaPharm, and (ii) all payments due and payable and actually paid by or on behalf of us under our royalty interest financing agreement with United in Endeavour, LLC, or UiE, (such net amount we refer to as the Purchased Receivables);</w:t>
      </w:r>
    </w:p>
    <w:p>
      <w:pPr>
        <w:spacing w:after="0" w:line="105" w:lineRule="exact"/>
        <w:rPr>
          <w:rFonts w:ascii="Arial" w:cs="Arial" w:eastAsia="Arial" w:hAnsi="Arial"/>
          <w:sz w:val="14"/>
          <w:szCs w:val="14"/>
          <w:color w:val="auto"/>
        </w:rPr>
      </w:pPr>
    </w:p>
    <w:p>
      <w:pPr>
        <w:ind w:firstLine="1023"/>
        <w:spacing w:after="0" w:line="290" w:lineRule="auto"/>
        <w:tabs>
          <w:tab w:leader="none" w:pos="1258" w:val="left"/>
        </w:tabs>
        <w:numPr>
          <w:ilvl w:val="0"/>
          <w:numId w:val="10"/>
        </w:numPr>
        <w:rPr>
          <w:rFonts w:ascii="Arial" w:cs="Arial" w:eastAsia="Arial" w:hAnsi="Arial"/>
          <w:sz w:val="14"/>
          <w:szCs w:val="14"/>
          <w:color w:val="auto"/>
        </w:rPr>
      </w:pPr>
      <w:r>
        <w:rPr>
          <w:rFonts w:ascii="Arial" w:cs="Arial" w:eastAsia="Arial" w:hAnsi="Arial"/>
          <w:sz w:val="14"/>
          <w:szCs w:val="14"/>
          <w:color w:val="auto"/>
        </w:rPr>
        <w:t>25% of the potential future $20.0 million payment that we would otherwise have the right to receive under our license agreement with Bayer relating to Ovaprene, if Bayer, in its sole discretion, elects to make the license granted thereunder effective following completion of the pivotal clinical trial of Ovaprene; and</w:t>
      </w:r>
    </w:p>
    <w:p>
      <w:pPr>
        <w:spacing w:after="0" w:line="98" w:lineRule="exact"/>
        <w:rPr>
          <w:rFonts w:ascii="Arial" w:cs="Arial" w:eastAsia="Arial" w:hAnsi="Arial"/>
          <w:sz w:val="14"/>
          <w:szCs w:val="14"/>
          <w:color w:val="auto"/>
        </w:rPr>
      </w:pPr>
    </w:p>
    <w:p>
      <w:pPr>
        <w:ind w:firstLine="1023"/>
        <w:spacing w:after="0" w:line="290" w:lineRule="auto"/>
        <w:tabs>
          <w:tab w:leader="none" w:pos="1229"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 synthetic royalty of 4.0% of our, our affiliates’ and our sublicensees’ future net sales of Ovaprene, and 2.0% of our, our affiliates’ and our sublicensees’ future net sales of Sildenafil Cream;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XOMA receives total payments under the Royalty Purchase Agreements, net of any Contingent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4"/>
          <w:szCs w:val="14"/>
          <w:color w:val="auto"/>
        </w:rPr>
        <w:t>Purchase Price Payments made to us, equal to an amount that exceeds $110.0 million, the foregoing percentages will be reduced to 2.5% and 1.25%, respectively (such amounts described in the foregoing clauses (b) and (c) we collectively refer to as the Revenue Participation Right).</w:t>
      </w:r>
    </w:p>
    <w:p>
      <w:pPr>
        <w:spacing w:after="0" w:line="9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under the traditional royalty purchase agreement. As of April 29, 2024, we cannot elect to receive any additional funding from UiE under our royalty interest financing agreement with UiE without XOMA’s prior written consent.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connection with the synthetic royalty purchase agreement, we granted to XOMA a security interest in certain product assets related to Ovaprene and Sildenafil Cream.</w:t>
      </w:r>
    </w:p>
    <w:p>
      <w:pPr>
        <w:spacing w:after="0" w:line="14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Royalty Purchase Agreements contain certain representations and warranties regarding our rights and obligations with respect to our license agreement with Organon, our license agreement with Bayer and our in-license agreements relating to XACIATO, Ovaprene and Sildenafil Cream, as well as customary representations and warranties for a transaction of this nature. The Royalty Purchase Agreements also contain customary covenants for a transaction of this nature, including covenants that limit or restrict our ability to incur indebtedness or liens related to the Purchased Receivables, the Revenue Participation Right, and certain product assets related to Ovaprene and Sildenafil Cream (except pursuant to a suitable intercreditor agreement). The Royalty Purchase Agreements do not restrict our ability to out-license any of our products or product candidates.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Interest Financing Agreement</w:t>
      </w:r>
    </w:p>
    <w:p>
      <w:pPr>
        <w:spacing w:after="0" w:line="14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December 2023, we entered into a royalty interest financing agreement with United in Endeavour, LLC, or UiE, pursuant to which we sold to UiE an interest in the royalty and milestone payments we receive from Organon in respect of net sales of XACIATO. On the effective date of the agreement, we received a payment of $5.0 million, or the Initial Investment, from UiE. Until December 31, 2026, we may, at our sole discretion, elect to receive three additional payments of up to an aggregate of $7.0 million. We refer to each such payment as a Supplemental Discretionary Investment Amount, and collectively, as the Total Supplemental Discretionary Investment Amount.</w:t>
      </w:r>
    </w:p>
    <w:p>
      <w:pPr>
        <w:spacing w:after="0" w:line="10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will make payments to UiE under the agreement until such time when UiE has received aggregate payments equaling a 12% internal rate of return, or the IRR, on the Initial Investment and the Total Supplemental Discretionary Investment Amount, if any (referred to as the Hard Cap). Until such time as the IRR has been achieved, we agreed to make payments to UiE equal to (i) from the date of the agreement through December 31, 2025, 50% of the amount of royalty payments remaining after all amounts that are due and payable and actually paid by us to any licensor or sublicensee on the royalty payments generated and received by us on net sales of XACIATO by Organon have been deducted (such payments referred to as the Net Royalty Payments), (ii) from January 1, 2026 through December 31, 2029, 75% of the Net Royalty Payments, and (iii) from the date of the agreement through December 31, 2029, 10% of the amount of milestone payments remaining after all amounts that are due and payable and actually paid by us to any licensor or sublicensee on the milestone payments generated and received by us on net sales of XACIATO by Organon have been deducted. After December 31, 2029, we will be required to make certain additional payments to UiE to the extent UiE has not received payments equaling the Hard Cap by December 31, 2029, December 31, 2033, and December 31, 2034, respectively. In addition, if UiE has not received payments equaling the Hard Cap by December 31, 2035 and we have other sources of assets or income besides XACIATO sufficient to complete such payments, we have agreed to pay UiE quarterly payments evenly divided over a two-year term, such that UiE will have obtained the IRR, taking into account all other payments received by UiE from us under the agreement. UiE’s right to receive payments will terminate when UiE has received the Hard Cap. We have the right, but not the obligation, at any time, to repurchase all of the interest from UiE at a repurchase price equal to the Hard Cap, calculated as of the date of we exercise such call option.</w:t>
      </w:r>
    </w:p>
    <w:p>
      <w:pPr>
        <w:spacing w:after="0" w:line="1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agreement contains representations and warranties, covenants, indemnification obligations, and other provisions customary for transactions of this nature and will terminate on the date that is the earlier of (i) the date upon which the payment of the purchased interest in respect of XACIATO is made in full to UiE, and (ii) the payment to UiE of an aggregate amount equal to the Hard Cap.</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connection with the agreement, we issued to UiE a warrant to purchase up to 422,804 shares of our common stock. In addition, for every $1.0 million of Supplemental Discretionary Investment Amount, we agreed to issue an additional warrant to purchase up to 84,561 shares of our common stock, for an aggregate of additional warrants to purchase up to 591,927 shares of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30" w:name="page31"/>
    <w:bookmarkEnd w:id="30"/>
    <w:p>
      <w:pPr>
        <w:jc w:val="both"/>
        <w:ind w:firstLine="509"/>
        <w:spacing w:after="0" w:line="271" w:lineRule="auto"/>
        <w:rPr>
          <w:sz w:val="20"/>
          <w:szCs w:val="20"/>
          <w:color w:val="auto"/>
        </w:rPr>
      </w:pPr>
      <w:r>
        <w:rPr>
          <w:rFonts w:ascii="Arial" w:cs="Arial" w:eastAsia="Arial" w:hAnsi="Arial"/>
          <w:sz w:val="14"/>
          <w:szCs w:val="14"/>
          <w:color w:val="auto"/>
        </w:rPr>
        <w:t>The warrants are exercisable, in full or in part, at any time on or prior to the fifth anniversary of the date of issuance of the particular warrant at an exercise price of $0.410 per share, subject to customary anti-dilution adjustments. The warrants may be exercised for cash, or if at the time of exercise there is no effective registration statement registering for resale the shares underlying the warrants, then in lieu of paying the exercise price in cash, the holder may elect to exercise the warrant on a cashless basis.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Patents</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12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Under the terms of the Assignment Agreement with Hammock Pharmaceuticals, Inc. and the License Amendment with TriLogic Pharma, LLC and MilanaPharm, LLC, regarding the thermosetting hydrogel platform which includes XACIATO, we are the exclusive licensee of three issued U.S. patents, two of which are set to expire in December 2028 and one of which is set to expire in September 2036, subject to any extensions or disclaimers, and three foreign patents, including one European Patent Office, or EPO, patent validated in four countries, that expire in December 2028, subject to any extensions or disclaimers, as well as two foreign patents, including one EPO patent validated in 22 countries, that expire in July 2036, subject to any extensions or disclaimers. One of the three issued U.S. patents is listed in the FDA’s compendium of “Approved Drug Products with Therapeutic Equivalence Evaluation," known as the Orange Book, under the Patent Exclusivity Information for XACIATO. In addition, we have rights to three pending foreign patent applications and one pending U.S. patent application. If issued, the patent term for any patents issuing from these pending applications would be expected to expire in 2036, subject to any extensions or disclaimers. We own a pending U.S. application and 16 pending foreign applications regarding XACIATO, and a pending U.S. and five pending foreign applications directed to the thermosetting hydrogel platform. The patent term for any patents issuing from these pending applications would be expected to expire in 2042, subject to any extensions or disclaimers. Organon has licensed XACIATO-specific patents and applications from us.</w:t>
      </w:r>
    </w:p>
    <w:p>
      <w:pPr>
        <w:spacing w:after="0" w:line="1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Under the terms of the ADVA-Tec license agreement, regarding Ovaprene, we are the exclusive licensee of five granted U.S. patents, one pending U.S. patent application, seven granted foreign patents, including two EPO patents validated in a total of 36 countries, and two pending foreign patent applications. Two of the U.S. patents have terms until August 2028, which includes days added to the term by patent term adjustment, and a third patent has a term that expires in July 2027, including patent term adjustment, each of such terms being subject to any future extensions or disclaimers. The other U.S. and foreign patents are expected to expire in 2025 or 2026. The patent terms for any patents issuing from the pending applications would be expected to expire in 2035, subject to any extensions or disclaimers.</w:t>
      </w:r>
    </w:p>
    <w:p>
      <w:pPr>
        <w:spacing w:after="0" w:line="10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terms of the SST license agreement, regarding Sildenafil Cream, we are the exclusive licensee in the Field of Use of 27 issued patents worldwide (11 U.S. patents and 16 foreign patents, including three EPO patents validated in a total of 20 countries). Additionally, there is one patent application pending in the US, one in Europe, and two in other international markets. The issued U.S. patents have a patent term that expires in June 2029, including any patent term adjustment, and may be eligible for regulatory exclusivity under the Hatch-Waxman Act, while several foreign patents have a term that is set to expire in late 2031, each of such terms being subject to any future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1" w:name="page32"/>
    <w:bookmarkEnd w:id="31"/>
    <w:p>
      <w:pPr>
        <w:jc w:val="both"/>
        <w:spacing w:after="0" w:line="290" w:lineRule="auto"/>
        <w:rPr>
          <w:sz w:val="20"/>
          <w:szCs w:val="20"/>
          <w:color w:val="auto"/>
        </w:rPr>
      </w:pPr>
      <w:r>
        <w:rPr>
          <w:rFonts w:ascii="Arial" w:cs="Arial" w:eastAsia="Arial" w:hAnsi="Arial"/>
          <w:sz w:val="14"/>
          <w:szCs w:val="14"/>
          <w:color w:val="auto"/>
        </w:rPr>
        <w:t>extensions or disclaimers. Additionally, relative to the sildenafil program, we are the sole owner of a pending PCT application with an expected term, if granted, until 2044, subject to any extensions or disclaimers.</w:t>
      </w:r>
    </w:p>
    <w:p>
      <w:pPr>
        <w:spacing w:after="0" w:line="9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Under the terms of the Catalent license agreement, regarding our intravaginal ring platform which includes DARE-HRT1, we are the exclusive licensee of two issued U.S. patents with patent terms set to expire in February 2025 and September 2027, including patent term adjustment. Additionally, relative to the DARE-HRT1 program, we are the sole owner of one pending PCT application with an expected term, if granted, until 2044, subject to any extensions or disclaimers.</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When we acquired Pear Tree Pharmaceuticals, Inc. in 2018, regarding DARE-VVA1, we obtained the rights to three U.S. patents and one Japanese patent. The patent terms for the U.S. patents are expected to expire in June 2027, June 2028, and May 2035 including any patent term adjustment, extensions or disclaimers. The Japanese patent has a term that is set to expire in June 2027. Additionally, relative to the DARE-VVA1 program, we are the sole owner of one pending PCT application with an expected term, if granted, until 2044, subject to any extensions or disclaimers.</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When we acquired MBI in 2019, we obtained the rights to over 100 patents and applications. The key technology underlying the platform currently is supported by 14 U.S. patents and 49 foreign patents, including six EPO patents validated in various European countries, and 12 pending patent applications. We believe that the four most recently filed patent families are directly applicable to our DARE-LARC1 program. Those patent families have patent terms that are set to expire 2032, 2033, 2034, 2040, and 2045 respectively, subject to any extensions or disclaimers. Those patent families include patents granted in the U.S., E.U. and other key international markets.</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terms of the Hennepin license agreement, we are the exclusive licensee of five issued U.S. patents and four foreign patents, as well as three pending U.S. applications and twelve pending foreign applications. The U.S. patents are set to expire in 2025, 2026, 2028, 2033 and 2034 including any patent term adjustment, extensions or disclaimers, and the foreign patents have patent terms until 2025 or 2033. The U.S. and foreign applications, if granted, are expected to have patent terms that expire in 2033, 2037, 2038, and 2042, subject to any extensions or disclaimers.</w:t>
      </w:r>
    </w:p>
    <w:p>
      <w:pPr>
        <w:spacing w:after="0" w:line="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Under the terms of the Douglas license agreement, we are the exclusive licensee of four granted U.S. patents and four pending U.S. patent applications. The granted patents are expected to expire in 2034 or 2039, including any patent term adjustment, extensions or disclaimers, and the U.S. applications, if granted, are expected to have patent terms that expire in 2039 and 2040.</w:t>
      </w:r>
    </w:p>
    <w:p>
      <w:pPr>
        <w:spacing w:after="0" w:line="10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Trademarks</w:t>
      </w:r>
    </w:p>
    <w:p>
      <w:pPr>
        <w:spacing w:after="0" w:line="1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hold a domestic registration for the trademark Daré Bioscience and our registration for the XACIATO trademark in the U.S. is pending. In accordance with the terms of the ADVA-Tec license agreement, we are the exclusive licensee of the Ovaprene registered trademark.</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4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are solely focused on women’s health. Women’s health is a broad category that encompasses health conditions that are unique to women, as well as conditions that affect both men and women, but that may affect women differently. Women’s health products include drug, medical device, cosmetic and dietary supplement products, and generally are products designed for post-pubescent females. The women’s health sector is very fragmented, highly competitive and subject to rapid and significant change. We anticipate that our product candidates may compete not only with FDA-approved, prescription and over-the-counter, branded and generic drug products, but also compounded drug products, medical devices, dietary supplements, and cosmetics. We face and will continue to face intense competition from a variety of businesses, including large, fully integrated, well-established pharmaceutical companies and specialty pharmaceutical companies that already possess a significant share of the women’s health market, as well as generics manufacturers, compounding pharmacies and other drug compounding facilities, and dietary supplements manufacturers. In addition, academic and other research institutions are and could be engaged in research and development efforts for products in the therapeutic areas targeted by our product candidates. Our success is highly dependent upon our ability to acquire or in-license, develop and obtain regulatory approval for innovative products on a cost-effective basis and to market them successfully, either on our own or together with strategic partners, or to make our proprietary formulations available as compounded drugs. Many of our potential competitors have greater clinical, regulatory, manufacturing, marketing, distribution, compliance and financial</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32" w:name="page33"/>
    <w:bookmarkEnd w:id="32"/>
    <w:p>
      <w:pPr>
        <w:jc w:val="both"/>
        <w:spacing w:after="0" w:line="290" w:lineRule="auto"/>
        <w:rPr>
          <w:sz w:val="20"/>
          <w:szCs w:val="20"/>
          <w:color w:val="auto"/>
        </w:rPr>
      </w:pPr>
      <w:r>
        <w:rPr>
          <w:rFonts w:ascii="Arial" w:cs="Arial" w:eastAsia="Arial" w:hAnsi="Arial"/>
          <w:sz w:val="14"/>
          <w:szCs w:val="14"/>
          <w:color w:val="auto"/>
        </w:rPr>
        <w:t>resources and experience than we do. See ITEM 1A. "RISK FACTORS—Risks Related to Commercialization of Products We Develop" and "Risks Related to 503B Compounding" below.</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XACIATO competes directly with the multiple generic and branded prescription drug products currently approved in the U.S. for the treatment of bacterial vaginosis, including oral and vaginal gel formulations of metronidazole and vaginal cream formulations of clindamycin. As a result of our exclusive license agreement with Organon, the commercial success of XACIATO is outside of our control.</w:t>
      </w:r>
    </w:p>
    <w:p>
      <w:pPr>
        <w:spacing w:after="0" w:line="11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Our investigational contraceptive products, including Ovaprene, if approved, will compete with a wide range of prescription and over-the-counter contraceptive options, including hormone-free options such as condoms, diaphragms, cervical caps, sponges, copper intrauterine devices (IUDs), spermicides and vaginal gels, as well as hormonal products such as pills, patches, vaginal rings, IUDs, implantable rods and injectables. In addition, multiple new methods of pregnancy prevention are in development, including hormone-free options, and some may be marketed in the U.S. before Ovaprene, potentially adding to the level of market competition Ovaprene will face, if approved.</w:t>
      </w:r>
    </w:p>
    <w:p>
      <w:pPr>
        <w:spacing w:after="0" w:line="10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Currently, there are no FDA-approved therapies for FSAD. Sildenafil Cream has the potential to be the first FDA-approved product for the treatment of FSAD. However, Sildenafil Cream, if approved, may compete directly with compounded drugs available in the market, including those from outsourcing facilities that compound topical cream formulations of sildenafil citrate, the active ingredient in Sildenafil Cream. In addition, some compounding entities have partnered with telemedicine providers, enabling them to expand the potential market for their compounded drugs. The availability of other sildenafil products, could potentially make it more challenging for Sildenafil Cream to build and maintain market share.</w:t>
      </w:r>
    </w:p>
    <w:p>
      <w:pPr>
        <w:spacing w:after="0" w:line="1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If we are successful in bringing our proprietary Sildenafil Cream formulation to market under Section 503B of the FDCA, it would compete directly with other topical cream formulations of sildenafil citrate provided by compounding entities described above. However, our proprietary Sildenafil Cream formulation, as of the filing date of this report, to our knowledge, would be the only compounded form of sildenafil citrate that has completed toxicology studies and Phase 1, and Phase 2 human clinical studies.</w:t>
      </w:r>
    </w:p>
    <w:p>
      <w:pPr>
        <w:spacing w:after="0" w:line="1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DARE-HRT1, if approved as a treatment for moderate to severe VMS due to menopause, will compete with the many products on the market targeted to or FDA-approved for the treatment of menopausal symptoms, including VMS. Such products include hormone therapies in the form of pills, patches and creams, some of which are FDA-approved products and others which are supplied by compounding entities, as well as non-hormonal products, including an FDA-approved medication (Veozah® (fezolinetant)) and dietary supplements. Both the supplement and the compounded hormone therapy markets are very significant. A considerable segment of the compounded hormone therapy market is comprised of compounded hormones in pellet form that are implanted under the skin as a non-daily alternative, which could be directly competitive with DARE-HRT. In addition, we are aware of non-hormonal drug products in development for the treatment of VMS, including elinzanetant, a dual neurokinin-1 and 3 (NK-1 and NK-3) receptor antagonist, for which Bayer submitted an NDA in August 2024, and is anticipated to launch in the second half of 2025. We expect the options for hormone therapy to continue to expand with time. We intend for DARE-HRT1, if approved by the FDA, to offer advantages to compounded hormone therapy products, including by providing a product with a well characterized safety and efficacy profile that will have been vetted by the FDA. We believe DARE-HRT1 has the potential to address a preference among some women and health care providers for bio-identical hormones delivered in a non-oral route, as well as offer convenience compared to existing FDA-approved hormone therapies in that one IVR is designed to deliver the bio-identical hormones together over 28 days without any daily intervention.</w:t>
      </w:r>
    </w:p>
    <w:p>
      <w:pPr>
        <w:spacing w:after="0" w:line="11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DARE-VVA1, if approved as a treatment for moderate-to-severe dyspareunia, or pain during sexual intercourse, a symptom of GSM, will compete with other hormonal and non-hormonal products for the treatment of dyspareunia or other GSM symptoms. Such products include hormone therapies in the form of pills, patches and creams, some of which are FDA-approved products and others which are supplied by compounding entities, as well as non-hormonal products in the form of pills and vaginal inserts, such as FDA-approved Osphena® (ospemifene) oral tablet, which is a SERM, and Intrarosa® (prasterone) vaginal insert, which is a steroid. We believe that DARE-VVA1 has the potential to address a preference due to personal or medical reasons among some women and healthcare providers to avoid estrogen and/or treatments with active ingredients that are estrogen-like or can metabolize into estrogen.</w:t>
      </w:r>
    </w:p>
    <w:p>
      <w:pPr>
        <w:spacing w:after="0" w:line="1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Currently, there are no FDA-approved therapies for HPV-related cervical disease. DARE-HPV has the potential to be the first FDA-approved product for the treatment of genital HPV infection in women and/or CIN (also known as cervical dysplasia). Persistent HPV infections can progress to cervical cancer through a series of cervical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3" w:name="page34"/>
    <w:bookmarkEnd w:id="33"/>
    <w:p>
      <w:pPr>
        <w:jc w:val="both"/>
        <w:spacing w:after="0" w:line="262" w:lineRule="auto"/>
        <w:rPr>
          <w:sz w:val="20"/>
          <w:szCs w:val="20"/>
          <w:color w:val="auto"/>
        </w:rPr>
      </w:pPr>
      <w:r>
        <w:rPr>
          <w:rFonts w:ascii="Arial" w:cs="Arial" w:eastAsia="Arial" w:hAnsi="Arial"/>
          <w:sz w:val="14"/>
          <w:szCs w:val="14"/>
          <w:color w:val="auto"/>
        </w:rPr>
        <w:t>lesions. Currently, there are no FDA-approved therapeutic treatments for HPV infections and no non-surgical pharmaceutical intervention to treat CIN2+. Surgical procedures are performed to remove late-stage cervical lesions to prevent the development of cervical cancer. We are aware of other product candidates in development to treat HPV-related cervical diseases, including an investigational vaginal insert being developed by Antiva Biosciences as a topical treatment for high-grade cervical intraepithelial neoplasia (HSIL, CIN2+) and for high-risk HPV infection, which currently is being evaluated in two Phase 1/2 clinical trials. These candidates may complete development, achieve FDA approval and be marketed in the U.S. before DARE-HPV, potentially creating direct market competition for DARE-HPV, if approved.</w:t>
      </w:r>
    </w:p>
    <w:p>
      <w:pPr>
        <w:spacing w:after="0" w:line="10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Over the longer term, our ability, independently or otherwise, to successfully develop, manufacture, market, distribute and sell any approved products, expand their usage, or bring additional new products or compounded drugs to the marketplace will depend on many factors, including, but not limited to, FDA and foreign regulatory agency approval of new products and of new indications for existing products, changes in 503B compounding regulations, whether the drug substances in our proprietary formulations appear and remain on the FDA’s list of bulk drug substances that may be used in 503B compounding, the actual and perceived efficacy and safety of our products or our proprietary formulations made available via 503B compounding (alone and relative to other treatment options), the degree of patent or other protection afforded to particular products, and coverage and reimbursement by third-party payors.</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4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Governmental authorities in the U.S., at the federal, state and local level, and other countries extensively regulate the research, development, testing, manufacturing, labeling and packaging, storage, recordkeeping, advertising, promotion, import, export, marketing, and distribution, among other things, of pharmaceutical, medical device, and drug-device combination products. The process of obtaining regulatory approvals in the U.S. and in foreign countries and jurisdictions, and the subsequent compliance with appropriate federal, state, local and foreign statutes and regulations, require the expenditure of substantial time and financial resources.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and our third-party manufacturers, distributors and contract research organizations, or CROs, may also be subject to government regulation under other federal, state, and local laws, including the U.S. Foreign Corrupt Practices Act, the Occupational Safety and Health Act, the Environmental Protection Act, the Clean Air Act, the Health Insurance Portability and Accountability Act, privacy laws and import, export and customs regulations, as well as comparable laws and regulations of other countries.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U.S. Government Regulation</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the U.S., the FDA, under the authorities granted to the agency by the Federal Food, Drug and Cosmetic Act, or FDCA, and its implementing regulations, subjects pharmaceutical and other regulated medical products to rigorous premarket review as well as post-marketing oversight and potential enforcement actions. Failure to comply with applicable U.S. requirements at any time during the product development or approval process, or after approval, may subject a company to a variety of administrative or judicial sanctions brought by the FDA and the Department of Justice, or DOJ, or other governmental entities, any of which could have a material adverse effect on us. These sanctions could include:</w:t>
      </w:r>
    </w:p>
    <w:p>
      <w:pPr>
        <w:spacing w:after="0" w:line="119" w:lineRule="exact"/>
        <w:rPr>
          <w:sz w:val="20"/>
          <w:szCs w:val="20"/>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refusal to approve pending or future marketing applications;</w:t>
      </w:r>
    </w:p>
    <w:p>
      <w:pPr>
        <w:spacing w:after="0" w:line="22"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10"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withdrawal of an approval;</w:t>
      </w:r>
    </w:p>
    <w:p>
      <w:pPr>
        <w:spacing w:after="0" w:line="1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imposition of a clinical hold;</w:t>
      </w:r>
    </w:p>
    <w:p>
      <w:pPr>
        <w:spacing w:after="0" w:line="17"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voluntary product recalls;</w:t>
      </w:r>
    </w:p>
    <w:p>
      <w:pPr>
        <w:spacing w:after="0" w:line="10"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seizures or administrative detention of product;</w:t>
      </w:r>
    </w:p>
    <w:p>
      <w:pPr>
        <w:spacing w:after="0" w:line="1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or partial suspension of production or distribution; or</w:t>
      </w:r>
    </w:p>
    <w:p>
      <w:pPr>
        <w:spacing w:after="0" w:line="17"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injunctions, fines, disgorgement, civil penalties or criminal prosecution.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4" w:name="page35"/>
    <w:bookmarkEnd w:id="34"/>
    <w:p>
      <w:pPr>
        <w:ind w:left="520"/>
        <w:spacing w:after="0"/>
        <w:rPr>
          <w:sz w:val="20"/>
          <w:szCs w:val="20"/>
          <w:color w:val="auto"/>
        </w:rPr>
      </w:pPr>
      <w:r>
        <w:rPr>
          <w:rFonts w:ascii="Arial" w:cs="Arial" w:eastAsia="Arial" w:hAnsi="Arial"/>
          <w:sz w:val="14"/>
          <w:szCs w:val="14"/>
          <w:b w:val="1"/>
          <w:bCs w:val="1"/>
          <w:i w:val="1"/>
          <w:iCs w:val="1"/>
          <w:color w:val="auto"/>
        </w:rPr>
        <w:t>FDA Approval Process for Prescription Drugs</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To obtain approval of a new drug product from the FDA, we must, among other requirements, submit extensive data supporting its safety and efficacy, as well as detailed information on the manufacture and composition of the drug and proposed product labeling and packaging.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process required by the FDA before a new drug may be marketed in the U.S. generally involves some or all of the following key steps:</w:t>
      </w:r>
    </w:p>
    <w:p>
      <w:pPr>
        <w:spacing w:after="0" w:line="147" w:lineRule="exact"/>
        <w:rPr>
          <w:sz w:val="20"/>
          <w:szCs w:val="20"/>
          <w:color w:val="auto"/>
        </w:rPr>
      </w:pPr>
    </w:p>
    <w:p>
      <w:pPr>
        <w:ind w:left="760" w:hanging="246"/>
        <w:spacing w:after="0" w:line="284"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completion of nonclinical studies, such as laboratory tests, potentially animal studies, and formulation studies, performed in compliance with FDA regulations for good laboratory practices, or GLPs, and other applicable regulations;</w:t>
      </w:r>
    </w:p>
    <w:p>
      <w:pPr>
        <w:ind w:left="760" w:hanging="246"/>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design of a clinical protocol and its submission to the FDA as part of an IND, which must become effective before human clinical trials may begin;</w:t>
      </w:r>
    </w:p>
    <w:p>
      <w:pPr>
        <w:spacing w:after="0" w:line="51"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good clinical practices, or GCPs, to establish the safety and efficacy of the product candidate for its intended use;</w:t>
      </w:r>
    </w:p>
    <w:p>
      <w:pPr>
        <w:ind w:left="760" w:hanging="246"/>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submission of an NDA to the FDA along with payment of the application user fee and FDA acceptance of that NDA;</w:t>
      </w:r>
    </w:p>
    <w:p>
      <w:pPr>
        <w:spacing w:after="0" w:line="51" w:lineRule="exact"/>
        <w:rPr>
          <w:rFonts w:ascii="Arial" w:cs="Arial" w:eastAsia="Arial" w:hAnsi="Arial"/>
          <w:sz w:val="14"/>
          <w:szCs w:val="14"/>
          <w:color w:val="auto"/>
        </w:rPr>
      </w:pPr>
    </w:p>
    <w:p>
      <w:pPr>
        <w:jc w:val="both"/>
        <w:ind w:left="760" w:hanging="246"/>
        <w:spacing w:after="0" w:line="265"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facilities at which the active pharmaceutical ingredient, or API, and finished drug product are produced and tested to assess readiness for commercial manufacturing and conformance to the manufacturing-related elements of the application, to conduct a data integrity audit, and to assess compliance with current good manufacturing practices, or cGMP, in order to assure that the facilities, methods and controls are adequate to preserve the drug candidate’s identity, strength, quality and purity;</w:t>
      </w:r>
    </w:p>
    <w:p>
      <w:pPr>
        <w:spacing w:after="0" w:line="10" w:lineRule="exact"/>
        <w:rPr>
          <w:rFonts w:ascii="Arial" w:cs="Arial" w:eastAsia="Arial" w:hAnsi="Arial"/>
          <w:sz w:val="14"/>
          <w:szCs w:val="14"/>
          <w:color w:val="auto"/>
        </w:rPr>
      </w:pPr>
    </w:p>
    <w:p>
      <w:pPr>
        <w:ind w:left="760" w:hanging="246"/>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possible inspection of selected clinical study sites to confirm compliance with GCP requirements and data integrity; and</w:t>
      </w:r>
    </w:p>
    <w:p>
      <w:pPr>
        <w:spacing w:after="0" w:line="51"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FDA review and approval of the NDA, including satisfactory completion of an FDA advisory committee review of the product candidate, if applicable, which must occur prior to any commercial marketing or sale of the drug product in the U.S.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Preclinical Studies</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After a therapeutic candidate is identified for development, it enters the preclinical or nonclinical testing stage. Preclinical studies include laboratory evaluation of product chemistry, toxicity and formulation, as well as animal studies to assess potential safety and efficacy. The Consolidated Appropriations Act for 2023, signed into law on December 29, 2022, (P.L. 117-328) amended the FDCA to specify that nonclinical testing for drugs may, but is not required to, include in vivo animal testing. According to the amended language, a sponsor may fulfill nonclinical testing requirements by completing various in vitro assays (e.g., cell-based assays, organ chips, or microphysiological systems), in silico studies (i.e., computer modeling), other human or non-human biology-based tests (e.g., bioprinting), or in vivo animal tests. Nonclinical tests intended for submission to the FDA to support the safety of a product candidate must be conducted in compliance with GLP regulations and the United States Department of Agriculture’s Animal Welfare Act, if applicable. A drug sponsor must submit the results of the preclinical tests, together with manufacturing information, analytical data and any available clinical data or literature, among other things, to the FDA as part of an IND. Some nonclinical testing may continue after the IND is submitted. In addition to including the results of the nonclinical studies, the IND will include one or more clinical protocols detailing, among other things, the objectives of the clinical trial and the safety and effectiveness criteria to be evaluated.</w:t>
      </w:r>
    </w:p>
    <w:p>
      <w:pPr>
        <w:spacing w:after="0" w:line="11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A clinical hold may occur at any time during the life of an IND and may affect one or more specific studies or all studies conducted under the IND. Occasionally, clinical holds are imposed due to manufacturing issues that may present safety issues for the clinical study subjects.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35" w:name="page36"/>
    <w:bookmarkEnd w:id="35"/>
    <w:p>
      <w:pPr>
        <w:ind w:left="520"/>
        <w:spacing w:after="0"/>
        <w:rPr>
          <w:sz w:val="20"/>
          <w:szCs w:val="20"/>
          <w:color w:val="auto"/>
        </w:rPr>
      </w:pPr>
      <w:r>
        <w:rPr>
          <w:rFonts w:ascii="Arial" w:cs="Arial" w:eastAsia="Arial" w:hAnsi="Arial"/>
          <w:sz w:val="14"/>
          <w:szCs w:val="14"/>
          <w:i w:val="1"/>
          <w:iCs w:val="1"/>
          <w:color w:val="auto"/>
        </w:rPr>
        <w:t>Human Clinical Trials in Support of an NDA</w:t>
      </w:r>
    </w:p>
    <w:p>
      <w:pPr>
        <w:spacing w:after="0" w:line="1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clinical investigation of an investigational new drug is divided into three phases that typically are conducted sequentially but may overlap or be combined. The three phases are as follows:</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Phase 1. </w:t>
      </w:r>
      <w:r>
        <w:rPr>
          <w:rFonts w:ascii="Arial" w:cs="Arial" w:eastAsia="Arial" w:hAnsi="Arial"/>
          <w:sz w:val="14"/>
          <w:szCs w:val="14"/>
          <w:color w:val="auto"/>
        </w:rPr>
        <w:t>Phase 1 includes initial clinical trials introducing an investigational new drug into humans and may be conducted in subjects with the target disease or healthy</w:t>
      </w:r>
      <w:r>
        <w:rPr>
          <w:rFonts w:ascii="Arial" w:cs="Arial" w:eastAsia="Arial" w:hAnsi="Arial"/>
          <w:sz w:val="14"/>
          <w:szCs w:val="14"/>
          <w:i w:val="1"/>
          <w:iCs w:val="1"/>
          <w:color w:val="auto"/>
        </w:rPr>
        <w:t xml:space="preserve"> </w:t>
      </w:r>
      <w:r>
        <w:rPr>
          <w:rFonts w:ascii="Arial" w:cs="Arial" w:eastAsia="Arial" w:hAnsi="Arial"/>
          <w:sz w:val="14"/>
          <w:szCs w:val="14"/>
          <w:color w:val="auto"/>
        </w:rPr>
        <w:t>volunteers. These trials are designed to determine the metabolism and pharmacologic actions of the drug in humans, the side effects associated with increasing doses, and, if possible, to gain early evidence on effectiveness.</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Phase 2. </w:t>
      </w:r>
      <w:r>
        <w:rPr>
          <w:rFonts w:ascii="Arial" w:cs="Arial" w:eastAsia="Arial" w:hAnsi="Arial"/>
          <w:sz w:val="14"/>
          <w:szCs w:val="14"/>
          <w:color w:val="auto"/>
        </w:rPr>
        <w:t>Phase 2 includes the controlled clinical trials conducted to evaluate the effectiveness of the drug candidate for a particular indication or indications in subjects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Phase 3. </w:t>
      </w:r>
      <w:r>
        <w:rPr>
          <w:rFonts w:ascii="Arial" w:cs="Arial" w:eastAsia="Arial" w:hAnsi="Arial"/>
          <w:sz w:val="14"/>
          <w:szCs w:val="14"/>
          <w:color w:val="auto"/>
        </w:rPr>
        <w:t>Phase 3 trials are typically large trials performed after preliminary evidence suggesting effectiveness of the drug candidate has been obtained. They are intended</w:t>
      </w:r>
      <w:r>
        <w:rPr>
          <w:rFonts w:ascii="Arial" w:cs="Arial" w:eastAsia="Arial" w:hAnsi="Arial"/>
          <w:sz w:val="14"/>
          <w:szCs w:val="14"/>
          <w:i w:val="1"/>
          <w:iCs w:val="1"/>
          <w:color w:val="auto"/>
        </w:rPr>
        <w:t xml:space="preserve"> </w:t>
      </w:r>
      <w:r>
        <w:rPr>
          <w:rFonts w:ascii="Arial" w:cs="Arial" w:eastAsia="Arial" w:hAnsi="Arial"/>
          <w:sz w:val="14"/>
          <w:szCs w:val="14"/>
          <w:color w:val="auto"/>
        </w:rPr>
        <w:t>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0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Human clinical trials are inherently uncertain and Phase 1, Phase 2 and Phase 3 testing may not be successfully completed.</w:t>
      </w:r>
    </w:p>
    <w:p>
      <w:pPr>
        <w:spacing w:after="0" w:line="10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 Congress also recently amended the FDCA, as part of the Consolidated Appropriations Act for 2023, in order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If the FDA objects to a sponsor’s diversity action plan or otherwise requires significant changes to be made, it could delay initiation of the relevant clinical trial.</w:t>
      </w:r>
    </w:p>
    <w:p>
      <w:pPr>
        <w:spacing w:after="0" w:line="12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 xml:space="preserve">Clinical trials must be conducted under the supervision of one or more qualified investigators in accordance with the FDA’s GCP requirements.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in humans exposed to the product or therapeutic candidate. The FDA may order the temporary or permanent discontinuation of a clinical trial at any time, via a clinical hold, or impose other sanctions if it believes that the clinical trial is not being conducted in accordance with FDA requirements or that the subjects are being exposed to an unacceptable health risk. An institutional review board, or IRB, is responsible for ensuring that human subjects in clinical studies are protected from inappropriate study risks. An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 The IRB also may halt a study, either temporarily or permanently, for failure to comply with GCP or the IRB’s requirements, or if the investigational new drug has been associated with unexpected serious harm to patients.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36" w:name="page37"/>
    <w:bookmarkEnd w:id="36"/>
    <w:p>
      <w:pPr>
        <w:jc w:val="both"/>
        <w:ind w:firstLine="509"/>
        <w:spacing w:after="0" w:line="265" w:lineRule="auto"/>
        <w:rPr>
          <w:sz w:val="20"/>
          <w:szCs w:val="20"/>
          <w:color w:val="auto"/>
        </w:rPr>
      </w:pPr>
      <w:r>
        <w:rPr>
          <w:rFonts w:ascii="Arial" w:cs="Arial" w:eastAsia="Arial" w:hAnsi="Arial"/>
          <w:sz w:val="14"/>
          <w:szCs w:val="14"/>
          <w:color w:val="auto"/>
        </w:rPr>
        <w:t>During the development of a new drug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8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drug product. Additionally, appropriate packaging must be selected and tested, and stability studies must be conducted to demonstrate that the product candidate does not undergo unacceptable deterioration over its shelf life.</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Marketing Application Submission and FDA Review</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Under the Prescription Drug User Fee Act, or PDUFA, each NDA must be accompanied by a significant user fee. The FDA adjusts the PDUFA user fees on an annual basis. PDUFA also imposes an annual program fee for marketed prescription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 Congress is required to re-authorize the agency's user fee programs every five years, and current legislative provisions supporting the PDUFA program are set to expire on September 30, 2027.</w:t>
      </w:r>
    </w:p>
    <w:p>
      <w:pPr>
        <w:spacing w:after="0" w:line="10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Under the current PDUFA goals and policies agreed to by the FDA, the agency has ten months from receipt in which to complete its initial review of a standard NDA for a drug that is not a new molecular entity, and six months from the receipt date for an application with priority review. The FDA does not always meet its PDUFA goal dates, and the review process is often significantly extended by FDA requests for additional information or clarification and the sponsor’s process to respond to such inquiries. As a result, the NDA review process can be very lengthy. Most innovative drug products (other than biological products) obtain FDA marketing approval pursuant to an NDA submitted under Section 505(b)(1) of the FDCA,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w:t>
      </w:r>
    </w:p>
    <w:p>
      <w:pPr>
        <w:spacing w:after="0" w:line="4" w:lineRule="exact"/>
        <w:rPr>
          <w:sz w:val="20"/>
          <w:szCs w:val="20"/>
          <w:color w:val="auto"/>
        </w:rPr>
      </w:pPr>
    </w:p>
    <w:p>
      <w:pPr>
        <w:jc w:val="both"/>
        <w:ind w:firstLine="5"/>
        <w:spacing w:after="0" w:line="255" w:lineRule="auto"/>
        <w:tabs>
          <w:tab w:leader="none" w:pos="2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4"/>
          <w:szCs w:val="14"/>
          <w:color w:val="auto"/>
        </w:rPr>
        <w:t>some of the labeled indications for which the referenced product has been approved, as well as for any new indication for which the Section 505(b)(2) NDA applicant has submitted data.</w:t>
      </w:r>
    </w:p>
    <w:p>
      <w:pPr>
        <w:spacing w:after="0" w:line="9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FDA conducts a preliminary review of all NDAs it receives, whether submitted under Section 505(b)(1) or Section 505(b)(2), to ensure that they are sufficiently complete for substantive review before it accepts them for filing. The FDA may refuse to file any NDA that it deems incomplete or not properly reviewable at the time of submission, and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 If the submission is accepted for filing, the FDA begins an in-depth substantive review of the NDA. The FDA reviews the NDA to determine, among other things, whether the proposed product is safe and effective for its intended use, whether it has an acceptable purity profile and whether the product is being manufactured in accordance with cGMP. During its review of an NDA, the FDA may refer the application to an advisory committee of independent experts for a recommendation as to whether the application should be approved.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typically follows such recommendations.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w:t>
      </w:r>
    </w:p>
    <w:p>
      <w:pPr>
        <w:spacing w:after="0" w:line="28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Before approving an NDA,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the NDA, the FDA will typically inspect one or more clinical sites to assure that the clinical trials were conducted in compliance with IND trial requirements and GCP requirements and to assure the integrity of the clinical data submitted to the FDA. To ensure cGMP and GCP compliance by its employees and third-party contractors, an applicant must incur significant expenditure of time, money and effort in the areas of training, record keeping, production and quality control.</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FDA also may require the submission of a risk evaluation and mitigation strategy, or REMS, plan if it determines that a REMS is necessary to ensure that the benefits of the drug outweigh its risks and to assure the safe use of the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plan. The FDA will not approve an NDA without a REMS plan, if required.</w:t>
      </w:r>
    </w:p>
    <w:p>
      <w:pPr>
        <w:spacing w:after="0" w:line="11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After evaluating the NDA and all related information, including the advisory committee recommendation, if any, and inspection reports regarding the manufacturing facilities where the drug product or its API will be produced and the clinical trial sites, the FDA will either issue an approval letter or, in some cases, a complete response letter, or CRL, that describes all of the specific deficiencies in the NDA identified by the agency. An approval letter authorizes commercial marketing of the drug product with specific prescribing information for specific indications. A CRL indicates that the review cycle of the application is complete and the application will not be approved in its present form. The deficiencies identified may be minor, for example, requiring labeling changes, or major, for example, requiring additional clinical trials. Additionally, the CRL may include recommended actions that the applicant might take to place the application in a condition for approval. If a CRL is issued, the applicant may either resubmit the NDA, addressing all of the deficiencies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the FDA nevertheless may ultimately decide that the NDA does not satisfy the regulatory criteria for approval.</w:t>
      </w:r>
    </w:p>
    <w:p>
      <w:pPr>
        <w:spacing w:after="0" w:line="11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Even if a drug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clinical trials, sometimes referred to as “Phase 4” clinical trials, designed to further assess a product’s safety and effectiveness, and/or testing and surveillance programs to monitor the safety of approved products that have been commercialized. After approval, some types of changes to the approved product, such as adding new</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indications, manufacturing changes and additional labeling claims, are subject to further testing requirements and FDA review and approval.</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Special FDA Programs to Facilitate and Expedite Development and Review of Certain New Drugs</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FDA is authorized to designate certain products for expedited development or review if they are intended to address an unmet medical need in the treatment of a serious or life-threatening disease or condition. These programs include, but are not limited to, fast track designation, QIDP designation, and priority review designation. The purpose of these programs is to provide important new drugs to patients earlier than could occur under standard FDA procedures for interacting with and responding to product sponsors during development and regulatory review.</w:t>
      </w:r>
    </w:p>
    <w:p>
      <w:pPr>
        <w:spacing w:after="0" w:line="10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To be eligible for a fast track designation, the FDA must determine, based on the request of a sponsor, that a product is intended to treat a serious or life threatening disease or condition and demonstrates the potential to address an unmet medical need by providing a therapy where none exists or a therapy that may be potentially superior to existing therapy based on efficacy or safety factors. A drug that is designated as a qualified infectious disease product, or QIDP, is also eligible for fast track status.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FDA may decide to rescind the fast track designation if it determines that the qualifying criteria no longer apply. In addition, fast track designation may be withdrawn by the sponsor or rescinded by the FDA if the designation is no longer supported by data emerging in the clinical trial process.</w:t>
      </w:r>
    </w:p>
    <w:p>
      <w:pPr>
        <w:spacing w:after="0" w:line="12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Food and Drug Administration Safety and Innovation Act of 2012, or FDASIA, included the Generating Antibiotics Incentives Now Act, or the GAIN Act, which directed FDA to implement the QIDP designation program. The GAIN Act created incentives for the development of antibacterial and antifungal drug products for the treatment of serious or life-threatening infections. A therapeutic candidate designated as a QIDP is eligible for fast track designation, and the first marketing application submitted for a specific drug product and indication for which QIDP designation was granted will be granted priority review. A subsequent application from the same sponsor for the same product and indication will receive priority review designation only if it otherwise meets the criteria for priority review. As discussed further below under “New Drug Marketing Exclusivity under the Hatch-Waxman Act Amendments &amp; GAIN Exclusivity Extension - Qualified Infectious Disease Product Exclusivity,” the GAIN Act also provides the possibility of a five-year exclusivity extension that is added to any other marketing exclusivity for which a QIDP-designated drug qualifies upon FDA approval.</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Finally,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QIDP designation, and priority review do not change the standards for marketing approval and may not ultimately expedite the development or approval process.</w:t>
      </w:r>
    </w:p>
    <w:p>
      <w:pPr>
        <w:spacing w:after="0" w:line="1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Post-Approval Requirements for Prescription Drugs</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Following approval of a new drug product, the manufacturer and the approved drug are subject to pervasive and continuing regulation by the FDA, including, among other things, monitoring and recordkeeping activities,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39" w:name="page40"/>
    <w:bookmarkEnd w:id="39"/>
    <w:p>
      <w:pPr>
        <w:jc w:val="both"/>
        <w:spacing w:after="0" w:line="265" w:lineRule="auto"/>
        <w:rPr>
          <w:sz w:val="20"/>
          <w:szCs w:val="20"/>
          <w:color w:val="auto"/>
        </w:rPr>
      </w:pPr>
      <w:r>
        <w:rPr>
          <w:rFonts w:ascii="Arial" w:cs="Arial" w:eastAsia="Arial" w:hAnsi="Arial"/>
          <w:sz w:val="14"/>
          <w:szCs w:val="14"/>
          <w:color w:val="auto"/>
        </w:rPr>
        <w:t>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1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preclinical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drugs are required to register their establishments with the FDA and some state agencies, and are subject to periodic unannounced inspections by the FDA for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drug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FDCA, such as the requirements for making manufacturing changes to an approved NDA.</w:t>
      </w:r>
    </w:p>
    <w:p>
      <w:pPr>
        <w:spacing w:after="0" w:line="1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spacing w:after="0" w:line="119" w:lineRule="exact"/>
        <w:rPr>
          <w:sz w:val="20"/>
          <w:szCs w:val="20"/>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fines, warning letters or other enforcement-related letters or clinical holds on post-approval clinical trials;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refusal of the FDA to approve pending NDAs or supplements to approved NDAs;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consent decrees, corporate integrity agreements, debarment, or exclusion from federal health care programs; or</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mandated modification of promotional materials and labeling and the issuance of corrective information.</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addition, the distribution of prescription pharmaceutical products is subject to a variety of federal and state laws. The Prescription Drug Marketing Act of 1987,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The Drug Supply Chain Security Act, or DSCSA, was enacted in 2013 with the aim of building an electronic system to identify and trace certain prescription drugs distributed in the United States. The DSCSA mandated resource-intensive obligations for pharmaceutical manufacturers, repackagers, wholesale distributors, and dispensers (primarily pharmacies) over a 10-year period that culminated in November 2023. It also replaced certain provisions from the PDMA pertaining to wholesale distribution of prescription drugs with a more comprehensive statutory scheme, requiring uniform national standards for wholesale distribution and, for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0" w:name="page41"/>
    <w:bookmarkEnd w:id="40"/>
    <w:p>
      <w:pPr>
        <w:jc w:val="both"/>
        <w:spacing w:after="0" w:line="260" w:lineRule="auto"/>
        <w:rPr>
          <w:sz w:val="20"/>
          <w:szCs w:val="20"/>
          <w:color w:val="auto"/>
        </w:rPr>
      </w:pPr>
      <w:r>
        <w:rPr>
          <w:rFonts w:ascii="Arial" w:cs="Arial" w:eastAsia="Arial" w:hAnsi="Arial"/>
          <w:sz w:val="14"/>
          <w:szCs w:val="14"/>
          <w:color w:val="auto"/>
        </w:rPr>
        <w:t>first time, for third-party logistics providers. In February 2022, the FDA released proposed regulations to amend the existing national standards for licensing of wholesale drug distributors by the states (which had been promulgated under the PDMA); to establish new minimum standards for state licensing third-party logistics providers; and to create a federal system for licensure for use in the absence of a state program, each of which is mandated by the DSCSA. Most recently, the FDA announced a one-year stabilization period to November 2024 followed by trading partner-specific exemptions through specified dates in 2025,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prescription drug products regulated by the FDA.</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FDA Review and Approval of Medical Devices</w:t>
      </w:r>
    </w:p>
    <w:p>
      <w:pPr>
        <w:spacing w:after="0" w:line="14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Medical devices also are strictly regulated by the FDA in the United States. Under the FDCA, a medical device is defined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FDA-regulated products such as drugs. If the primary intended use of a medical product is achieved through chemical action or by being metabolized by the body, the product is usually a drug or biologic. If not, it is generally a medical device.</w:t>
      </w:r>
    </w:p>
    <w:p>
      <w:pPr>
        <w:spacing w:after="0" w:line="11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Unless an exemption applies, a new medical device may not be marketed in the United States unless and until it has been cleared through the premarket notification, or 510(k), process, or approved by the FDA pursuant to a PMA. The information that must be submitted to the FDA in order to obtain clearance or approval to market a new medical device varies depending on how the medical device is classified by the FDA.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device manufacturers are responsible for identifying cybersecurity risks and hazards associated with their products. In recent years, the FDA has increased its scrutiny of this issue as part of the review and marketing authorization process for new medical devices; the agency also monitors reports of cybersecurity risks as part of its post-marketing device surveillance activities. In addition, as part of the Consolidated Appropriations Act for 2023, Congress created new premarket requirements for developers of “cyber devices,” defined as medical devices that include software, connect to the internet, and contain any technological features that could be vulnerable to cybersecurity threats.</w:t>
      </w:r>
    </w:p>
    <w:p>
      <w:pPr>
        <w:spacing w:after="0" w:line="12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Medical devices are classified into one of three classes on the basis of the controls deemed by the FDA to be necessary to reasonably assure their safety and effectiveness. Class I devices are those low risk devices for 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Most Class I devices are exempt from premarket regulation; however, some Class I devices require premarket clearance by the FDA through the 510(k) process. Notably, the agency has issued a final rule called the Quality Management System Regulation, or QMSR, to harmonize the FDA's medical device current good manufacturing practice regulations with the International Organization for Standardization, or ISO, standard for device quality management systems (ISO 13485:2016). The effective date for the QMSR final rule is February 2, 2026. Until then, manufacturers are required to comply with QSR.</w:t>
      </w:r>
    </w:p>
    <w:p>
      <w:pPr>
        <w:spacing w:after="0" w:line="11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most Class II devices is accomplished through the 510(k) process, although some Class II devices are exempt from the 510(k) requirements. To obtain 510(k) clearance, a sponsor must submit to the FDA a premarket notification demonstrating that the device is substantially equivalent to a device that is already legally marketed in the United States and for which a PMA was not required (i.e., a Class II device). The device to which the sponsor’s device is compared for the purpose of determining substantial equivalence is called a “predicate device.” The FDA’s goal is to make a substantial equivalence determination within 90 days of FDA’s receipt of the 510(k) application, but it often takes longer if the FDA requests additional information. Most 510(k)s do not require supporting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14"/>
          <w:szCs w:val="14"/>
          <w:color w:val="auto"/>
        </w:rPr>
        <w:t>data from clinical trials, but such data is typically required if the predicate device relied in part on clinical trial data to obtain clearance. After a device receives 510(k) clearance, any modification that could significantly affect its safety or effectiveness, or that would constitute a major change in its intended use, will require a new clearance or possibly a pre-market approval. Premarket notifications are subject to user fees, unless a specific exemption applies.</w:t>
      </w:r>
    </w:p>
    <w:p>
      <w:pPr>
        <w:spacing w:after="0" w:line="1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Class III devices are deemed by the FDA to pose the greatest risk to patients, such as life-sustaining or life-supporting devices, devices that present a potential unreasonable risk of illness or injury, or, more generally, devices whose safety and effectiveness cannot be assured solely by the general controls and special controls described above. All Class III devices must be reviewed and approved by the FDA through the PMA process. A PMA must be supported by extensive data including, but not limited to, technical data, nonclinical studies, clinical trials, manufacturing and labeling to demonstrate to the FDA’s satisfaction the safety and effectiveness of the device for its intended use. After a PMA is submitted and the FDA determines the application is sufficiently complete, the agency will accept it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it considers such recommendations when making final decisions on approval. In addition, the FDA will conduct a preapproval inspection of the manufacturing facility to ensure compliance with the QSR. New PMA applications or supplements are also required for product modifications that affect the safety and efficacy of the device. PMA (and supplemental PMAs) are subject to significantly higher user fees than are 510(k) premarket notifications.</w:t>
      </w:r>
    </w:p>
    <w:p>
      <w:pPr>
        <w:spacing w:after="0" w:line="11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 xml:space="preserve">Novel medical device types that the FDA has not previously classified as Class I, II or III are automatically classified into Class III regardless of the level of risk they ultimately pose to patients and/or users.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procedure. This procedure allows a manufacturer whose novel device is automatically classified into Class III to request down-classification of its medical device into Class I or Class II based on a benefit-risk analysis demonstrating the device actually presents low or moderate risk, rather than requiring the submission and approval of a PMA application. Today, as a result of certain amendments to the FDCA, manufacturers may request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from the FDA without first submitting a 510(k) premarket notification and receiving a not substantially equivalent determination. The FDA is required under the statute to classify the device within 120 days following receipt of the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application, however, the most recent FDA premarket review goals state that in fiscal year 2024, FDA will attempt to issue a decision on 80% of all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requests received within 150 days of receipt.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requests are also subject to user fees, unless a specific exemption applies.</w:t>
      </w:r>
    </w:p>
    <w:p>
      <w:pPr>
        <w:spacing w:after="0" w:line="11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Clinical trials are almost always required to support a PMA application and are sometimes required for a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IRB approval of the proposed investigation. In addition, if the clinical study involves a “significant risk” (as defined by the FDA) to human health, the company sponsoring the investigation must also submit and obtain FDA approval of an IDE. An IDE must be supported by appropriate data, such as animal and laboratory testing results, showing that it is safe to test the device in humans and that the testing protocol is scientifically sound. The IDE must be approved in advance by the FDA for a specified number of study participants, unless the product is deemed a non-significant risk device and eligible for abbreviated IDE requirements. Generally, clinical trials for a significant risk device may begin once the IDE is approved by the FDA and the study protocol and informed consent form are approved by a duly-appointed IRB at each clinical trial site. A diversity action plan will be required for most clinical studies of investigational medical devices intended to support marketing authorization as a result of the December 2022 FDCA amendments.</w:t>
      </w:r>
    </w:p>
    <w:p>
      <w:pPr>
        <w:spacing w:after="0" w:line="12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FDA’s IDE regulations govern investigational device labeling, prohibit promotion, and specify an array of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4"/>
          <w:szCs w:val="14"/>
          <w:color w:val="auto"/>
        </w:rPr>
        <w:t>the FDA. The results of clinical testing may be unfavorable or, even if the intended safety and efficacy success criteria are achieved, may not be considered sufficient for the FDA to grant approval or clearance of a product.</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Post-Marketing Requirements for Medical Devices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After a medical device is placed on the market, numerous regulatory requirements apply that in some ways mirror the post-approval requirements for prescription drugs.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include, but are not limited to:</w:t>
      </w:r>
    </w:p>
    <w:p>
      <w:pPr>
        <w:spacing w:after="0" w:line="37" w:lineRule="exact"/>
        <w:rPr>
          <w:sz w:val="20"/>
          <w:szCs w:val="20"/>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submitting and updating establishment registration and device listings with the FDA;</w:t>
      </w:r>
    </w:p>
    <w:p>
      <w:pPr>
        <w:spacing w:after="0" w:line="51" w:lineRule="exact"/>
        <w:rPr>
          <w:rFonts w:ascii="Arial" w:cs="Arial" w:eastAsia="Arial" w:hAnsi="Arial"/>
          <w:sz w:val="14"/>
          <w:szCs w:val="14"/>
          <w:color w:val="auto"/>
        </w:rPr>
      </w:pPr>
    </w:p>
    <w:p>
      <w:pPr>
        <w:ind w:left="760" w:hanging="246"/>
        <w:spacing w:after="0" w:line="268"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with the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1" w:lineRule="exact"/>
        <w:rPr>
          <w:rFonts w:ascii="Arial" w:cs="Arial" w:eastAsia="Arial" w:hAnsi="Arial"/>
          <w:sz w:val="14"/>
          <w:szCs w:val="14"/>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pre-scheduled or unannounced device facility inspections by the FDA;</w:t>
      </w:r>
    </w:p>
    <w:p>
      <w:pPr>
        <w:spacing w:after="0" w:line="51" w:lineRule="exact"/>
        <w:rPr>
          <w:rFonts w:ascii="Arial" w:cs="Arial" w:eastAsia="Arial" w:hAnsi="Arial"/>
          <w:sz w:val="14"/>
          <w:szCs w:val="14"/>
          <w:color w:val="auto"/>
        </w:rPr>
      </w:pPr>
    </w:p>
    <w:p>
      <w:pPr>
        <w:ind w:left="760" w:hanging="246"/>
        <w:spacing w:after="0" w:line="276"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labeling regulations, which prohibit the promotion of devices for uncleared or unapproved (or “off-label”) uses and impose other restrictions relating to promotional activities;</w:t>
      </w:r>
    </w:p>
    <w:p>
      <w:pPr>
        <w:spacing w:after="0" w:line="1" w:lineRule="exact"/>
        <w:rPr>
          <w:rFonts w:ascii="Arial" w:cs="Arial" w:eastAsia="Arial" w:hAnsi="Arial"/>
          <w:sz w:val="14"/>
          <w:szCs w:val="14"/>
          <w:color w:val="auto"/>
        </w:rPr>
      </w:pPr>
    </w:p>
    <w:p>
      <w:pPr>
        <w:ind w:left="760" w:hanging="246"/>
        <w:spacing w:after="0" w:line="274"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corrections and removal reporting regulations, which require that manufacturers report to the FDA field corrections or removals if undertaken to reduce a risk to health posed by a device or to remedy a violation of the FDCA that may present a risk to health; and</w:t>
      </w:r>
    </w:p>
    <w:p>
      <w:pPr>
        <w:spacing w:after="0" w:line="3" w:lineRule="exact"/>
        <w:rPr>
          <w:rFonts w:ascii="Arial" w:cs="Arial" w:eastAsia="Arial" w:hAnsi="Arial"/>
          <w:sz w:val="14"/>
          <w:szCs w:val="14"/>
          <w:color w:val="auto"/>
        </w:rPr>
      </w:pPr>
    </w:p>
    <w:p>
      <w:pPr>
        <w:ind w:left="760" w:hanging="246"/>
        <w:spacing w:after="0" w:line="274"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post-market surveillance regulations, which apply to certain Class II or III devices when necessary to protect the public health or to provide additional safety and effectiveness data for the device.</w:t>
      </w:r>
    </w:p>
    <w:p>
      <w:pPr>
        <w:spacing w:after="0" w:line="9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0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adverse health consequences or death. Manufacturers may, under their own initiative, recall a product if any distributed devices fail to meet established specifications, are otherwise misbranded or adulterated, or if any other material deficiency is found. The FDA requires that certain classifications of recalls be reported to the FDA within ten working days after the recall is initiated.</w:t>
      </w:r>
    </w:p>
    <w:p>
      <w:pPr>
        <w:spacing w:after="0" w:line="106"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4"/>
          <w:szCs w:val="14"/>
          <w:color w:val="auto"/>
        </w:rPr>
        <w:t>As with prescription drugs, the failure to comply with applicable device regulatory requirements can result in enforcement action by the FDA, which may include any of the following sanctions:</w:t>
      </w:r>
    </w:p>
    <w:p>
      <w:pPr>
        <w:spacing w:after="0" w:line="1" w:lineRule="exact"/>
        <w:rPr>
          <w:sz w:val="20"/>
          <w:szCs w:val="20"/>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warning letters, fines, injunctions or civil penalties;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recalls, detentions or seizures of products;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operating restrictions;</w:t>
      </w:r>
    </w:p>
    <w:p>
      <w:pPr>
        <w:spacing w:after="0" w:line="40"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the introduction of products into the market;</w:t>
      </w:r>
    </w:p>
    <w:p>
      <w:pPr>
        <w:spacing w:after="0" w:line="40"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 or refusal of the FDA or other regulators to grant 510(k) clearance or PMA approvals of new or modified devices;</w:t>
      </w:r>
    </w:p>
    <w:p>
      <w:pPr>
        <w:spacing w:after="0" w:line="40"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withdrawals of marketing authorization; or</w:t>
      </w:r>
    </w:p>
    <w:p>
      <w:pPr>
        <w:spacing w:after="0" w:line="40"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the most serious cases, criminal prosecution.</w:t>
      </w:r>
    </w:p>
    <w:p>
      <w:pPr>
        <w:spacing w:after="0" w:line="147"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To ensure compliance with regulatory requirements, medical device manufacturers are subject to market surveillance and periodic, prescheduled or unannounced inspections by the FDA, and these inspections may include the manufacturing facilities of subcontractors and third-party component suppliers.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3" w:name="page44"/>
    <w:bookmarkEnd w:id="43"/>
    <w:p>
      <w:pPr>
        <w:ind w:left="520"/>
        <w:spacing w:after="0"/>
        <w:rPr>
          <w:sz w:val="20"/>
          <w:szCs w:val="20"/>
          <w:color w:val="auto"/>
        </w:rPr>
      </w:pPr>
      <w:r>
        <w:rPr>
          <w:rFonts w:ascii="Arial" w:cs="Arial" w:eastAsia="Arial" w:hAnsi="Arial"/>
          <w:sz w:val="14"/>
          <w:szCs w:val="14"/>
          <w:b w:val="1"/>
          <w:bCs w:val="1"/>
          <w:i w:val="1"/>
          <w:iCs w:val="1"/>
          <w:color w:val="auto"/>
        </w:rPr>
        <w:t>FDA Review and Approval Process for Combination Products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 combination product is a product composed of a combination of two or more FDA-regulated product constituent parts or products, e.g., drug-device or biologic-device. Such products often raise regulatory, policy and review management challenges because they integrate constituent parts that are regulated under different types of regulatory requirements and by different FDA Centers, namely, the Center for Drug Evaluation and Research, or CDER, the Center for Devices and Radiological Health, or CDRH, or the Center for Biologics Evaluation and Research, or CBER. Differences in regulatory pathways for each constituent part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 Specifically, under regulations issued by the FDA, a combination product may be:</w:t>
      </w:r>
    </w:p>
    <w:p>
      <w:pPr>
        <w:spacing w:after="0" w:line="57" w:lineRule="exact"/>
        <w:rPr>
          <w:sz w:val="20"/>
          <w:szCs w:val="20"/>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product comprising two or more regulated constituent parts that are physically, chemically, or otherwise combined or mixed and produced as a single entity;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two or more separate products packaged together in a single package or as a unit and comprised of drug and device products;</w:t>
      </w:r>
    </w:p>
    <w:p>
      <w:pPr>
        <w:spacing w:after="0" w:line="93" w:lineRule="exact"/>
        <w:rPr>
          <w:rFonts w:ascii="Arial" w:cs="Arial" w:eastAsia="Arial" w:hAnsi="Arial"/>
          <w:sz w:val="14"/>
          <w:szCs w:val="14"/>
          <w:color w:val="auto"/>
        </w:rPr>
      </w:pPr>
    </w:p>
    <w:p>
      <w:pPr>
        <w:jc w:val="both"/>
        <w:ind w:left="760" w:hanging="246"/>
        <w:spacing w:after="0" w:line="27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48"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8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FDA’s Office of Combination Products, or OCP, was established to provide prompt determination of the FDA Center with primary jurisdiction over the review and regulation of a combination product; ensure timely and effective premarket review by overseeing the timeliness of and coordinating reviews involving more than one center; ensure consistent and appropriate post-market regulation; resolve disputes regarding review timeliness; and review/revise agreements, guidance and practices specific to the assignment of combination products.</w:t>
      </w:r>
    </w:p>
    <w:p>
      <w:pPr>
        <w:spacing w:after="0" w:line="10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 xml:space="preserve">OCP determines which Center will have primary jurisdiction for the combination product, referred to as the Lead Center, based on the combination product’s “primary mode of action,” or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under through a 510(k), PMA, or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w:t>
      </w:r>
    </w:p>
    <w:p>
      <w:pPr>
        <w:spacing w:after="0" w:line="1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the sponsor may request that OCP reconsider its decision.</w:t>
      </w:r>
    </w:p>
    <w:p>
      <w:pPr>
        <w:spacing w:after="0" w:line="1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Combination products are subject to FDA user fees based on the type of application submitted for the product’s premarket approval or clearance. For example, a combination product for which an NDA is submitted is subject to the NDA fee under PDUFA. Likewise, a combination product for which a PMA is submitted is subject to the PMA fee under the Medical Device User Fee and Modernization Act.</w:t>
      </w:r>
    </w:p>
    <w:p>
      <w:pPr>
        <w:spacing w:after="0" w:line="10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Since a combination product incorporates two or more constituent parts that have different regulatory requirements, a combination product manufacturer must comply with all cGMP and QSR requirements that apply to each constituent part. The FDA has issued a combination product cGMP regulation, along with final guidance, describing two approaches a combination product manufacturer may follow to demonstrate compliance. Under these two options, the manufacturer demonstrates compliance with: (1) All cGMP regulations applicable to each separate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4"/>
          <w:szCs w:val="14"/>
          <w:color w:val="auto"/>
        </w:rPr>
        <w:t>regulated constituent part included in the combination product; or (2) either the drug cGMP or the QSR, as well as with specified provisions from the other of these two sets of requirements (also called the “streamlined approach”). In addition, The 21st Century Cures Act, or the Cures Act, amended the FDCA to clarify that for drug-device combination products with a device PMOA and an FDA-approved drug constituent part, Hatch-Waxman Act requirements apply. Accordingly, a potential patent dispute regarding the listed drug that is being referenced by the combination product sponsor may delay the marketing authorization of the combination product. Furthermore, the Cures Act amendments applied Hatch-Waxman Act exclusivity provisions (e.g., new chemical entity and new clinical investigation) to the device clearance and approval process for combination products with a device PMOA.</w:t>
      </w:r>
    </w:p>
    <w:p>
      <w:pPr>
        <w:spacing w:after="0" w:line="123" w:lineRule="exact"/>
        <w:rPr>
          <w:sz w:val="20"/>
          <w:szCs w:val="20"/>
          <w:color w:val="auto"/>
        </w:rPr>
      </w:pPr>
    </w:p>
    <w:p>
      <w:pPr>
        <w:ind w:left="520" w:right="3640"/>
        <w:spacing w:after="0" w:line="457" w:lineRule="auto"/>
        <w:rPr>
          <w:sz w:val="20"/>
          <w:szCs w:val="20"/>
          <w:color w:val="auto"/>
        </w:rPr>
      </w:pPr>
      <w:r>
        <w:rPr>
          <w:rFonts w:ascii="Arial" w:cs="Arial" w:eastAsia="Arial" w:hAnsi="Arial"/>
          <w:sz w:val="14"/>
          <w:szCs w:val="14"/>
          <w:b w:val="1"/>
          <w:bCs w:val="1"/>
          <w:i w:val="1"/>
          <w:iCs w:val="1"/>
          <w:color w:val="auto"/>
        </w:rPr>
        <w:t xml:space="preserve">New Drug Marketing Exclusivity under the Hatch-Waxman Act Amendments &amp; GAIN Exclusivity Extension </w:t>
      </w:r>
      <w:r>
        <w:rPr>
          <w:rFonts w:ascii="Arial" w:cs="Arial" w:eastAsia="Arial" w:hAnsi="Arial"/>
          <w:sz w:val="14"/>
          <w:szCs w:val="14"/>
          <w:i w:val="1"/>
          <w:iCs w:val="1"/>
          <w:color w:val="auto"/>
        </w:rPr>
        <w:t>Orange Book Listing &amp; Patent Certification</w:t>
      </w:r>
    </w:p>
    <w:p>
      <w:pPr>
        <w:jc w:val="both"/>
        <w:ind w:firstLine="509"/>
        <w:spacing w:after="0" w:line="257" w:lineRule="auto"/>
        <w:rPr>
          <w:sz w:val="20"/>
          <w:szCs w:val="20"/>
          <w:color w:val="auto"/>
        </w:rPr>
      </w:pPr>
      <w:r>
        <w:rPr>
          <w:rFonts w:ascii="Arial" w:cs="Arial" w:eastAsia="Arial" w:hAnsi="Arial"/>
          <w:sz w:val="14"/>
          <w:szCs w:val="14"/>
          <w:color w:val="auto"/>
        </w:rPr>
        <w:t>As noted above, Congress created the 505(b)(2) NDA pathway in 1984 as part of the Hatch-Waxman Act amendments to the FDCA.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2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 Patents for drug-device combination products that are listed in the Orange Book have recently come under scrutiny by the Federal Trade Commission, and the controversy regarding the appropriateness of listing such patents has led to numerous lawsuits alleging anticompetitive conduct by biopharmaceutical companies.</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1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If the follow-on applicant does not challenge the innovator’s listed patents, FDA will not approve the ANDA or 505(b)(2) application until all the listed patents claiming the referenced product have expired. A certification that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14"/>
          <w:szCs w:val="14"/>
          <w:color w:val="auto"/>
        </w:rPr>
        <w:t>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Non-Patent Exclusivity</w:t>
      </w:r>
    </w:p>
    <w:p>
      <w:pPr>
        <w:spacing w:after="0" w:line="13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An ANDA or 505(b)(2) NDA also will not be approved until any applicable non-patent exclusivities listed in the Orange Book for the referenced product have expired. The Hatch-Waxman Act amendments to the FDCA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FDCA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Five-year and three-year exclusivity also will not delay the submission or approval of a traditional NDA filed under Section 505(b)(1) of the FDCA; however, an applicant submitting a traditional NDA would be required to conduct or obtain a right of reference to all of the preclinical studies and adequate and well-controlled clinical trials necessary to demonstrate safety and effectiveness.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Qualified Infectious Disease Product Exclusivity</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Under the GAIN Act amendments to the FDCA, the FDA may designate a product as a QIDP for a specific use for which it is being studied, upon the written request of a sponsor at any time prior to submission of a marketing application. In order to qualify for designation as a QIDP, the drug product candidate must qualify as an antibiotic or antifungal drug for human use intended to treat serious or life-threatening infections, including those caused by either (i) an antibiotic or antifungal resistant pathogen, including novel or emerging infectious pathogens, or (ii) a so-called “qualifying pathogen” found on a list of potentially dangerous, drug-resistant organisms established and maintained by the FDA. In addition to the expedited review benefits that a QIDP-designated drug candidate may be eligible for (described above under “Special FDA Programs to Facilitate and Expedite Development and Review of Certain New Drugs”), such a drug that is approved for the use for which the QIDP designation was granted will receive a five-year extension to any non-patent marketing exclusivity period for which the drug qualified upon approval, such as a five-year NCE exclusivity or three-year new clinical data exclusivity. This so-called GAIN exclusivity extension is not available to a QIDP-designated drug that has previously received the five-year extension period, such as when an applicant is seeking approval for a new indication or new strength for a marketed infectious disease product.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Patent Term Extension</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 patent claiming a prescription drug or medical device for which FDA approval is granted may be eligible for a limited patent term extension under the FDCA,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6" w:name="page47"/>
    <w:bookmarkEnd w:id="46"/>
    <w:p>
      <w:pPr>
        <w:jc w:val="both"/>
        <w:spacing w:after="0" w:line="260" w:lineRule="auto"/>
        <w:rPr>
          <w:sz w:val="20"/>
          <w:szCs w:val="20"/>
          <w:color w:val="auto"/>
        </w:rPr>
      </w:pPr>
      <w:r>
        <w:rPr>
          <w:rFonts w:ascii="Arial" w:cs="Arial" w:eastAsia="Arial" w:hAnsi="Arial"/>
          <w:sz w:val="14"/>
          <w:szCs w:val="14"/>
          <w:color w:val="auto"/>
        </w:rPr>
        <w:t>new FDA-regulated medical product is typically one-half the time between the date a clinical investigation on human beings is begun and the submission date of an application for premarket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Disclosure of Clinical Trial Information</w:t>
      </w:r>
    </w:p>
    <w:p>
      <w:pPr>
        <w:spacing w:after="0" w:line="145"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Sponsors of clinical trials of certain FDA-regulated products, including prescription drugs and medical devices, are required to register and disclose certain clinical trial information on a public registry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brought enforcement actions against clinical trial sponsors that fail to comply with such requirements.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U.S. Health Care Laws and Compliance Requirements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we plan to commercialize our product candidates, if approved, we are subject to additional health care statutory and regulatory requirements and enforcement by federal government and the states and foreign governments in the jurisdictions in which we conduct our business. Health care providers, physicians and third-party payors play a primary role in the recommendation and prescription of any product candidates for which we may obtain marketing approval. Arrangements we may enter into with third-party payors or other customers expose us to broadly applicable fraud and abuse and other health care laws and regulations that constrain the business or financial arrangements and relationships through which we market, sell, and distribute any products for which we obtain marketing approval.</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Violations of the fraud and abuse laws, or other health care laws, are punishable by criminal and civil sanctions, including, in some instances, the possibility of exclusion from participation in federal and state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If the government were to allege or convict us or our executive officers, employees or consultants of violating these laws, our business could be harmed. In addition, private individuals have the ability to bring similar actions under some of the fraud and abuse laws described below.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w:t>
      </w:r>
    </w:p>
    <w:p>
      <w:pPr>
        <w:spacing w:after="0" w:line="11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These applicable health care industry laws include, among others, health care information and data privacy and security laws, transparency laws, and fraud and abuse laws, such as:</w:t>
      </w:r>
    </w:p>
    <w:p>
      <w:pPr>
        <w:spacing w:after="0" w:line="35" w:lineRule="exact"/>
        <w:rPr>
          <w:sz w:val="20"/>
          <w:szCs w:val="20"/>
          <w:color w:val="auto"/>
        </w:rPr>
      </w:pPr>
    </w:p>
    <w:p>
      <w:pPr>
        <w:jc w:val="both"/>
        <w:ind w:left="760" w:hanging="246"/>
        <w:spacing w:after="0" w:line="265"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7" w:name="page48"/>
    <w:bookmarkEnd w:id="47"/>
    <w:p>
      <w:pPr>
        <w:jc w:val="both"/>
        <w:ind w:left="760"/>
        <w:spacing w:after="0" w:line="271" w:lineRule="auto"/>
        <w:rPr>
          <w:sz w:val="20"/>
          <w:szCs w:val="20"/>
          <w:color w:val="auto"/>
        </w:rPr>
      </w:pPr>
      <w:r>
        <w:rPr>
          <w:rFonts w:ascii="Arial" w:cs="Arial" w:eastAsia="Arial" w:hAnsi="Arial"/>
          <w:sz w:val="14"/>
          <w:szCs w:val="14"/>
          <w:color w:val="auto"/>
        </w:rPr>
        <w:t>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49" w:lineRule="exact"/>
        <w:rPr>
          <w:sz w:val="20"/>
          <w:szCs w:val="20"/>
          <w:color w:val="auto"/>
        </w:rPr>
      </w:pPr>
    </w:p>
    <w:p>
      <w:pPr>
        <w:jc w:val="both"/>
        <w:ind w:left="760" w:hanging="246"/>
        <w:spacing w:after="0" w:line="259"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federal civil and criminal false claims laws, including the civil False Claims Act, and civil monetary penalties laws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57" w:lineRule="exact"/>
        <w:rPr>
          <w:rFonts w:ascii="Arial" w:cs="Arial" w:eastAsia="Arial" w:hAnsi="Arial"/>
          <w:sz w:val="14"/>
          <w:szCs w:val="14"/>
          <w:color w:val="auto"/>
        </w:rPr>
      </w:pPr>
    </w:p>
    <w:p>
      <w:pPr>
        <w:jc w:val="both"/>
        <w:ind w:left="760" w:hanging="246"/>
        <w:spacing w:after="0" w:line="260"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U.S. federal Health Insurance Portability and Accountability Act of 1996, or HIPAA, created new federal, civil and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56" w:lineRule="exact"/>
        <w:rPr>
          <w:rFonts w:ascii="Arial" w:cs="Arial" w:eastAsia="Arial" w:hAnsi="Arial"/>
          <w:sz w:val="14"/>
          <w:szCs w:val="14"/>
          <w:color w:val="auto"/>
        </w:rPr>
      </w:pPr>
    </w:p>
    <w:p>
      <w:pPr>
        <w:jc w:val="both"/>
        <w:ind w:left="760" w:hanging="246"/>
        <w:spacing w:after="0" w:line="262"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Physician Payments Sunshine Act, enacted as part of the ACA (defined below), among other things, imposes reporting requirements on manufacturers of FDA-approved drugs, devices, biologics and medical supplies covered by Medicare or Medicaid to report, on an annual basis, to the Centers for Medicare &amp; Medicaid Services, or CMS, information related to payments and other transfers of value to physicians (defined to include doctors, dentists, optometrists, podiatrists, and chiropractors), certain advanced non-physician health care practitioners, and teaching hospitals, as well as ownership and investment interests held by physicians and their immediate family members in such manufacturers;</w:t>
      </w:r>
    </w:p>
    <w:p>
      <w:pPr>
        <w:spacing w:after="0" w:line="54" w:lineRule="exact"/>
        <w:rPr>
          <w:rFonts w:ascii="Arial" w:cs="Arial" w:eastAsia="Arial" w:hAnsi="Arial"/>
          <w:sz w:val="14"/>
          <w:szCs w:val="14"/>
          <w:color w:val="auto"/>
        </w:rPr>
      </w:pPr>
    </w:p>
    <w:p>
      <w:pPr>
        <w:jc w:val="both"/>
        <w:ind w:left="760" w:hanging="246"/>
        <w:spacing w:after="0" w:line="257"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or HITECH, and their respective implementing regulations impose specified requirements relating to the privacy, security and electronic exchange of individually identifiable health information (called "protected health information" under HIPAA) as well as requirements for notification to affected individuals and the government in the event of a breach. Among other things, HITECH makes certain of HIPAA’s privacy and all of HIPAA's security standards directly applicable to “business associates,” defined as independent contractors or agents of "covered entities," or organizations subject to HIPAA which include certain health care providers, health plans, and health care clearinghouses. Business associates create, receive, maintain or transmit protected health information in connection with providing a service for or on behalf of a covered entity. HITECH also increased the civil and criminal penalties that may be imposed against covered entities, business associates and created penalties for third parties that unlawfully acquire protected health information. HITECH also gave state attorneys general new authority to file civil actions for damages or injunctions in federal courts to enforce HIPAA and seek attorney’s fees and costs associated with pursuing federal civil actions; and</w:t>
      </w:r>
    </w:p>
    <w:p>
      <w:pPr>
        <w:spacing w:after="0" w:line="61"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State and local laws which require the registration of pharmaceutical sales representatives.</w:t>
      </w:r>
    </w:p>
    <w:p>
      <w:pPr>
        <w:spacing w:after="0" w:line="14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expanding and complicating compliance requirements.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48" w:name="page49"/>
    <w:bookmarkEnd w:id="48"/>
    <w:p>
      <w:pPr>
        <w:jc w:val="both"/>
        <w:ind w:firstLine="509"/>
        <w:spacing w:after="0" w:line="258" w:lineRule="auto"/>
        <w:rPr>
          <w:sz w:val="20"/>
          <w:szCs w:val="20"/>
          <w:color w:val="auto"/>
        </w:rPr>
      </w:pPr>
      <w:r>
        <w:rPr>
          <w:rFonts w:ascii="Arial" w:cs="Arial" w:eastAsia="Arial" w:hAnsi="Arial"/>
          <w:sz w:val="14"/>
          <w:szCs w:val="14"/>
          <w:color w:val="auto"/>
        </w:rPr>
        <w:t>To the extent we commercialize or co-promote our products, if approved, and because such products could be reimbursed under federal and other governmental health care programs, we have developed an appropriate compliance program, commensurate to the limited commercial activities in which we engage,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Ensuring that our current and future business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Moreover,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Coverage, Pricing, and Reimbursement</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Sales of our drug and drug-device combination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10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In the United States, third-party payors often rely upon Medicare coverage policy and payment limitations in setting their own reimbursement policies, but they also have their own methods and approval process apart from Medicare coverage and reimbursement determinations. One third-party payor’s determination to provide coverage for a product does not assure that other payors will also provide coverage for the product.</w:t>
      </w:r>
    </w:p>
    <w:p>
      <w:pPr>
        <w:spacing w:after="0" w:line="1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granted at all.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0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August 2022, President Biden signed into the law the Inflation Reduction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4"/>
          <w:szCs w:val="14"/>
          <w:color w:val="auto"/>
        </w:rPr>
        <w:t>Act of 2022, or the IRA, which includes (among other things) multiple provisions that may impact the prices of drug products that are both sold into the Medicare program and throughout the United States. Starting in 2023, a manufacturer of drug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is negotiating drug prices annually for a select number of single source Part D drugs without generic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entering into the first set of agreements with pharmaceutical manufacturers to conduct price negotiations in October 2023 and ultimately announcing the first round of negotiated prices for the first 10 drugs in August 2024; those negotiated "maximum fair prices" will be effective as of January 1, 2026 (payment year 2026). CMS is currently engaged in its second round of negotiations and published the next 15 drugs selected for negotiation in January 2025.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 in the future.</w:t>
      </w:r>
    </w:p>
    <w:p>
      <w:pPr>
        <w:spacing w:after="0" w:line="29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or PBMs, and other members of the health care and pharmaceutical supply chain, an important decision that has led to further and more aggressive efforts by states in this area. The Federal Trade Commission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including in the current 2025-2026 congressional session. Significant efforts to change the PBM industry as it currently exists in the U.S. may affect the entire pharmaceutical supply chain and the business of other stakeholders, including medical product developers like us.</w:t>
      </w:r>
    </w:p>
    <w:p>
      <w:pPr>
        <w:spacing w:after="0" w:line="11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Further legislative and regulatory changes under the ACA remain possible, although it is unknown what form any such changes or any law would take, and how or whether it may affect the biopharmaceutical industry as a whole or our business in the future.</w:t>
      </w:r>
    </w:p>
    <w:p>
      <w:pPr>
        <w:spacing w:after="0" w:line="11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Regulation of Compounded Drugs</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Drug compounding is a practice in which a licensed pharmacist, a licensed physician, or in the case of an outsourcing facility, a person under the supervision of a licensed pharmacist, combines, mixes, or alters ingredients of a drug to create a customized medication.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0" w:name="page51"/>
    <w:bookmarkEnd w:id="50"/>
    <w:p>
      <w:pPr>
        <w:jc w:val="both"/>
        <w:ind w:firstLine="509"/>
        <w:spacing w:after="0" w:line="290" w:lineRule="auto"/>
        <w:rPr>
          <w:sz w:val="20"/>
          <w:szCs w:val="20"/>
          <w:color w:val="auto"/>
        </w:rPr>
      </w:pPr>
      <w:r>
        <w:rPr>
          <w:rFonts w:ascii="Arial" w:cs="Arial" w:eastAsia="Arial" w:hAnsi="Arial"/>
          <w:sz w:val="14"/>
          <w:szCs w:val="14"/>
          <w:color w:val="auto"/>
        </w:rPr>
        <w:t>Compounded drugs are regulated at the federal level primarily under Sections 503A and Section 503B of the Federal Food, Drug, and Cosmetic Act, or the FDCA, which we refer to as Section 503A and Section 503B, respectively.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discussed above, we are seeking to make our proprietary Sildenafil Cream formulation available by prescription as a compounded drug via Section 503B.</w:t>
      </w:r>
    </w:p>
    <w:p>
      <w:pPr>
        <w:spacing w:after="0" w:line="14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term “outsourcing facility” refers to a facility that produces compounded drugs in accordance with Section 503B and distributes them either pursuant to a patient-specific prescription or in response to an order from a health care provider, such as a hospital, that is not for an identified individual patient (e.g., for office stock). Outsourcing facilities must be registered with the FDA and are subject to cGMP requirements and FDA inspections. In addition, an outsourcing facility must meet other conditions described in Section 503B, including reporting adverse events, labeling compounded products with certain information, reporting specific information about the drugs that it compounds, including a list of all of drugs it compounded during the previous six months, and the FDA-registered source of the active ingredients used to compound pursuant to Section 503B(b)(2). Under Section 503B, outsourcing facilities are prohibited from selling compounded drugs through a wholesale distributor, subject to certain exceptions set forth in FDA guidance.</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Under Section 503B, outsourcing facilities are prohibited from compounding a drug that is “essentially a copy” of an FDA-approved drug, unless the drug is on the FDA’s Drug Shortage List at the time of compounding, distribution, and dispensing. A drug is essentially a copy of an FDA-approved drug if it is identical or nearly identical to the FDA-approved drug, which the FDA has interpreted to mean that it has the same active ingredient(s), route of administration, dosage form, dosage strength and excipients as the approved drug, or if it has the same active ingredient as an approved drug and there is not a change from the approved drug that produces a clinical difference for an individual patient, as determined by the prescribing practitioner.</w:t>
      </w:r>
    </w:p>
    <w:p>
      <w:pPr>
        <w:spacing w:after="0" w:line="11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Outsourcing facilities may only compound using bulk drug substances that either appear on a list established by the FDA of bulk drug substances for which there is a clinical need or drug products on FDA's Drug Shortage List. Although the FDA has not yet finalized its list of bulk drug substances for which there is a clinical need, the FDA has announced an interim policy pursuant to which bulk drug substances may be nominated for inclusion on such list and, provided certain conditions are met, outsourcing facilities may compound with such bulk drug substances pending evaluation of the substances for inclusion on the FDA’s list of bulk drug substances for which there is a clinical need. Sildenafil citrate is currently listed in FDA's interim Category 1 List of bulk substances that have been nominated, reviewed by FDA, and may be compounded by outsourcing facilities pending FDA’s final evaluation.</w:t>
      </w:r>
    </w:p>
    <w:p>
      <w:pPr>
        <w:spacing w:after="0" w:line="11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In December 2023, the FDA issued Guidance for Industry addressing the criteria by which the FDA intends to evaluate whether there exists a clinical need for compounding with a bulk drug substance.Under such guidance, the FDA intends to use a two-part analysis if the bulk drug substance is a component of an FDA-approved product, and if the bulk drug substance is not a component of an FDA-approved product, then the FDA intends to use only part 2 of such analysis. Under part 1 of the analysis, the FDA intends to evaluate whether there is a basis for the FDA to conclude that (a) an attribute of the FDA-approved drug that makes it medically unsuitable to treat certain patients; and the drug proposed to be compounded is intended to address that attribute; and (b) the drug proposed to be compounded must be produced from a bulk drug substance rather than from the FDA-approved drug product. If the answer to either of such questions is "no," then the FDA could determine that there is no clinical need for compounding with the bulk drug substance. If the answer to both such questions is "yes," then the FDA intends to proceed to part 2 of the analysis. Under part 2 of the analysis, the FDA intends to conduct a balancing test under which FDA would consider each of the following factors: (i) the physical and chemical characterization of the bulk drug substance; (ii) any safety issues raised by the use of the bulk drug substance in compounding; (iii) the available evidence of effectiveness or lack of effectiveness of a drug product compounded with the bulk drug substance, if any such evidence exists; and (iv) current and historical use of the bulk drug substance in compounded drug products, including information about medical condition(s) that the substance has been used to treat and any references in peer-reviewed medical literature. FDA has not announced when it will complete its analysis of nominated bulk substances and make a determination of substances that will be placed, after notice and a comment period, on FDA's final list of bulk substances that may be used in compounding by outsourcing facilities.</w:t>
      </w:r>
    </w:p>
    <w:p>
      <w:pPr>
        <w:spacing w:after="0" w:line="28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source of any bulk substance active ingredient used in compounding must be a Section 510 registered manufacturer, and the bulk substance must be accompanied by a Certificate of Analysis.</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Section 503A of the FDCA exempts licensed pharmacists or licensed physicians who compound drugs for identified, individual patients, based on the receipt of a valid prescription order, from the FDCA’s new drug approval requirements, cGMP requirements, and the requirement to label products with adequate directions for use, provided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14"/>
          <w:szCs w:val="14"/>
          <w:color w:val="auto"/>
        </w:rPr>
        <w:t>certain conditions are met. These conditions include that the pharmacist or physician does not compound regularly or inordinate amounts any drug that is essentially a copy of an FDA-approved drug. The framework for assessing if a drug is essentially a copy of an FDA-approved drug under Section 503A is different than the framework under Section 503B described above. For instance, a Section 503A pharmacy may compound a formulation that is greater than 10% in dosage strength than the commercially available drug product, if that formulation is accompanied by a statement of significant difference. In addition, the substances that may be used in compounding under Section 503A are much broader than under Section 503B, because Section 503A pharmacies may compound from bulk substances that are components of FDA-approved drug products and substances that are the subject of a USP/NF monograph.</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Sections 503A and 503B also prohibit compounding of drugs that present “demonstrable difficulties for compounding.” The FDA must publish a list of such drugs, through notice and comment rulemaking, before implementing the prohibition, and FDA has not yet finalized any such lists for publication.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Data Privacy and the Protection of Personal Information</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subject to numerous laws and regulations governing data privacy and the protection of personal information of patients, clinical investigators, employees, and vendors/business contacts including in relation to medical records and other health information, credit card data and financial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as well as reputational harm. Our customers and research partners must comply with laws governing the privacy and security of health information, including HIPAA, HITECH and state health information privacy laws. If we knowingly obtain protected health information without the authority to do so, our customers or research collaborators may be subject to enforcement and we may have direct liability for the unlawful receipt of protected health information or for aiding and abetting a HIPAA violation.</w:t>
      </w:r>
    </w:p>
    <w:p>
      <w:pPr>
        <w:spacing w:after="0" w:line="12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Even when HIPAA does not apply, according to the Federal Trade Commission, or the FTC,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or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The FTC and states' Attorneys General have brought enforcement actions and prosecuted some data breach cases as unfair and/or deceptive acts or practices under the FTC Act and comparable state laws.</w:t>
      </w:r>
    </w:p>
    <w:p>
      <w:pPr>
        <w:spacing w:after="0" w:line="11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adopted the California Consumer Privacy Act of 2018, or CCPA, which went into effect in January of 2020. The CCPA mirrors a number of the key provisions of the European General Data Protection Regulation, or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requiring covered companies to provide new disclosures to consumers about such companies' practices for collection and use of consumer data, and providing customers new ways to opt-out of certain sales or transfers of personal information. In addition, the CCPA creates a new and potentially severe statutory damages framework for violations of the CCPA and for businesses that fail to implement reasonable security procedures and practices to prevent data breaches. While there is currently an exception for protected health information that is subject to HIPAA and clinical trial regulations, as currently written, the CCPA may impact our business activities. More recently, a new privacy law, the California Privacy Rights Act, or CPRA, was approved by California voters in the election on November 3, 2020. The CPRA went into effect in January of 2023, modifying and strengthening the CCPA significantly,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will be enacting new regulations and will have expanded enforcement authority. Various states such as Colorado,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2" w:name="page53"/>
    <w:bookmarkEnd w:id="52"/>
    <w:p>
      <w:pPr>
        <w:jc w:val="both"/>
        <w:spacing w:after="0" w:line="290" w:lineRule="auto"/>
        <w:rPr>
          <w:sz w:val="20"/>
          <w:szCs w:val="20"/>
          <w:color w:val="auto"/>
        </w:rPr>
      </w:pPr>
      <w:r>
        <w:rPr>
          <w:rFonts w:ascii="Arial" w:cs="Arial" w:eastAsia="Arial" w:hAnsi="Arial"/>
          <w:sz w:val="14"/>
          <w:szCs w:val="14"/>
          <w:color w:val="auto"/>
        </w:rPr>
        <w:t>Connecticut, Delaware, Florida, Indiana, Iowa, Kentucky, Maryland, Montana, Nebraska, New Hampshire, New Jersey, Oregon, Rhode Island, Tennessee, Texas, Utah and Virginia have enacted their own privacy laws similar to the CCPA, and other states are considering proposals for such.</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Health Care Reform and Potential Changes to Laws and Regulations</w:t>
      </w:r>
    </w:p>
    <w:p>
      <w:pPr>
        <w:spacing w:after="0" w:line="14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that receive marketing approval. FDA and other regulatory authority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Among policy makers and payors in the United States and elsewhere, there is significant interest in promoting changes in health care systems with the stated goals of containing health care costs, improving quality and/or expanding access.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In addition to the sweeping reforms contained in the ACA (summarized above in the section entitled “Coverage, Pricing, and Reimbursement”), other legislative changes have been proposed and adopted in the United States that may affect health care expenditures.</w:t>
      </w:r>
    </w:p>
    <w:p>
      <w:pPr>
        <w:spacing w:after="0" w:line="11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Other new laws may result in additional reductions in Medicare and other health care funding, which could have an adverse effect on customers for our approved product and, accordingly, our financial operations. 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if we are slow or unable to adapt to changes in existing requirements or the adoption of new requirements or policies, or if we are not able to maintain regulatory compliance, our therapeutic candidates may lose any marketing approval that may have been obtained and we may not achieve or sustain profitability, which would adversely affect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Government Regulation Outside the U.S.</w:t>
      </w:r>
    </w:p>
    <w:p>
      <w:pPr>
        <w:spacing w:after="0" w:line="14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In addition to regulations in the U.S.,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and the time required to obtain approval in other countries and jurisdictions might differ from and be longer than that required to obtain FDA approval.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European Union, or EU, regulatory systems, we would be required to submit a Marketing Authorisation Application, which is similar to the NDA, except that, among other things, there are country-specific document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We face the risk that the resulting prices would be insufficient to generate an acceptable return to us or any future partner of ours. If we fail to comply with applicable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3" w:name="page54"/>
    <w:bookmarkEnd w:id="53"/>
    <w:p>
      <w:pPr>
        <w:jc w:val="both"/>
        <w:spacing w:after="0" w:line="290" w:lineRule="auto"/>
        <w:rPr>
          <w:sz w:val="20"/>
          <w:szCs w:val="20"/>
          <w:color w:val="auto"/>
        </w:rPr>
      </w:pPr>
      <w:r>
        <w:rPr>
          <w:rFonts w:ascii="Arial" w:cs="Arial" w:eastAsia="Arial" w:hAnsi="Arial"/>
          <w:sz w:val="14"/>
          <w:szCs w:val="14"/>
          <w:color w:val="auto"/>
        </w:rPr>
        <w:t>foreign regulatory requirements, we may be subject to, among other things, fines, suspension or withdrawal of regulatory approvals, product recalls, seizure of products, operating restrictions, and criminal prosecution.</w:t>
      </w:r>
    </w:p>
    <w:p>
      <w:pPr>
        <w:spacing w:after="0" w:line="99"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4"/>
          <w:szCs w:val="14"/>
          <w:color w:val="auto"/>
        </w:rPr>
        <w:t>International marketing and distribution of medical devices are also subject to foreign government regulations, which may vary substantially from country to country. There is a trend towards harmonization of quality system standards for medical device products among the European Union, United States, Canada and various other industrialized countries.</w:t>
      </w:r>
    </w:p>
    <w:p>
      <w:pPr>
        <w:spacing w:after="0" w:line="269"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4"/>
          <w:szCs w:val="14"/>
          <w:color w:val="auto"/>
        </w:rPr>
        <w:t>As of January 31, 2020, the United Kingdom is no longer a member state of the EU, and therefore a separate marketing authorization application and approval will be required to market a medicinal product in the U.K. The Medicines and Healthcare products Regulatory Agency is the U.K.’s standalone pharmaceutical and medical devices regulator.</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Review and Approval of Medicinal Products in the European Union</w:t>
      </w:r>
    </w:p>
    <w:p>
      <w:pPr>
        <w:spacing w:after="0" w:line="14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As in the United States, medicinal products can be marketed in the EU only if a marketing authorization from the competent regulatory agencies has been obtained. Similar to the United States, the various phases of preclinical and clinical research in the EU are subject to significant regulatory controls. Also similar to the United States, when a drug-device combination product’s principal intended action is accomplished by the drug constituent part, the EU regulates the combination product as a medicinal product.</w:t>
      </w:r>
    </w:p>
    <w:p>
      <w:pPr>
        <w:spacing w:after="0" w:line="11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Pursuant to the European Clinical Trials Directive, a system for the approval of clinical trials in the EU had been implemented through national legislation of the member states. Under the previous system, an applicant obtained approval from the competent national authority of an EU member state in which the clinical trial was conducted. Furthermore, the applicant could only start a clinical trial after a competent ethics committee had issued a favorable opinion. In April 2014, the new Clinical Trials Regulation, (EU) No 536/2014 (Clinical Trials Regulation) was adopted and became effective on January 31, 2022. The Clinical Trials Regulation is directly applicable in all the EU Member States, repealing the current Clinical Trials Directive 2001/20/EC. The extent to which ongoing clinical trials will be governed by the Clinical Trials Regulation depends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new Clinical Trials Regulation aims to simplify and streamline the approval of clinical trials in the European Union. The main characteristics of the regulation include: a streamlined application procedure via a single entry point, the “EU portal” called the Clinical Trial Information System, or CTIS; a single set of documents to be prepared and submitted for the application as well as simplified reporting procedures for clinical trial sponsors; and a harmonized procedure for the assessment of applications for clinical trials. Use of the CTIS became mandatory for new clinical trial application submissions as of February 1, 2023.</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To obtain marketing approval of a drug in the EU, an applicant must submit a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certain diseases. For products with a new active substance indicated for the treatment of certain diseases and products that are highly innovative or for which a centralized process is in the interest of patients, the centralized procedure may be optional.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1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4" w:name="page55"/>
    <w:bookmarkEnd w:id="54"/>
    <w:p>
      <w:pPr>
        <w:jc w:val="both"/>
        <w:spacing w:after="0" w:line="265" w:lineRule="auto"/>
        <w:rPr>
          <w:sz w:val="20"/>
          <w:szCs w:val="20"/>
          <w:color w:val="auto"/>
        </w:rPr>
      </w:pPr>
      <w:r>
        <w:rPr>
          <w:rFonts w:ascii="Arial" w:cs="Arial" w:eastAsia="Arial" w:hAnsi="Arial"/>
          <w:sz w:val="14"/>
          <w:szCs w:val="14"/>
          <w:color w:val="auto"/>
        </w:rPr>
        <w:t>a draft summary of product characteristics, and draft labelling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the EU, only products for which marketing authorizations have been granted may be promoted. 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Prior to May 26, 2021, the date on which the new Medical Device Regulation ("MDR") became effective, medical devices marketed in Europe were required to comply with the Essential Requirements defined in Annex I to the EU Medical Devices Directive, or MDD, a coordinated system for the authorization of medical devices. The MDD regulated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The method of assessing conformity depended on the class of the product, but normally involved a combination of self-assessment by the manufacturer and a third-party assessment by a “Notified Body.” This third-party assessment may consist of an audit of the manufacturer’s quality system and specific testing of the manufacturer’s product.</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In 2017, European Union regulatory bodies finalized the MDR, which provided three years for transition and compliance, for a final effective date of May 26, 2020. As a result of the COVID-19 pandemic, however, the implementation date was postponed by one year to May 26, 2021, and a further transition period until May 26, 2024 gives the medical device industry and Notified Bodies additional time to come into compliance. The MDR changed several aspects of the existing regulatory framework for medical device marketing in Europe and increased regulatory oversight of all medical devices marketed in the EU, which may, in turn, increase the costs, time and requirements that need to be met in order to place an innovative or high-risk medical device on the European market. Specifically, the MDR requires post-market clinical follow-up evidence for medical devices, annual reporting of safety information for Class III products, and bi-annual reporting for Class II products, unique device identification, or UDI, for all products, submission of core data elements to a European UDI database prior to placement of a device on the market, reclassification of medical devices, and multiple other labeling changes. A CE certificate issued under the MDD before May 26, 2021 may remain valid until May 25, 2024 under certain conditions. Longer transition periods for various medical devices covered by certificates or declarations of conformity issued before May 26, 2021 were implemented by the European Commission in March 2023 in order to mitigate the risk of device shortages in the EU. The new transition periods permit devices certified in accordance with the MDD to remain on the market under such certifications until May 26, 2026 for class III implantable custom-made devices, December 31, 2027 for Class III and implantable class IIb devices, and December 31, 2028 for all other class IIb and lower risk devices. As a new market entrant, however, the transition provisions do not apply to our business and we must acquire approvals under the MDR for new products, which could be challenging and costly.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5" w:name="page56"/>
    <w:bookmarkEnd w:id="55"/>
    <w:p>
      <w:pPr>
        <w:ind w:left="520"/>
        <w:spacing w:after="0"/>
        <w:rPr>
          <w:sz w:val="20"/>
          <w:szCs w:val="20"/>
          <w:color w:val="auto"/>
        </w:rPr>
      </w:pPr>
      <w:r>
        <w:rPr>
          <w:rFonts w:ascii="Arial" w:cs="Arial" w:eastAsia="Arial" w:hAnsi="Arial"/>
          <w:sz w:val="14"/>
          <w:szCs w:val="14"/>
          <w:b w:val="1"/>
          <w:bCs w:val="1"/>
          <w:i w:val="1"/>
          <w:iCs w:val="1"/>
          <w:color w:val="auto"/>
        </w:rPr>
        <w:t>Review and Approval of Medicinal Products in Canada</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CTA must be filed with and approved by Health Canada. In addition, all federally regulated trials must be approved and monitored by research ethics boards. The review boards study and approve study-related documents and monitor trial data.</w:t>
      </w:r>
    </w:p>
    <w:p>
      <w:pPr>
        <w:spacing w:after="0" w:line="10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Prior to being given market authorization for a drug product, a manufacturer must present substantive scientific evidence of a product’s safety, efficacy and quality as required by the Food and Drugs Act (Canada) and its associated regulations, including the Food and Drug Regulations. This information is usually submitted in the form of a New Drug Submission, or NDS. Health Canada reviews the submitted information, sometimes using external consultants and advisory committees, to evaluate the potential benefits and risks of a drug. If after of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All establishments engaged in the fabrication, packaging/labeling, importation, distribution, and wholesale of drugs and operation of a testing laboratory relating to drugs are required to hold a Drug Establishment License to conduct one or more of the licensed activities unless expressly exempted under the Food and Drug Regulations. The basis for the issuance of a Drug Establishment License is to ensure the facility complies with cGMP as stipulated in the Food and Drug Regulations and as determined by cGMP inspection conducted by Health Canada. An importer of pharmaceutical products manufactured at foreign sites must also be able to demonstrate that the foreign sites comply with cGMP, and such foreign sites are included on the importer’s Drug Establishment License.</w:t>
      </w:r>
    </w:p>
    <w:p>
      <w:pPr>
        <w:spacing w:after="0" w:line="11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Regulatory obligations and oversight continue following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spacing w:after="0" w:line="10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w:t>
      </w:r>
    </w:p>
    <w:p>
      <w:pPr>
        <w:spacing w:after="0" w:line="10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Health Canada has also implemented a similar process as the FDA for regulating combination products comprising both drug and device constituent parts. The agency considers the principal mechanism of action by which the claimed effect or purpose of the product is achieved, and then subjects the entire product to regulation under either the Food and Drug Regulations or the Medical Devices Regulations.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Rest of the World Regulation</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addition to regulations in the United States, EU, and Canada, we may become subject to a variety of regulations governing clinical studies and commercial sales and distribution of prescription drug and drug-device combination products in other jurisdictions around the world. These laws and regulations typically require the licensing of manufacturing and contract research facilities, carefully controlled research and testing of product candidates and governmental review and approval of results prior to marketing therapeutic product candidates. Additionally, they may require adherence to the FDA’s GLPs, GCPs, and cGMPs during manufacturing. The process of new drug approvals by regulators in the United States, Canada and the European Union are generally considered to be among the most rigorous in the world.</w:t>
      </w:r>
    </w:p>
    <w:p>
      <w:pPr>
        <w:spacing w:after="0" w:line="1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Whether or not FDA, EMA, or Health Canada approval is obtained for a product, we must obtain approval from the comparable regulatory authorities of other countries before we can commence clinical studies or marketing of the product in those countries. The approval process varies from country to country and the time may be longer or shorter than that required for the FDA, EMA, or Health Canada approval. The requirements governing the conduct of</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56" w:name="page57"/>
    <w:bookmarkEnd w:id="56"/>
    <w:p>
      <w:pPr>
        <w:jc w:val="both"/>
        <w:spacing w:after="0" w:line="290" w:lineRule="auto"/>
        <w:rPr>
          <w:sz w:val="20"/>
          <w:szCs w:val="20"/>
          <w:color w:val="auto"/>
        </w:rPr>
      </w:pPr>
      <w:r>
        <w:rPr>
          <w:rFonts w:ascii="Arial" w:cs="Arial" w:eastAsia="Arial" w:hAnsi="Arial"/>
          <w:sz w:val="14"/>
          <w:szCs w:val="14"/>
          <w:color w:val="auto"/>
        </w:rPr>
        <w:t>clinical studies, product licensing, pricing and reimbursement vary greatly from country to country. In some international markets, additional clinical trials may be required prior to the filing or approval of marketing applications within the country.</w:t>
      </w:r>
    </w:p>
    <w:p>
      <w:pPr>
        <w:spacing w:after="0" w:line="9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Moreover,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0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Europe – Data Privacy</w:t>
      </w:r>
    </w:p>
    <w:p>
      <w:pPr>
        <w:spacing w:after="0" w:line="14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On May 25, 2018, the GDPR went into effect, implementing a broad data protection framework that expanded the scope of EU data protection law, including to non-EU entities that process, or control the processing of, personal data relating to individuals located in the EU, including clinical trial data. The GDPR sets out a number of requirements that must be complied with when handling the personal data of European Union-based data subjects including: providing expanded disclosures about how their personal data will be used; limitations on retention of personal data, higher standards for organizations to demonstrate that they have obtained valid consent or have another legal basis in place to justify their data processing activities; requirements to conduct data protection impact assessments for "high risk" processing;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where the latter is used to uniquely identify an individual are all classified as “special category” data under the GDPR and afforded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continue to reframe their national legislation to harmonize with the GDPR, we will need to monitor compliance with all relevant EU member states’ laws and regulations, including where permitted derogations from the GDPR are introduced.</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We will also be subject to evolving EU laws on data export, if we transfer data outside the EU to ourselves or third parties outside of the EU. The GDPR only permits exports of data outside the EU to countries deemed by the European Commission to have adequate data privacy laws or where there is a suitable data transfer solution in place to safeguard personal data (e.g., the European Union Commission approved Standard Contractual Clauses). On July 16, 2020, the Court of Justice of the European Union or the CJEU, issued a landmark opinion in the case </w:t>
      </w:r>
      <w:r>
        <w:rPr>
          <w:rFonts w:ascii="Arial" w:cs="Arial" w:eastAsia="Arial" w:hAnsi="Arial"/>
          <w:sz w:val="14"/>
          <w:szCs w:val="14"/>
          <w:i w:val="1"/>
          <w:iCs w:val="1"/>
          <w:color w:val="auto"/>
        </w:rPr>
        <w:t>Maximilian Schrems vs. Facebook</w:t>
      </w:r>
      <w:r>
        <w:rPr>
          <w:rFonts w:ascii="Arial" w:cs="Arial" w:eastAsia="Arial" w:hAnsi="Arial"/>
          <w:sz w:val="14"/>
          <w:szCs w:val="14"/>
          <w:color w:val="auto"/>
        </w:rPr>
        <w:t xml:space="preserve"> (Case C-311/18), called </w:t>
      </w:r>
      <w:r>
        <w:rPr>
          <w:rFonts w:ascii="Arial" w:cs="Arial" w:eastAsia="Arial" w:hAnsi="Arial"/>
          <w:sz w:val="14"/>
          <w:szCs w:val="14"/>
          <w:i w:val="1"/>
          <w:iCs w:val="1"/>
          <w:color w:val="auto"/>
        </w:rPr>
        <w:t>Schrems II</w:t>
      </w:r>
      <w:r>
        <w:rPr>
          <w:rFonts w:ascii="Arial" w:cs="Arial" w:eastAsia="Arial" w:hAnsi="Arial"/>
          <w:sz w:val="14"/>
          <w:szCs w:val="14"/>
          <w:color w:val="auto"/>
        </w:rPr>
        <w:t>. This decision a) calls into question certain data transfer mechanisms as between the EU member states and the U.S. and b) invalidates the EU-U.S. Privacy Shield on which many companies had relied as an acceptable mechanism for transferring such data from the EU to the U.S.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Arial" w:cs="Arial" w:eastAsia="Arial" w:hAnsi="Arial"/>
          <w:sz w:val="14"/>
          <w:szCs w:val="14"/>
          <w:i w:val="1"/>
          <w:iCs w:val="1"/>
          <w:color w:val="auto"/>
        </w:rPr>
        <w:t>Schrems II</w:t>
      </w:r>
      <w:r>
        <w:rPr>
          <w:rFonts w:ascii="Arial" w:cs="Arial" w:eastAsia="Arial" w:hAnsi="Arial"/>
          <w:sz w:val="14"/>
          <w:szCs w:val="14"/>
          <w:color w:val="auto"/>
        </w:rPr>
        <w:t xml:space="preserve">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7" w:name="page58"/>
    <w:bookmarkEnd w:id="57"/>
    <w:p>
      <w:pPr>
        <w:jc w:val="both"/>
        <w:ind w:firstLine="509"/>
        <w:spacing w:after="0" w:line="251" w:lineRule="auto"/>
        <w:rPr>
          <w:sz w:val="20"/>
          <w:szCs w:val="20"/>
          <w:color w:val="auto"/>
        </w:rPr>
      </w:pPr>
      <w:r>
        <w:rPr>
          <w:rFonts w:ascii="Arial" w:cs="Arial" w:eastAsia="Arial" w:hAnsi="Arial"/>
          <w:sz w:val="14"/>
          <w:szCs w:val="14"/>
          <w:color w:val="auto"/>
        </w:rPr>
        <w:t xml:space="preserve">If we have to rely on third parties to carry out services for us, including processing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transfer of personal data from the EU to us in the United States will require greater scrutiny and assessments as required under </w:t>
      </w:r>
      <w:r>
        <w:rPr>
          <w:rFonts w:ascii="Arial" w:cs="Arial" w:eastAsia="Arial" w:hAnsi="Arial"/>
          <w:sz w:val="14"/>
          <w:szCs w:val="14"/>
          <w:i w:val="1"/>
          <w:iCs w:val="1"/>
          <w:color w:val="auto"/>
        </w:rPr>
        <w:t>Schrems II</w:t>
      </w:r>
      <w:r>
        <w:rPr>
          <w:rFonts w:ascii="Arial" w:cs="Arial" w:eastAsia="Arial" w:hAnsi="Arial"/>
          <w:sz w:val="14"/>
          <w:szCs w:val="14"/>
          <w:color w:val="auto"/>
        </w:rPr>
        <w:t xml:space="preserve"> and may have an adverse impact on cross-border transfers of personal data, or increase costs of compliance.</w:t>
      </w:r>
    </w:p>
    <w:p>
      <w:pPr>
        <w:spacing w:after="0" w:line="11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The GDPR provides an enforcement authority to impose large penalties for noncompliance, including the potential for fines of up to €20 million or 4% of the annual global revenues of the noncompliant company, whichever is greater. We will be subject to the GDPR when we have a European Union presence or “establishment” (e.g., EU based subsidiary or operations), when conducting clinical trials with EU based data subjects, whether the trials are conducted directly by us or through a vendor or partner, or offering approved products or services to EU-based data subjects, regardless of whether involving a EU based subsidiary or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Foreign Corrupt Practices Act</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U.S. Foreign Corrupt Practices Act,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 care professionals in many countries, either directly or through third parties. Our present and future business has been and will continue to be subject to various other U.S. and foreign laws, rules and/or regulations.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Health and Safety Regulation</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subject to numerous federal, state and local environmental, health and safety, or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March 28, 2025, we had 23 employees. Twenty one of our employees are full-time and two are part-time, 17 are in research and development and six are in general and administrative. Given the differing characteristics of our product candidates, our approach is to engage consultants with experience in varying specialties to help us develop such candidates. Our numerous consultants serve as an extension to our employee base. We believe this approach enables us to access the expertise needed in a cost-efficient manner and without the need to rapidly increase the number of full-time employees and their associated costs. In the future, if we select a commercialization strategy for a product candidate that requires us to establish marketing, sales or distribution infrastructure and capabilities, we may need to rapidly increase our employee base.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Information</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auto"/>
        </w:rPr>
        <w:t>Available Information</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Our website is located at </w:t>
      </w:r>
      <w:r>
        <w:rPr>
          <w:rFonts w:ascii="Arial" w:cs="Arial" w:eastAsia="Arial" w:hAnsi="Arial"/>
          <w:sz w:val="14"/>
          <w:szCs w:val="14"/>
          <w:i w:val="1"/>
          <w:iCs w:val="1"/>
          <w:color w:val="auto"/>
        </w:rPr>
        <w:t>http://www.darebioscience.com</w:t>
      </w:r>
      <w:r>
        <w:rPr>
          <w:rFonts w:ascii="Arial" w:cs="Arial" w:eastAsia="Arial" w:hAnsi="Arial"/>
          <w:sz w:val="14"/>
          <w:szCs w:val="14"/>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4"/>
          <w:szCs w:val="14"/>
          <w:i w:val="1"/>
          <w:iCs w:val="1"/>
          <w:u w:val="single" w:color="auto"/>
          <w:color w:val="auto"/>
        </w:rPr>
        <w:t>http://www.sec.gov</w:t>
      </w:r>
      <w:r>
        <w:rPr>
          <w:rFonts w:ascii="Arial" w:cs="Arial" w:eastAsia="Arial" w:hAnsi="Arial"/>
          <w:sz w:val="14"/>
          <w:szCs w:val="14"/>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Risk Factors</w:t>
      </w:r>
    </w:p>
    <w:p>
      <w:pPr>
        <w:spacing w:after="0" w:line="14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4"/>
          <w:szCs w:val="14"/>
          <w:i w:val="1"/>
          <w:iCs w:val="1"/>
          <w:color w:val="auto"/>
        </w:rPr>
        <w:t>Below is a summary of the principal factors that make an investment in our securities speculative or risky. This summary does not address all of the risks that we face. We urge investors to carefully review and consider the additional discussion of the risks summarized in this risk factor summary, and other risks that we face, which can be found below under the heading “Risk Factors,” together with other information in this report, before making investment decisions regarding our securities.</w:t>
      </w:r>
    </w:p>
    <w:p>
      <w:pPr>
        <w:spacing w:after="0" w:line="49" w:lineRule="exact"/>
        <w:rPr>
          <w:sz w:val="20"/>
          <w:szCs w:val="20"/>
          <w:color w:val="auto"/>
        </w:rPr>
      </w:pP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will need to raise substantial additional capital to continue our operations, execute our business strategy and remain a going concern, and we may not be able to raise adequate capital on a timely basis, on favorable terms, or at all. Raising additional capital may cause substantial dilution to our stockholders, restrict our operations or require us to relinquish rights in our technologies or product candidates and their future revenue streams.</w:t>
      </w:r>
    </w:p>
    <w:p>
      <w:pPr>
        <w:spacing w:after="0" w:line="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we fail to regain and maintain compliance with the continued listing requirements of the Nasdaq Capital Market, our common stock could be delisted, which could, among other things, limit demand for our common stock, substantially impair our ability to raise additional capital and have an adverse effect on the market price of, and the efficiency of the trading market for, our common stock.</w:t>
      </w:r>
    </w:p>
    <w:p>
      <w:pPr>
        <w:spacing w:after="0" w:line="6" w:lineRule="exact"/>
        <w:rPr>
          <w:rFonts w:ascii="Arial" w:cs="Arial" w:eastAsia="Arial" w:hAnsi="Arial"/>
          <w:sz w:val="14"/>
          <w:szCs w:val="14"/>
          <w:color w:val="auto"/>
        </w:rPr>
      </w:pPr>
    </w:p>
    <w:p>
      <w:pPr>
        <w:ind w:left="520" w:hanging="260"/>
        <w:spacing w:after="0" w:line="284"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a limited operating history, a history of significant losses from operations, and expect significant losses from operations, net losses and negative cash flows from operations to continue for the foreseeable future, which, together with our limited financial resources, make it difficult to assess our prospects.</w:t>
      </w:r>
    </w:p>
    <w:p>
      <w:pPr>
        <w:jc w:val="both"/>
        <w:ind w:left="520" w:hanging="260"/>
        <w:spacing w:after="0" w:line="265"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plan to generate revenue from sales of our proprietary Sildenafil Cream formulation produced under Section 503B of the FDCA. We have no experience in this line of business and may not succeed in our efforts. We will rely on third parties for the compounding and distribution of our proprietary Sildenafil Cream formulation, and the failure of such third parties to perform as expected could harm our reputation and negatively impact our ability to succeed. In addition, this line of business subjects us to new regulations and potential liability.</w:t>
      </w:r>
    </w:p>
    <w:p>
      <w:pPr>
        <w:spacing w:after="0" w:line="10"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business depends on obtaining the approval of regulatory authorities, and in particular, FDA approval, to market products that we develop. All of our product candidates are investigational, require the conduct and successful completion of clinical studies and nonclinical work, and may never complete development or be submitted for or receive regulatory approval. The FDA's approval of XACIATO is not predictive of favorable development or marketing approval outcomes for our product candidates.</w:t>
      </w:r>
    </w:p>
    <w:p>
      <w:pPr>
        <w:spacing w:after="0" w:line="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development is a lengthy and expensive process with an inherently uncertain outcome. Failure to successfully complete clinical trials and nonclinical activities and obtain regulatory approval to market and sell our product candidates on our anticipated timelines at reasonable costs to us, or at all, particularly Ovaprene and Sildenafil Cream, could have a material adverse effect on our business, operating results and financial condition.</w:t>
      </w:r>
    </w:p>
    <w:p>
      <w:pPr>
        <w:spacing w:after="0" w:line="6" w:lineRule="exact"/>
        <w:rPr>
          <w:rFonts w:ascii="Arial" w:cs="Arial" w:eastAsia="Arial" w:hAnsi="Arial"/>
          <w:sz w:val="14"/>
          <w:szCs w:val="14"/>
          <w:color w:val="auto"/>
        </w:rPr>
      </w:pPr>
    </w:p>
    <w:p>
      <w:pPr>
        <w:ind w:left="520" w:hanging="260"/>
        <w:spacing w:after="0" w:line="284"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rely on in-license agreements with third parties for rights to develop and commercialize XACIATO and our product candidates. The loss or impairment of our rights under these agreements could disrupt or require us to discontinue development or commercialization activities, or impair our rights to receive payments from our sublicensees, which could have a material adverse effect on our operations and business prospects and viability.</w:t>
      </w:r>
    </w:p>
    <w:p>
      <w:pPr>
        <w:spacing w:after="0" w:line="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Strategic collaborations are a key part of our strategy and our existing strategic collaborations are important to our business. If we are unable to maintain existing strategic collaborations or establish new ones, or if they are not successful, we may require substantial additional capital to develop and commercialize our products and product candidates and our business and prospects may be materially harmed.</w:t>
      </w:r>
    </w:p>
    <w:p>
      <w:pPr>
        <w:spacing w:after="0" w:line="6" w:lineRule="exact"/>
        <w:rPr>
          <w:rFonts w:ascii="Arial" w:cs="Arial" w:eastAsia="Arial" w:hAnsi="Arial"/>
          <w:sz w:val="14"/>
          <w:szCs w:val="14"/>
          <w:color w:val="auto"/>
        </w:rPr>
      </w:pPr>
    </w:p>
    <w:p>
      <w:pPr>
        <w:ind w:left="520" w:hanging="260"/>
        <w:spacing w:after="0" w:line="284"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and disruptions in the supply and manufacturing of our product candidates could postpone the initiation of or interrupt our clinical studies, extend the timeframe and cost of development of our product candidates, delay potential regulatory approvals and adversely impact the commercialization of any approved products.</w:t>
      </w: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no manufacturing, sales, marketing or distribution infrastructure. We depend heavily on, and expect to continue to rely on, the performance of third parties, including our strategic collaborators, contract manufacturers and suppliers, CROs, medical institutions, and scientific, medical, regulatory and other consultants and advisors, to develop our product candidates and commercialize any approved products.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0" w:name="page61"/>
    <w:bookmarkEnd w:id="60"/>
    <w:p>
      <w:pPr>
        <w:ind w:left="520"/>
        <w:spacing w:after="0" w:line="284" w:lineRule="auto"/>
        <w:rPr>
          <w:sz w:val="20"/>
          <w:szCs w:val="20"/>
          <w:color w:val="auto"/>
        </w:rPr>
      </w:pPr>
      <w:r>
        <w:rPr>
          <w:rFonts w:ascii="Arial" w:cs="Arial" w:eastAsia="Arial" w:hAnsi="Arial"/>
          <w:sz w:val="14"/>
          <w:szCs w:val="14"/>
          <w:color w:val="auto"/>
        </w:rPr>
        <w:t>Failure of these third parties to perform as expected could result in substantial delays, increased costs or failures of our product development programs, delayed or unsuccessful commercialization of any approved products, and the need for significant additional capital.</w:t>
      </w:r>
    </w:p>
    <w:p>
      <w:pPr>
        <w:spacing w:after="0" w:line="1" w:lineRule="exact"/>
        <w:rPr>
          <w:sz w:val="20"/>
          <w:szCs w:val="20"/>
          <w:color w:val="auto"/>
        </w:rPr>
      </w:pPr>
    </w:p>
    <w:p>
      <w:pPr>
        <w:ind w:left="520" w:hanging="260"/>
        <w:spacing w:after="0" w:line="284"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Due in part to our limited financial and human resources, we may fail to effectively execute our product development, regulatory submission and commercialization plans in accordance with communicated timelines, or at all.</w:t>
      </w:r>
    </w:p>
    <w:p>
      <w:pPr>
        <w:ind w:left="520" w:hanging="260"/>
        <w:spacing w:after="0" w:line="284"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commercial success of XACIATO is outside of our control and will depend on Organon’s efforts and capabilities and a variety of factors, many of which currently are unknown or uncertain, and if commercialization of XACIATO is not successful, our reputation, business and prospects may suffer.</w:t>
      </w:r>
    </w:p>
    <w:p>
      <w:pPr>
        <w:ind w:left="520" w:hanging="260"/>
        <w:spacing w:after="0" w:line="284"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product candidates, if approved for commercial sale, will face intense competition and may fail to achieve the degree of market acceptance necessary for commercial success. Our business, operating results and financial condition will suffer if we, or our commercial collaborators, fail to compete effectively.</w:t>
      </w:r>
    </w:p>
    <w:p>
      <w:pPr>
        <w:jc w:val="both"/>
        <w:ind w:left="520" w:hanging="260"/>
        <w:spacing w:after="0" w:line="27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to successfully obtain coverage and adequate reimbursement for XACIATO and any future products from government health care programs and other third-party payors would diminish our ability, or that of a commercial collaborator, to generate net product revenue or net sales. If out-of-pocket costs for products we develop are deemed by women to be unaffordable, a commercial market may never develop.</w:t>
      </w:r>
    </w:p>
    <w:p>
      <w:pPr>
        <w:spacing w:after="0" w:line="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a relatively small number of employees and if we fail to attract and retain key personnel our business may materially suffer.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not be successful in our efforts to identify and acquire or in-license additional product candidates or technologies, which may limit our growth potential.</w:t>
      </w:r>
    </w:p>
    <w:p>
      <w:pPr>
        <w:spacing w:after="0" w:line="5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If we and our licensors are unable to obtain and maintain sufficient intellectual property protection, competitors could develop and commercialize or make available products similar or identical to ours, which could significantly limit the commercial potential of our products and product candidates and materially harm our business, financial condition, results of operations, and prospects.</w:t>
      </w:r>
    </w:p>
    <w:p>
      <w:pPr>
        <w:spacing w:after="0" w:line="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Most of the products we are developing utilize active pharmaceutical ingredients that are not proprietary to us or our licensors and the patents and patent applications owned by us and our licensors intended to protect our products and product candidates relate to specific formulations, processes, methods of delivery, and/or uses, which may not afford sufficient protection against competitors.</w:t>
      </w:r>
    </w:p>
    <w:p>
      <w:pPr>
        <w:spacing w:after="0" w:line="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Volatility in the financial markets, geopolitical conflicts and events, natural disasters, public health emergencies , international trade policies,and other macroeconomic factors may negatively impact our business, financial condition and results and our stock price, including by increasing the cost and timelines for our clinical development programs or making it more difficult or costly to raise additional capital when needed.</w:t>
      </w:r>
    </w:p>
    <w:p>
      <w:pPr>
        <w:spacing w:after="0" w:line="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Product liability lawsuits against us could cause us to incur substantial liabilities and divert management attention from our business.</w:t>
      </w:r>
    </w:p>
    <w:p>
      <w:pPr>
        <w:spacing w:after="0" w:line="51" w:lineRule="exact"/>
        <w:rPr>
          <w:rFonts w:ascii="Arial" w:cs="Arial" w:eastAsia="Arial" w:hAnsi="Arial"/>
          <w:sz w:val="14"/>
          <w:szCs w:val="14"/>
          <w:color w:val="auto"/>
        </w:rPr>
      </w:pPr>
    </w:p>
    <w:p>
      <w:pPr>
        <w:jc w:val="both"/>
        <w:ind w:left="520" w:hanging="260"/>
        <w:spacing w:after="0" w:line="282"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price of our common stock has been and may continue to be highly volatile and such volatility may be related or unrelated to our performance and operating results. Volatility in our stock price may subject us to increased risk of securities litigation, including class-action lawsuits, which could be expensive and divert management attention.</w:t>
      </w:r>
    </w:p>
    <w:p>
      <w:pPr>
        <w:spacing w:after="0" w:line="173" w:lineRule="exact"/>
        <w:rPr>
          <w:rFonts w:ascii="Arial" w:cs="Arial" w:eastAsia="Arial" w:hAnsi="Arial"/>
          <w:sz w:val="14"/>
          <w:szCs w:val="14"/>
          <w:color w:val="auto"/>
        </w:rPr>
      </w:pPr>
    </w:p>
    <w:p>
      <w:pPr>
        <w:ind w:left="520" w:hanging="260"/>
        <w:spacing w:after="0" w:line="284"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Future dilution to our existing stockholders from sales and issuances of our common stock to raise additional capital, or the market's expectation that such sales may occur, could adversely affect our stock price even if our business is doing well.</w:t>
      </w:r>
    </w:p>
    <w:p>
      <w:pPr>
        <w:jc w:val="both"/>
        <w:ind w:left="520" w:hanging="260"/>
        <w:spacing w:after="0" w:line="265"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been subject to a cyber-related crime and our controls and security measures may not be successful in preventing other cybersecurity incidents in the future. Cyber-attacks, security breaches, loss of data and other disruptions to our information technology systems or those of our strategic collaborators or third-party service providers could compromise sensitive or confidential information related to our business, delay or prevent us from accessing critical information, subject us to significant financial loss, or expose us to liability, any of which could adversely affect our business and our reputation.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9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4"/>
          <w:szCs w:val="14"/>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auto"/>
        </w:rPr>
        <w:t>Risks Related to Our Financial Position and Capital Needs</w:t>
      </w:r>
    </w:p>
    <w:p>
      <w:pPr>
        <w:spacing w:after="0" w:line="14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will need to raise substantial additional capital to continue our operations and execute our business strategy, and we may not be able to raise adequate capital on a timely basis, on favorable terms, or at all.</w:t>
      </w:r>
    </w:p>
    <w:p>
      <w:pPr>
        <w:spacing w:after="0" w:line="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have a history of losses from operations, we expect significant losses from operations, net losses and negative cash flows from operations for at least the next several years as we develop and seek to bring to market our existing product candidates and as we seek to potentially acquire or license and develop additional product candidates. At December 31, 2024, we had an accumulated deficit of approximately $175.3 million, cash and cash equivalents of approximately $15.7 million, and a working capital deficit of approximately $3.2 million. We will need additional capital to fund our operating needs into the third quarter of 2025 and to meet our current obligations as they become due. All of our cash and cash equivalents at December 31, 2024 represented funds received under grant agreements that generally may be applied solely toward direct costs of carrying out the respective projects under those grant agreements. We have a history of losses from operations and we expect significant losses from operations, net losses, and negative cash flows from operations for at least the next several years as we continue to develop and seek to bring to market our product candidates. We are dependent on securing substantial additional capital from one or more third-party sources to satisfy our working capital needs and other liquidity requirements over at least the next 12 months from the date of issuance of the accompanying consolidated financial statements. These circumstances raise substantial doubt about our ability to continue as a going concern. The consolidated financial statements included in this report were prepared under the assumption that we will continue as a going concern and do not include any adjustments that might result from the outcome of this uncertainty. Advancing our investigational products through clinical development and pursuing regulatory approval and commercialization will require substantial additional investment. We will need to raise substantial additional capital to continue to fund our operations and execute our current business strategy. The amount and timing of our capital needs have and will continue to depend highly on many factors, as discussed further below.</w:t>
      </w:r>
    </w:p>
    <w:p>
      <w:pPr>
        <w:spacing w:after="0" w:line="5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management may devote significant time and we may incur substantial costs in pursuing, evaluating and negotiating potential capital-raising transactions and those efforts may not prove successful on a timely basis, or at all. If we cannot raise adequate additional capital when needed, we may be forced to reduce, or even terminate our operations. We may delay, scale back or eliminate one or more of our product development programs; relinquish rights under our license agreements with third parties relating to our product candidates; forgo opportunities to expand our product portfolio; take other measures to reduce our expenses; reorganize or merge with another entity; or file for bankruptcy or cease operations. For example, in recent years, due to our limited capital resources, we have focused our resources primarily on the advancement of Ovaprene and Sildenafil Cream, unless a program has been supported by grant or other non-dilutive funding, and we have delayed R&amp;D activities for other programs. If we become unable to continue as a going concern, we may have to liquidate our assets, and might realize significantly less than the values at which they are carried on our financial statements, and our stockholders may lose all or part of their investment in our common stock.</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capital needs have depended on, and will continue to depend on, many factors that are highly variable and difficult to predict, including:</w:t>
      </w:r>
    </w:p>
    <w:p>
      <w:pPr>
        <w:spacing w:after="0" w:line="105"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4"/>
          <w:szCs w:val="14"/>
          <w:color w:val="auto"/>
        </w:rPr>
        <w:t>the product development programs we choose to pursue;</w:t>
      </w:r>
    </w:p>
    <w:p>
      <w:pPr>
        <w:spacing w:after="0" w:line="15" w:lineRule="exact"/>
        <w:rPr>
          <w:rFonts w:ascii="Arial" w:cs="Arial" w:eastAsia="Arial" w:hAnsi="Arial"/>
          <w:sz w:val="17"/>
          <w:szCs w:val="17"/>
          <w:color w:val="auto"/>
        </w:rPr>
      </w:pPr>
    </w:p>
    <w:p>
      <w:pPr>
        <w:ind w:left="760" w:hanging="246"/>
        <w:spacing w:after="0" w:line="260"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initiation, type, number, scope, progress, expansions, results, costs, and timing of clinical trials and preclinical studies of our product candidates that we are pursuing or may choose to pursue in the future;</w:t>
      </w:r>
    </w:p>
    <w:p>
      <w:pPr>
        <w:spacing w:after="0" w:line="1"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and timing of manufacturing for clinical supplies of product candidates and, if applicable, commercial product at sufficient scale;</w:t>
      </w:r>
    </w:p>
    <w:p>
      <w:pPr>
        <w:spacing w:after="0" w:line="40" w:lineRule="exact"/>
        <w:rPr>
          <w:rFonts w:ascii="Arial" w:cs="Arial" w:eastAsia="Arial" w:hAnsi="Arial"/>
          <w:sz w:val="14"/>
          <w:szCs w:val="14"/>
          <w:color w:val="auto"/>
        </w:rPr>
      </w:pPr>
    </w:p>
    <w:p>
      <w:pPr>
        <w:ind w:left="760" w:right="100" w:hanging="246"/>
        <w:spacing w:after="0" w:line="268"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and timing of regulatory submissions to and the timing and outcome of decisions by the FDA and other regulatory authorities on our applications to commence and advance clinical development of and to market our product candidates;</w:t>
      </w:r>
    </w:p>
    <w:p>
      <w:pPr>
        <w:spacing w:after="0" w:line="1" w:lineRule="exact"/>
        <w:rPr>
          <w:rFonts w:ascii="Arial" w:cs="Arial" w:eastAsia="Arial" w:hAnsi="Arial"/>
          <w:sz w:val="14"/>
          <w:szCs w:val="14"/>
          <w:color w:val="auto"/>
        </w:rPr>
      </w:pPr>
    </w:p>
    <w:p>
      <w:pPr>
        <w:ind w:left="760" w:right="320" w:hanging="246"/>
        <w:spacing w:after="0" w:line="268"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and timing of payments to third parties required under acquisition, in-license and other agreements relating our rights to develop and commercialize our product and product candidates;</w:t>
      </w:r>
    </w:p>
    <w:p>
      <w:pPr>
        <w:spacing w:after="0" w:line="1"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and timing of commercialization activities we undertake or engage third parties to undertake for any product;</w:t>
      </w:r>
    </w:p>
    <w:p>
      <w:pPr>
        <w:spacing w:after="0" w:line="40" w:lineRule="exact"/>
        <w:rPr>
          <w:rFonts w:ascii="Arial" w:cs="Arial" w:eastAsia="Arial" w:hAnsi="Arial"/>
          <w:sz w:val="14"/>
          <w:szCs w:val="14"/>
          <w:color w:val="auto"/>
        </w:rPr>
      </w:pPr>
    </w:p>
    <w:p>
      <w:pPr>
        <w:ind w:left="760" w:right="160" w:hanging="246"/>
        <w:spacing w:after="0" w:line="268"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and timing of future royalty, milestone or other payments, if any, we receive under our licensing agreement with Bayer, any future out-licensing agreement, or the Royalty Purchase Agreements;</w:t>
      </w:r>
    </w:p>
    <w:p>
      <w:pPr>
        <w:spacing w:after="0" w:line="1" w:lineRule="exact"/>
        <w:rPr>
          <w:rFonts w:ascii="Arial" w:cs="Arial" w:eastAsia="Arial" w:hAnsi="Arial"/>
          <w:sz w:val="14"/>
          <w:szCs w:val="14"/>
          <w:color w:val="auto"/>
        </w:rPr>
      </w:pPr>
    </w:p>
    <w:p>
      <w:pPr>
        <w:ind w:left="760" w:right="120" w:hanging="246"/>
        <w:spacing w:after="0" w:line="274"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ability to maintain, and establish new, strategic collaborations relating to the development and/or commercialization of our product and product candidates, and the terms and timing of such arrangements;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2" w:name="page63"/>
    <w:bookmarkEnd w:id="62"/>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extent to which we acquire, in-license, or otherwise invest in new product candidates or technologies and the terms of any such transaction; and</w:t>
      </w:r>
    </w:p>
    <w:p>
      <w:pPr>
        <w:spacing w:after="0" w:line="51" w:lineRule="exact"/>
        <w:rPr>
          <w:rFonts w:ascii="Arial" w:cs="Arial" w:eastAsia="Arial" w:hAnsi="Arial"/>
          <w:sz w:val="14"/>
          <w:szCs w:val="14"/>
          <w:color w:val="auto"/>
        </w:rPr>
      </w:pPr>
    </w:p>
    <w:p>
      <w:pPr>
        <w:ind w:left="760" w:right="320" w:hanging="246"/>
        <w:spacing w:after="0" w:line="290"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product development efforts succeed, we will need to develop and implement a commercialization plan for each product, which may also require significant resources to create and implement. In addition, the terms of any collaboration agreements for development and/or commercialization of our product and product candidates may significantly impact our need for additional capital. Because of these uncertainties and the other risks and uncertainties discussed in this Risk Factors section, we cannot reasonably estimate the amount funding necessary to successfully complete development of and seek regulatory approval for our product candidates or to commercialize any approved products. In addition, we may seek additional capital due to favorable market conditions or strategic considerations even if we believe we have sufficient funds for our planned operations.</w:t>
      </w:r>
    </w:p>
    <w:p>
      <w:pPr>
        <w:spacing w:after="0" w:line="5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may seek to raise additional capital through a variety of means, including equity, equity-linked or debt securities offerings, government or other grant funding, strategic collaborations or alliances, debt, royalty monetization or other structured financings, or other similar types of arrangements. Our past success in raising capital through equity offerings, grant funding, collaboration agreements, and royalty monetization transactions should not be viewed as any indication we will be successful in raising capital through those or any other means in the future. We expect that our ability to raise additional capital and the amount of capital available to us will depend not only on progress we and our collaborators make toward successfully developing, obtaining regulatory approval for and commercializing our product and product candidates, but also on factors outside of our control, such as macroeconomic and financial market conditions. To the extent we seek to obtain additional capital before achieving clinical, regulatory and/or sales milestones or when our stock price or trading volume or both are low, or when the general market for biopharmaceutical or women’s health companies is weak, additional capital may not be available to us on favorable terms, or at all.</w:t>
      </w:r>
    </w:p>
    <w:p>
      <w:pPr>
        <w:spacing w:after="0" w:line="12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Unstable and unfavorable market and economic conditions may harm our ability to raise additional capital. The occurrence or continued occurrence of macroeconomic factors or events similar to those experienced in recent years, such as a U.S. economic crisis or recession or recessionary concerns, inflation, rising interest rates, public health emergencies (such as the COVID-19 pandemic), geopolitical conflict (such as the wars in Ukraine and the Middle East), natural/environmental disasters, supply-chain disruptions, terrorist attacks, strained trade and other relations between the U.S. and a number of other countries, social and political discord and unrest in the U.S. and other countries, and government shutdowns, among others, increase market volatility and have long-term adverse effects on the U.S. and global economies and financial markets. Volatility and deterioration in the financial markets and liquidity constraints or other adverse developments affecting financial institutions may make equity or debt financings more difficult, more costly or more dilutive and may increase competition for, or limit the availability of, funding from other third-party sources, such as from strategic collaborations and government and other grants.</w:t>
      </w:r>
    </w:p>
    <w:p>
      <w:pPr>
        <w:spacing w:after="0" w:line="2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Raising additional capital may cause substantial dilution to our stockholders, restrict our operations or require us to relinquish rights in our technologies or product candidates and their future revenue streams.</w:t>
      </w:r>
    </w:p>
    <w:p>
      <w:pPr>
        <w:spacing w:after="0" w:line="7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As discussed above, we may seek to raise additional capital through a variety of means. Raising capital through the issuance of shares of our common stock, or securities convertible into or exercisable for our common stock, may depress our stock price and substantially dilute our existing stockholders. The terms of securities issued may include liquidation or other preferences that may materially adversely affect the rights of our existing stockholders. Debt and other structured financings, if available, would increase our fixed payment obligations and may involve covenants requiring us to maintain specified financial ratios or a specified cash balance, or limiting or restricting our ability to take specific actions, such as incurring additional debt, acquiring, selling or licensing intellectual property rights, and making capital expenditures, or impose other operating restrictions that could adversely impact our ability to operate our business and pursue our strategic objectives. We could also be required to meet certain milestones in connection with a debt financing and the failure to achieve such milestones by certain dates may force us to relinquish rights to some of our technologies, product candidates or products, or otherwise agree to terms unfavorable to us. In addition, we may forego part or all of potentially valuable streams of future payments (e.g., milestone and/or royalty revenue) to raise immediate capital to fund our operations and advance our development programs, such as in the case of our royalty interest financing agreement and the Royalty Purchase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63" w:name="page64"/>
    <w:bookmarkEnd w:id="63"/>
    <w:p>
      <w:pPr>
        <w:jc w:val="both"/>
        <w:spacing w:after="0" w:line="290" w:lineRule="auto"/>
        <w:rPr>
          <w:sz w:val="20"/>
          <w:szCs w:val="20"/>
          <w:color w:val="auto"/>
        </w:rPr>
      </w:pPr>
      <w:r>
        <w:rPr>
          <w:rFonts w:ascii="Arial" w:cs="Arial" w:eastAsia="Arial" w:hAnsi="Arial"/>
          <w:sz w:val="14"/>
          <w:szCs w:val="14"/>
          <w:color w:val="auto"/>
        </w:rPr>
        <w:t>Agreements. Moreover, the lower our cash balance when we seek to raise additional capital, the more difficult, costly or dilutive to our existing stockholders it may be for us to raise additional capital.</w:t>
      </w:r>
    </w:p>
    <w:p>
      <w:pPr>
        <w:spacing w:after="0" w:line="8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may be required to seek additional capital through arrangements with collaborators at an earlier stage of development or commercialization of our technologies, product candidates or products than otherwise would be desirable, in which case we may grant rights to our technologies, product candidates or products on terms that may not be as favorable to us or grant rights that we would otherwise prefer to retain. If we raise capital through new collaborations, strategic alliances or other similar types of arrangements, we may relinquish valuable rights to future revenue streams. Licensing agreements likely would significantly reduce our control over the development or commercialization of the licensed technology, product candidates or products, and our collaborators may become unable or unwilling to devote adequate resources to realize their full potential value. If we obtain funding through grants from governmental entities or private organizations, such parties may impose restrictions on our rights to technologies, product candidates or products developed with such funding, obtain rights to license such technologies, product candidates or products to third parties (e.g., if we are unable or unwilling to commercialize a product or make it available to certain patient populations in a timely manner or at certain prices), or require future royalty or other payments if such technologies, product candidates or products are commercialized.</w:t>
      </w:r>
    </w:p>
    <w:p>
      <w:pPr>
        <w:spacing w:after="0" w:line="12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a limited operating history, a history of significant losses from operations, and expect significant losses from operations, net losses and negative cash flows from operations to continue for the foreseeable future, which, together with our limited financial resources, make it difficult to assess our prospects.</w:t>
      </w:r>
    </w:p>
    <w:p>
      <w:pPr>
        <w:spacing w:after="0" w:line="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We have a limited operating history upon which to evaluate our business and prospects. The development of drug and drug/device combination products in order to obtain regulatory approval is a highly speculative, lengthy and expensive undertaking and involves substantial risk. We cannot accurately determine the duration and completion costs of our development programs, or if, when and to what extent we will generate revenue from any products we develop. Other than XACIATO, we have not obtained any regulatory approvals for any of our product candidates, commercialized any of our product candidates or generated any product revenue. We have not been profitable since we commenced operations and may never achieve profitability. We devote significant resources to licensing or otherwise acquiring the rights to our product candidates and to research and development, or R&amp;D, activities for them. We have a history of significant operating losses. As discussed above, we must raise additional capital to finance our operations and remain a going concern and adequate additional capital may not be available to us on a timely basis,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Revenue Sharing Threshold may never be achieved and, as a result, we may not realize any future income based on sales of XACIATO.</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have sold our right, title and interest in 100% of the royalties and potential milestone payments we would otherwise have the right to receive under our license agreement with Organon based on net sales of XACIATO, net of payments to upstream third-party licensors and UiE. Whether we receive any future income based on net sales of XACIATO will depend on whether the Revenue Sharing Threshold is reached, which may not occur. Whether the Revenue Sharing Threshold is reached will depend, in part, on Organon’s future commercial success with XACIATO, which is outside of our control, and the successful development and commercialization of Ovaprene and/or Sildenafil Cream, which are subject to significant risks and uncertainties, some of which are outside of our control, as discussed elsewhere in this Risk Factors section.</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To the extent we enter into licensing agreements for third-party commercialization of products we develop, as is the case with XACIATO and Ovaprene, we expect our revenue streams related to those products will be based primarily on net sales, which will be largely outside of our control.</w:t>
      </w:r>
    </w:p>
    <w:p>
      <w:pPr>
        <w:spacing w:after="0" w:line="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a typical biopharmaceutical licensing or “partnering” deal, the biopharmaceutical company out-licenses technology and other assets to a third party in exchange for future payments, the bulk of which (e.g., royalties and milestones) are conditional on the licensee successfully developing and/or commercializing the licensed assets and determined based on net sales. To the extent we enter into such licensing agreements, the amount of net sales our products may generate, if approved for commercial sale, will be largely outside of our control because marketing and sales activities will be conducted by the licensee and product pricing and costs that impact net sales will be determined by the licensee. Gross sales can be greatly reduced by sales discounts and allowances, which will be determined by our licensee (or mandated by governmental entities). Sales discounts may be particularly substantial for new products compared to established products to incentivize purchases and promote customer loyalty. These factors would serve to reduce the royalties payable to us and delay potential achievement of commercial milestones and the corresponding milestone payments to us. If a licensee has no or limited commercialization success, or net sales are otherwise minimal due to pricing and discount structures, our financial condition and operating results could be negatively impacted and our need for additional capital could significantly increase or be accelerated. Due to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4" w:name="page65"/>
    <w:bookmarkEnd w:id="64"/>
    <w:p>
      <w:pPr>
        <w:spacing w:after="0" w:line="290" w:lineRule="auto"/>
        <w:rPr>
          <w:sz w:val="20"/>
          <w:szCs w:val="20"/>
          <w:color w:val="auto"/>
        </w:rPr>
      </w:pPr>
      <w:r>
        <w:rPr>
          <w:rFonts w:ascii="Arial" w:cs="Arial" w:eastAsia="Arial" w:hAnsi="Arial"/>
          <w:sz w:val="14"/>
          <w:szCs w:val="14"/>
          <w:color w:val="auto"/>
        </w:rPr>
        <w:t>exclusive license agreements with Organon and Bayer, assuming the license grant to Bayer becomes effective, our royalty interest financing agreement, and the Royalty Purchase Agreements, XACIATO’s and Ovaprene’s value to us will be based primarily on net sales, as determined under those agreements.</w:t>
      </w:r>
    </w:p>
    <w:p>
      <w:pPr>
        <w:spacing w:after="0" w:line="35"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In the future, we may rely on revenues received from third-party licensees to fund our operations, and failure to receive such revenues, or receipt of only minimal revenue, may cause us to, among other things:</w:t>
      </w:r>
    </w:p>
    <w:p>
      <w:pPr>
        <w:spacing w:after="0" w:line="67" w:lineRule="exact"/>
        <w:rPr>
          <w:sz w:val="20"/>
          <w:szCs w:val="20"/>
          <w:color w:val="auto"/>
        </w:rPr>
      </w:pPr>
    </w:p>
    <w:p>
      <w:pPr>
        <w:ind w:left="760" w:right="140" w:hanging="246"/>
        <w:spacing w:after="0" w:line="239" w:lineRule="auto"/>
        <w:tabs>
          <w:tab w:leader="none" w:pos="756" w:val="left"/>
        </w:tabs>
        <w:numPr>
          <w:ilvl w:val="0"/>
          <w:numId w:val="24"/>
        </w:numPr>
        <w:rPr>
          <w:rFonts w:ascii="Arial" w:cs="Arial" w:eastAsia="Arial" w:hAnsi="Arial"/>
          <w:sz w:val="17"/>
          <w:szCs w:val="17"/>
          <w:color w:val="auto"/>
        </w:rPr>
      </w:pPr>
      <w:r>
        <w:rPr>
          <w:rFonts w:ascii="Arial" w:cs="Arial" w:eastAsia="Arial" w:hAnsi="Arial"/>
          <w:sz w:val="14"/>
          <w:szCs w:val="14"/>
          <w:color w:val="auto"/>
        </w:rPr>
        <w:t>pursue raising additional funds through equity, debt or other structured financings that could be dilutive to our stockholders or involve restrictive covenants, operational restrictions, security interests in our assets, and/or relinquishing part or all of our rights to potentially valuable future revenue streams;</w:t>
      </w:r>
    </w:p>
    <w:p>
      <w:pPr>
        <w:spacing w:after="0" w:line="6" w:lineRule="exact"/>
        <w:rPr>
          <w:rFonts w:ascii="Arial" w:cs="Arial" w:eastAsia="Arial" w:hAnsi="Arial"/>
          <w:sz w:val="17"/>
          <w:szCs w:val="17"/>
          <w:color w:val="auto"/>
        </w:rPr>
      </w:pPr>
    </w:p>
    <w:p>
      <w:pPr>
        <w:ind w:left="760" w:hanging="246"/>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4"/>
          <w:szCs w:val="14"/>
          <w:color w:val="auto"/>
        </w:rPr>
        <w:t>enter into new strategic collaborations that may be less favorable than those we would have obtained under different circumstances;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4"/>
          <w:szCs w:val="14"/>
          <w:color w:val="auto"/>
        </w:rPr>
        <w:t>delay, reduce or terminate one or more development programs;</w:t>
      </w:r>
    </w:p>
    <w:p>
      <w:pPr>
        <w:spacing w:after="0" w:line="16" w:lineRule="exact"/>
        <w:rPr>
          <w:rFonts w:ascii="Arial" w:cs="Arial" w:eastAsia="Arial" w:hAnsi="Arial"/>
          <w:sz w:val="17"/>
          <w:szCs w:val="17"/>
          <w:color w:val="auto"/>
        </w:rPr>
      </w:pPr>
    </w:p>
    <w:p>
      <w:pPr>
        <w:ind w:left="760" w:hanging="246"/>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4"/>
          <w:szCs w:val="14"/>
          <w:color w:val="auto"/>
        </w:rPr>
        <w:t>reduce headcount;</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4"/>
          <w:szCs w:val="14"/>
          <w:color w:val="auto"/>
        </w:rPr>
        <w:t>forgo opportunities to expand our product portfolio; or</w:t>
      </w:r>
    </w:p>
    <w:p>
      <w:pPr>
        <w:spacing w:after="0" w:line="15" w:lineRule="exact"/>
        <w:rPr>
          <w:rFonts w:ascii="Arial" w:cs="Arial" w:eastAsia="Arial" w:hAnsi="Arial"/>
          <w:sz w:val="17"/>
          <w:szCs w:val="17"/>
          <w:color w:val="auto"/>
        </w:rPr>
      </w:pPr>
    </w:p>
    <w:p>
      <w:pPr>
        <w:ind w:left="760" w:right="260" w:hanging="246"/>
        <w:spacing w:after="0" w:line="239" w:lineRule="auto"/>
        <w:tabs>
          <w:tab w:leader="none" w:pos="756" w:val="left"/>
        </w:tabs>
        <w:numPr>
          <w:ilvl w:val="0"/>
          <w:numId w:val="24"/>
        </w:numPr>
        <w:rPr>
          <w:rFonts w:ascii="Arial" w:cs="Arial" w:eastAsia="Arial" w:hAnsi="Arial"/>
          <w:sz w:val="17"/>
          <w:szCs w:val="17"/>
          <w:color w:val="auto"/>
        </w:rPr>
      </w:pPr>
      <w:r>
        <w:rPr>
          <w:rFonts w:ascii="Arial" w:cs="Arial" w:eastAsia="Arial" w:hAnsi="Arial"/>
          <w:sz w:val="14"/>
          <w:szCs w:val="14"/>
          <w:color w:val="auto"/>
        </w:rPr>
        <w:t>take other measures to reduce our expenses, pursue strategic transactions, such as a merger or other business combination or sale of assets, file for bankruptcy, or cease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one of our commercial collaborators terminates its exclusive license agreement with us, our need for additional capital may significantly increase.</w:t>
      </w:r>
    </w:p>
    <w:p>
      <w:pPr>
        <w:spacing w:after="0" w:line="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have entered into an exclusive license agreement with Organon for the commercialization of XACIATO and an exclusive license agreement with Bayer for the commercialization of Ovaprene, if approved for commercial sale. Each of these license agreements may be terminated by the licensee for convenience upon the completion of a specified notice period, subject to limited restrictions. Furthermore, under our agreement with Bayer, Bayer has no payment obligations to us, unless, after reviewing the results of our pivotal clinical trial of Ovaprene, it elects, in its sole discretion, to make the license grant under our agreement effective by making a $20.0 million payment to us. If we do not successfully complete a pivotal clinical trial of Ovaprene in a timely manner, the license grant may never become effective, and we may not receive any additional payments from Bayer. Bayer may elect not to make the license grant effective regardless of the outcome of the pivotal clinical trial. If an exclusive license agreement is terminated early, or in Ovaprene's case, does not become fully effective, we may realize only a small fraction of the potential value of the agreement to us, and we would need to raise significant additional capital to pursue further development and commercialization of XACIATO or Ovaprene, as applicable, or establish another commercial collaboration, which we may not be able to do on a timely basis, on favorable terms, or at all.</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have relied heavily on sales of our common stock to fund our operations, and our ability to obtain additional capital through stock sales or other securities offerings may be more costly or dilutive to our stockholders than in the past, or may not be available to us at all. Our ability to raise additional capital may be limited by a low trading volume, stock price and market capitalization, as well as by laws, regulations and market conditions.</w:t>
      </w:r>
    </w:p>
    <w:p>
      <w:pPr>
        <w:spacing w:after="0" w:line="10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have relied heavily on our ability to raise capital by selling shares of our common stock. For example, we raised an aggregate of approximately $79.1 million in gross proceeds in fiscal years 2021 and 2022 through the sale of shares of our common stock in offerings made under a Form S-3 “shelf” registration statement. Our ability to raise additional capital through sales of our common stock or other securities offerings will depend on several factors, many of which may not be in our favor, including the trading volume and volatile trading price of our common stock, our relatively low public float and market capitalization, our potential inability to regain and maintain compliance with the listing requirements of the Nasdaq Capital Market, unfavorable financial market conditions, and the other risks and uncertainties described in this Risk Factors section. If we are unable to raise additional capital through the offering and sale of shares of our common stock, or securities convertible into or exercisable for our common stock, on a timely basis or acceptable terms, or at all, we may seek additional capital through other third-party sources that require us to relinquish valuable rights in our intellectual property, technologies, product candidates or future revenue streams, or that subject us to restrictive covenants, operational restrictions or security interests in our assets, or we may need to delay, scale back or eliminate some or all of our development programs, reduce other expenses, file for bankruptcy, reorganize, merge with another entity, or cease operations.</w:t>
      </w:r>
    </w:p>
    <w:p>
      <w:pPr>
        <w:spacing w:after="0" w:line="11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Using a shelf registration statement to conduct an equity offering to raise capital generally takes less time and is less expensive than other means, such as conducting an offering under a Form S-1 registration statement. We currently have a shelf registration statement effective, however, our ability to raise capital under a shelf registration statement is, and may continue to be, limited by, among other things, current and future SEC rules and regulations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5" w:name="page66"/>
    <w:bookmarkEnd w:id="65"/>
    <w:p>
      <w:pPr>
        <w:jc w:val="both"/>
        <w:spacing w:after="0" w:line="258" w:lineRule="auto"/>
        <w:rPr>
          <w:sz w:val="20"/>
          <w:szCs w:val="20"/>
          <w:color w:val="auto"/>
        </w:rPr>
      </w:pPr>
      <w:r>
        <w:rPr>
          <w:rFonts w:ascii="Arial" w:cs="Arial" w:eastAsia="Arial" w:hAnsi="Arial"/>
          <w:sz w:val="14"/>
          <w:szCs w:val="14"/>
          <w:color w:val="auto"/>
        </w:rPr>
        <w:t>impacting the eligibility of smaller companies to use Form S-3 for primary offerings of securities. For example, we currently are subject to the "baby shelf rule" because the market value of our outstanding shares of common stock held by non-affiliates, or our public float, was less than $75.0 million at the time of filing this annual report on Form 10-K, calculated in accordance with SEC rules. This means that we may use our shelf registration statement to raise additional funds only to the extent that the aggregate market value of securities sold by us or on our behalf pursuant to Instruction I.B.6. of Form S-3 during the 12 calendar months immediately prior to, and including, the intended sale does not exceed one-third of the aggregate market value of our public float, calculated in accordance with the instructions to Form S-3.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We would expect either of these alternatives to take more time and be a more expensive method of raising additional capital relative to using our shelf registration statement.</w:t>
      </w:r>
    </w:p>
    <w:p>
      <w:pPr>
        <w:spacing w:after="0" w:line="5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Ownership of Our Common Stock—If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 below.</w:t>
      </w:r>
    </w:p>
    <w:p>
      <w:pPr>
        <w:spacing w:after="0" w:line="23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 Even if a public offering under Nasdaq rules is not subject to the 20% limitation described above, it may involve publicly announcing the proposed transaction, which often has the effect of depressing the market price of a company's stock and could result in a reduced offering price. Accordingly, our existing investors may suffer greater dilution if we seek to raise additional capital through such a public offering of our securities.</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Obtaining stockholder approval is a costly and time-consuming process. If we must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transaction.</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and pursue regulatory approvals in accordance with our current timeline expectations.</w:t>
      </w:r>
    </w:p>
    <w:p>
      <w:pPr>
        <w:spacing w:after="0" w:line="3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current financial and other resources are limited and not sufficient to develop all of the product candidates to which we hold licenses or options to license. This may affect our efforts to develop and bring to market the product candidates currently in our portfolio and any candidates we may add to our portfolio in the future. Due to our limited resources, we have curtailed, and may be required to further curtail, certain of our development programs and clinical and nonclinical development activities that might otherwise have led, or lead, to more rapid progress in the development of our product candidates, or product candidates that we may in the future choose to develop. We may make determinations with regard to the indications and clinical trials on which to focus our resources that result in our realization of less than the full potential value of a product candidate. The decisions to allocate our research,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6" w:name="page67"/>
    <w:bookmarkEnd w:id="66"/>
    <w:p>
      <w:pPr>
        <w:jc w:val="both"/>
        <w:spacing w:after="0" w:line="271" w:lineRule="auto"/>
        <w:rPr>
          <w:sz w:val="20"/>
          <w:szCs w:val="20"/>
          <w:color w:val="auto"/>
        </w:rPr>
      </w:pPr>
      <w:r>
        <w:rPr>
          <w:rFonts w:ascii="Arial" w:cs="Arial" w:eastAsia="Arial" w:hAnsi="Arial"/>
          <w:sz w:val="14"/>
          <w:szCs w:val="14"/>
          <w:color w:val="auto"/>
        </w:rPr>
        <w:t>management, personnel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As a result of financial and other resource constraints, we may be unable to commence or complete our planned clinical trials or prepare and submit applications for marketing approval of our product candidates in accordance with our currently anticipated timelines. See also “Risks Related to Product Research &amp; Development and Regulatory Approval – Delays in the commencement or completion of clinical testing of our product candidates may occur due to any of a number of factors and could result in significantly increased costs and longer timelines and could impact our ability to ever become profitable” below.</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Women’s health has historically been an underfunded sector. In recent years, a number of public companies focused in women’s health failed to achieve expected commercial success and struggled to access sufficient capital. We are solely focused in women’s health and may be unfavorably impacted by weak investor sentiment and a lack of interest in the category. Our ability to access capital and to advance our candidates could be adversely impacted.</w:t>
      </w:r>
    </w:p>
    <w:p>
      <w:pPr>
        <w:spacing w:after="0" w:line="3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solely focused in women’s health, and primarily in the areas of contraception, sexual health, pelvic pain, fertility, infectious disease and menopause. The sector has historically been underfunded, with only about one percent of healthcare research and innovation in the U.S. invested in female-specific conditions beyond oncology according to market research. Non-oncologic women's health therapeutics product launches in recent years have not been perceived as successful. Those perceived commercial failures and the failure of the women’s health sector to receive consistent and committed investment fuels investor sentiment that market opportunities for new products in women’s health are limited. While women's health recently has received more attention, and investment in the women's health sector has seen progress with new or increased funding programs from the federal government, it remains an underinvested sector. Further, there is a high level of uncertainty regarding whether the federal government under the new U.S. presidential administration will continue programs initiated by the prior presidential administration that led to increased funding for research and development in women’s health. Our stock price and our ability to access additional capital on acceptable terms when needed may be adversely impacted by unfavorable investor perception of market opportunities for women’s health products, and our business, operating results, financial condition and prospects could suffer.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in U.S. federal government funding and contracting policies may adversely affect our business.</w:t>
      </w:r>
    </w:p>
    <w:p>
      <w:pPr>
        <w:spacing w:after="0" w:line="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Changes in federal funding and contracting policies under the new U.S. presidential administration could materially impact the progress of certain of our development programs, including Ovaprene and DARE-HPV, as well as our operating results and financial resources. We have received federal government grants and awards in support of several of our development programs. As discussed elsewhere in this report, our pivotal Phase 3 study of Ovaprene is being conducted, in part, in collaboration with NICHD under our CRADA, and our DARE-HPV program is being supported in large part with funding provided by federal agencies. There is no guarantee that such contracts and funding will not be frozen, restricted, or terminated as a result of changes in federal funding and contracting policies. In addition, potential future funding and collaboration opportunities through HHS, NIH or other federal agencies may be delayed, reduced or made unavailable. Further, research and development conducted in collaboration with U.S.-based colleges and universities could be delayed or discontinued due to changes in federal funding and contracting policies relating to such institutions. These changes could adversely affect our development programs, financial condition, operating results and business plans.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could be adversely impacted if a financial institution with which we have deposit or other accounts fails.</w:t>
      </w:r>
    </w:p>
    <w:p>
      <w:pPr>
        <w:spacing w:after="0" w:line="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cash and cash equivalents we use to satisfy our working capital and operating expense needs are held in accounts at various financial institutions. The balance held in deposit accounts often exceeds the Federal Deposit Insurance Corporation (“FDIC”) deposit insurance limit or similar government deposit insurance schemes. Our cash and cash equivalents could be adversely impacted, including the loss of uninsured deposits and other uninsured financial assets, if one or more of the financial institutions in which we hold our cash or cash equivalents fails or is subject to other adverse conditions in the financial or credit markets. For example, on March 10, 2023, Silicon Valley Bank was closed by the California Department of Financial Protection and Innovation and taken into receivership by the FDIC. At that time, substantially all of our cash and cash equivalents were held in accounts with Silicon Valley Bank and we could not access such accounts. While we were afforded full access to our accounts on March 13, 2023 as a result of action taken by the U.S. Department of the Treasury, the Federal Reserve and the FDIC under the systemic risk exception, there is no guarantee that the systemic risk exception will be relied upon to provide access to</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14"/>
          <w:szCs w:val="14"/>
          <w:color w:val="auto"/>
        </w:rPr>
        <w:t>uninsured deposits and other assets in the future in the event of the closure of a financial institution, or that such access would be afforded in a timely fashion. Any loss of our cash or cash equivalents or any delay in our access thereto could, among other risks, adversely impact our ability to pay our operating expenses, result in breaches of our contractual obligations, or result in violations of federal or state wage and hour laws if we are unable to pay our employees on a timely basis.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Product Research &amp; Development and Regulatory Approval</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To date, XACIATO is the only FDA-approved product to emerge from our portfolio. The FDA’s approval of XACIATO does not provide any assurance or predict that we will be successful in developing or achieving regulatory approval to market any other product candidate. If we are unable to successfully conduct and complete development of and obtain regulatory approvals for our investigational products, which may never occur, our business may fail and you could lose all or part of your investment.</w:t>
      </w:r>
    </w:p>
    <w:p>
      <w:pPr>
        <w:spacing w:after="0" w:line="4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Historical success in clinical development of and obtaining regulatory approval for a product candidate does not guarantee or predict future successful outcomes for other investigational products. Each of our development programs is unique and subject to substantial uncertainty of success inherent in pharmaceutical and biopharmaceutical development.</w:t>
      </w:r>
    </w:p>
    <w:p>
      <w:pPr>
        <w:spacing w:after="0" w:line="4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current pipeline consists entirely of investigational products, which we also refer to as product candidates, which means that they must successfully complete one or more clinical studies to be considered for marketing approval and undergo a submission and review process with the FDA to obtain approval to be marketed in the U.S., or a similar process with comparable regulatory authorities in other jurisdictions to be marketed anywhere outside of the U.S. FDA or other regulatory authority approval may never be obtained. See also ITEM 1. “BUSINESS–Government Regulation–U.S. Government Regulation–FDA Review and Approval Process for Prescription Drugs, FDA Review and Approval of Medical Devices, and FDA Review and Approval Process for Combination Products” and “–Government Regulation Outside the U.S.” above. If we are unable to successfully complete development of and obtain regulatory approvals for our product candidates, our business may fail and you could lose all or part of your investment.</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Clinical development is a lengthy and expensive process with an inherently uncertain outcome. Failure to successfully develop and obtain regulatory approval to market and sell our product candidates, and in particular, Ovaprene and Sildenafil Cream, would likely adversely affect our business.</w:t>
      </w:r>
    </w:p>
    <w:p>
      <w:pPr>
        <w:spacing w:after="0" w:line="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Our business depends on the successful clinical development and regulatory approval of our product candidates, and in particular, our lead product candidates, which may never occur. The product candidates we develop require substantial clinical testing to demonstrate that they are safe and effective for their proposed uses.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some of our product candidates have undergone clinical trials and demonstrated positive results, including Ovaprene and Sildenafil Cream, there is no guarantee of successful outcomes in current or future clinical studies of these product candidates or of obtaining marketing approval for any of them. For example, while PCT clinical trials have been used as a surrogate marker for contraceptive effectiveness and our PCT clinical trial of Ovaprene met its primary endpoint, there is no guarantee Ovaprene will demonstrate contraceptive effectiveness in its ongoing pivotal Phase 3 clinical study or demonstrate a level of contraceptive effectiveness that will enable it to compete effectively in the contraceptive market. As another example, while data from our exploratory Phase 2b RESPOND study of Sildenafil Cream allows us to advance Sildenafil Cream into Phase 3 development, the co-primary efficacy endpoints of the Phase 2b study were not met and there is no guarantee that our planned Phase 3 clinical studies, which will have the same co-primary efficacy endpoints used in the Phase 2b study, will be successful. The fact that the active pharmaceutical ingredients in certain of our product candidates, including Sildenafil Cream, received regulatory approval in other formulations and/or for other indications does not guarantee successful development of our product candidates for their proposed intended uses. Clinical trials may never demonstrate sufficient safety and effectiveness to obtain the requisite regulatory approvals for our product candidates.</w:t>
      </w:r>
    </w:p>
    <w:p>
      <w:pPr>
        <w:spacing w:after="0" w:line="6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Outcomes of our clinical trials, particularly later-stage clinical trials, including our ongoing Phase 3 study of Ovaprene, may significantly impact our stock price and our business prospects. If interim, preliminary or final results from our clinical studies are not positive, or are perceived by third parties, including the medical community, current and potential collaborators, and the investment community, as not positive, our stock price could decline significantly, our reputation may suffer, and our ability to raise additional capital to continue to operate as a going concern and execute our business strategy could be adversely impacted. If a product candidate fails to demonstrate adequate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safety or effectiveness in a clinical study, we may determine to delay, scale back or terminate the program, and we may not realize any return on our investment in the program.</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Even if we conduct and complete clinical trials for our product candidates, we may not obtain regulatory approval to market and sell any of them on the timelines we anticipate, or at all, which would have a material adverse effect on our business and operations.</w:t>
      </w:r>
    </w:p>
    <w:p>
      <w:pPr>
        <w:spacing w:after="0" w:line="9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Delays in the commencement or completion of clinical testing of our product candidates may occur due to any of a number of factors and could result in significantly increased costs and longer timelines and could impact our ability to ever become profitable.</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Clinical trials of our product candidates may not commence, progress or be completed as expected. Delays could significantly impact our product development costs and timelines, as well as a product candidate’s market potential, if ultimately approved. The timing of initiation, conduct and completion of clinical trials and other development activities for our product candidates may vary dramatically due to factors within and outside of our control and is difficult to predict accurately. We may make statements regarding anticipated timing of clinical development milestones, such as commencement, completion of enrollment, and/or availability of results from our clinical studies, but those statements are predictions based on significant assumptions and the actual timing of achievement of development milestones may differ materially from our predictions for a variety of reasons.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commencement of clinical trials of our product candidates can be delayed for many reasons, including:</w:t>
      </w:r>
    </w:p>
    <w:p>
      <w:pPr>
        <w:spacing w:after="0" w:line="74" w:lineRule="exact"/>
        <w:rPr>
          <w:sz w:val="20"/>
          <w:szCs w:val="20"/>
          <w:color w:val="auto"/>
        </w:rPr>
      </w:pPr>
    </w:p>
    <w:p>
      <w:pPr>
        <w:ind w:left="760" w:hanging="246"/>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4"/>
          <w:szCs w:val="14"/>
          <w:color w:val="auto"/>
        </w:rPr>
        <w:t>lack of adequate capital and the need to obtain additional funding;</w:t>
      </w:r>
    </w:p>
    <w:p>
      <w:pPr>
        <w:spacing w:after="0" w:line="16" w:lineRule="exact"/>
        <w:rPr>
          <w:rFonts w:ascii="Arial" w:cs="Arial" w:eastAsia="Arial" w:hAnsi="Arial"/>
          <w:sz w:val="17"/>
          <w:szCs w:val="17"/>
          <w:color w:val="auto"/>
        </w:rPr>
      </w:pPr>
    </w:p>
    <w:p>
      <w:pPr>
        <w:ind w:left="760" w:hanging="246"/>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4"/>
          <w:szCs w:val="14"/>
          <w:color w:val="auto"/>
        </w:rPr>
        <w:t>delays in obtaining guidance or authorizations from the FDA or foreign regulatory authorities;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4"/>
          <w:szCs w:val="14"/>
          <w:color w:val="auto"/>
        </w:rPr>
        <w:t>delays in obtaining approval from the institutional review boards, or IRBs, of prospective clinical study sites;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4"/>
          <w:szCs w:val="14"/>
          <w:color w:val="auto"/>
        </w:rPr>
        <w:t>delays in finalizing the trial design as a result of discussions with the FDA, foreign regulatory authorities, prospective clinical trial investigators or IRBs;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4"/>
          <w:szCs w:val="14"/>
          <w:color w:val="auto"/>
        </w:rPr>
        <w:t>delays in reaching agreement on acceptable terms with prospective CROs and clinical trial sites; or</w:t>
      </w:r>
    </w:p>
    <w:p>
      <w:pPr>
        <w:spacing w:after="0" w:line="10" w:lineRule="exact"/>
        <w:rPr>
          <w:rFonts w:ascii="Arial" w:cs="Arial" w:eastAsia="Arial" w:hAnsi="Arial"/>
          <w:sz w:val="17"/>
          <w:szCs w:val="17"/>
          <w:color w:val="auto"/>
        </w:rPr>
      </w:pPr>
    </w:p>
    <w:p>
      <w:pPr>
        <w:ind w:left="760" w:hanging="246"/>
        <w:spacing w:after="0" w:line="232"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4"/>
          <w:szCs w:val="14"/>
          <w:color w:val="auto"/>
        </w:rPr>
        <w:t>inability to obtain sufficient quantities of clinical product supplies from our contract manufacturers and suppliers.</w:t>
      </w:r>
    </w:p>
    <w:p>
      <w:pPr>
        <w:ind w:firstLine="509"/>
        <w:spacing w:after="0" w:line="269" w:lineRule="auto"/>
        <w:rPr>
          <w:sz w:val="20"/>
          <w:szCs w:val="20"/>
          <w:color w:val="auto"/>
        </w:rPr>
      </w:pPr>
      <w:r>
        <w:rPr>
          <w:rFonts w:ascii="Arial" w:cs="Arial" w:eastAsia="Arial" w:hAnsi="Arial"/>
          <w:sz w:val="14"/>
          <w:szCs w:val="14"/>
          <w:color w:val="auto"/>
        </w:rPr>
        <w:t>Once a clinical trial has begun, it may be delayed, suspended or terminated by us, an IRB, the FDA or other regulatory authorities as a result of the occurrence of any of a number of events or circumstances, including:</w:t>
      </w:r>
    </w:p>
    <w:p>
      <w:pPr>
        <w:spacing w:after="0" w:line="72" w:lineRule="exact"/>
        <w:rPr>
          <w:sz w:val="20"/>
          <w:szCs w:val="20"/>
          <w:color w:val="auto"/>
        </w:rPr>
      </w:pPr>
    </w:p>
    <w:p>
      <w:pPr>
        <w:ind w:left="760" w:hanging="246"/>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lack of adequate capital and the need to obtain additional funding;</w:t>
      </w:r>
    </w:p>
    <w:p>
      <w:pPr>
        <w:spacing w:after="0" w:line="16" w:lineRule="exact"/>
        <w:rPr>
          <w:rFonts w:ascii="Arial" w:cs="Arial" w:eastAsia="Arial" w:hAnsi="Arial"/>
          <w:sz w:val="17"/>
          <w:szCs w:val="17"/>
          <w:color w:val="auto"/>
        </w:rPr>
      </w:pPr>
    </w:p>
    <w:p>
      <w:pPr>
        <w:ind w:left="760" w:hanging="246"/>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failure to conduct the clinical trial in accordance with its protocol or regulatory or IRB requirements;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slower than expected rates of participant recruitment and enrollment;</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higher than anticipated participant drop-out rates;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failure of participants to use the investigational product as directed or to report data as per trial protocols;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inspection of the clinical trial operations or clinical trial site by the FDA or other regulatory authorities resulting in the imposition of a clinical hold;</w:t>
      </w:r>
    </w:p>
    <w:p>
      <w:pPr>
        <w:spacing w:after="0" w:line="16" w:lineRule="exact"/>
        <w:rPr>
          <w:rFonts w:ascii="Arial" w:cs="Arial" w:eastAsia="Arial" w:hAnsi="Arial"/>
          <w:sz w:val="17"/>
          <w:szCs w:val="17"/>
          <w:color w:val="auto"/>
        </w:rPr>
      </w:pPr>
    </w:p>
    <w:p>
      <w:pPr>
        <w:ind w:left="760" w:hanging="246"/>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failure to achieve certain efficacy and/or safety standards;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participants experiencing severe undesirable side effects or other unexpected adverse events;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disruptions in or insufficient supply of clinical trial material or inadequate quality of such materials;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failure of our CROs or other third-party service providers to meet their contractual obligations to us in a timely manner, or at all; or</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4"/>
          <w:szCs w:val="14"/>
          <w:color w:val="auto"/>
        </w:rPr>
        <w:t>delays in quality control/quality assurance procedures necessary for study database lock and analysis of unblinded data.</w:t>
      </w:r>
    </w:p>
    <w:p>
      <w:pPr>
        <w:spacing w:after="0" w:line="13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Unexpected SAEs or other undesirable side effects could arise during clinical development and interrupt, delay, or cause the termination of clinical trials, and require us to conduct additional clinical and nonclinical studies that were not part of our development plan, which could significantly increase the development costs and timeline for a program and adversely impact its value and our ability to continue product development. These events may also cause our reputation to suffer and subject us to lawsuits.</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As discussed elsewhere in this Risk Factors section, macroeconomic factors and events also have the potential to cause or contribute to significant delays in commencement and completion of our clinical trials. Global supply chain disruptions and the subsequent effects thereof may adversely affect the ability of contract manufacturers to manufacture and supply our clinical trial material. Our prospective or contracted clinical trial sites may experience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9" w:name="page70"/>
    <w:bookmarkEnd w:id="69"/>
    <w:p>
      <w:pPr>
        <w:jc w:val="both"/>
        <w:spacing w:after="0" w:line="262" w:lineRule="auto"/>
        <w:rPr>
          <w:sz w:val="20"/>
          <w:szCs w:val="20"/>
          <w:color w:val="auto"/>
        </w:rPr>
      </w:pPr>
      <w:r>
        <w:rPr>
          <w:rFonts w:ascii="Arial" w:cs="Arial" w:eastAsia="Arial" w:hAnsi="Arial"/>
          <w:sz w:val="14"/>
          <w:szCs w:val="14"/>
          <w:color w:val="auto"/>
        </w:rPr>
        <w:t>resource constraints, including staffing shortages, stemming from global or regional issues, such as a public health emergency, natural disaster, or worker strike, and become unable to allocate adequate resources to reach agreements necessary to commence our clinical trials at their facilities or, even if agreements are in place, to conduct our clinical trials. For ongoing clinical trials, macroeconomic factors or events, such as a global pandemic, may result in lower than anticipated subject enrollment and completion rates, including because clinical trial sites may temporarily close or reallocate resources away from clinical research, or study participants may withdraw prior to receiving study treatment or discontinue their treatment or follow up visits to avoid medical settings or because they become sick or must care for a sick family member.</w:t>
      </w:r>
    </w:p>
    <w:p>
      <w:pPr>
        <w:spacing w:after="0" w:line="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Significant clinical trial delays could have a material adverse impact on our financial condition and results of operations by substantially increasing the costs of our development programs. Significant clinical trial delays also could jeopardize our ability to meet obligations under agreements under which we license our rights to our product candidates, allow other companies to bring competitive products to market before we do, shorten any period of market exclusivity we may otherwise have under our patent rights, and weaken our negotiating position in discussions with potential collaborators, any of which could impair our ability to successfully complete development of or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spacing w:after="0" w:line="4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b w:val="1"/>
          <w:bCs w:val="1"/>
          <w:i w:val="1"/>
          <w:iCs w:val="1"/>
          <w:color w:val="auto"/>
        </w:rPr>
        <w:t>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w:t>
      </w:r>
    </w:p>
    <w:p>
      <w:pPr>
        <w:spacing w:after="0" w:line="8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manufacture of our product candidates is subject to compliance with extensive regulatory requirements, in some cases is complex, and in most cases we rely on single source contract manufacturers and suppliers. As a result, we face significant risks of manufacturing and supply delays and disruptions that may be difficult and expensive to resolve and may cause substantial delays in the development and regulatory approval of our product candidates or the commercialization of any approved product. To date, our clinical-stage product candidates have been tested in a relatively small number of clinical study participants. Significant scale-up of manufacturing will be required to provide adequate supplies of our product candidates for larger Phase 2 and Phase 3 clinical trials and may take longer and be more expensive than anticipated. For example, the ongoing pivotal clinical study of Ovaprene will require far more clinical product supplies than were manufactured for prior clinical and nonclinical studies combined. A substantial scale up in production of Ovaprene clinical supplies was necessary to support the ongoing Phase 3 clinical study of Ovaprene, which took longer and was more expensive than anticipated, impacting our development timeline. Under our agreement with ADVA-Tec, we are dependent on ADVA-Tec and its contract manufacturer, Poly-Med, Inc., for all Ovaprene clinical and commercial product supplies, and we do not control these third parties and have limited influence the efforts and resources they expend to meet our supply requirements. Disruptions and delays in scaling up manufacturing of our product candidates for later stage clinical studies may have a significant negative impact on our development costs and timelines. We have, and we expect we will continue to, face multiple challenges as our contract manufacturers scale their processes to provide supplies for larger clinical trials or commercial production including, among others, potential difficulties with process scale-up, process reproducibility, stability and purity issues, compliance with cGMP, lot consistency, and timely availability of acceptable raw materials.</w:t>
      </w:r>
    </w:p>
    <w:p>
      <w:pPr>
        <w:spacing w:after="0" w:line="12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manufacture of our product candidates is subject to extensive regulation. The finished products (and their APIs) used in clinical trials or approved for commercial sale must be manufactured in accordance with cGMP requirements in the U.S. that are enforced by the FDA and must comply with applicable requirements of foreign regulatory authorities for sales outside of the U.S.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a product that may result in closure of the manufacturing facility for an extended period of time to investigate and remedy the contamination or inadvertent change. In addition, deviations anywhere in the manufacturing process could cause our product candidates to perform differently and affect the results of clinical trials. Further, even minor deviations in the manufacturing process, including filling labeling, packaging, storage and shipping, and quality control and testing, may result in shipment delays, lot failures, recalls or spoilage, and delay or disrupt our clinical studies or commercial supply of any approved product. See also ITEM 1. “BUSINESS–Government Regulation–U.S. Government Regulation–FDA Review and Approval Process for Prescription Drugs, FDA Review and Approval of Medical Devices, and FDA Review and Approval Process for Combination Products” and “–Government Regulation Outside the U.S.” above. If our contract manufacturers are unable to produce sufficient quantities of our product candidates (or their APIs) for clinical trials or, if approved for commercial sale, for commercialization at acceptable quality levels, our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development and commercialization efforts would be impaired, which could have a material adverse effect on our business, financial condition and results of operations.</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As product candidates progress through the development process, it is not uncommon that manufacturing methods are altered along the way in an effort to optimize yield, manufacturing batch size, minimize costs, achieve consistent quality and results, or to comply with regulatory authority requirements. Any such changes carry risk that they will not achieve the intended objectives. If and when changes are made to the manufacturing process of our product candidates (or their APIs), we may be required by the FDA or foreign regulatory authorities to conduct bridging clinical or nonclinical studies or repeat one or more clinical trials to demonstrate comparable identity, strength, quality and purity of the product candidate before and after such changes, which could significantly increase development costs and delay regulatory approval or disrupt commercial supply. These manufacturing and supply risks are similarly applicable to any product or product candidate we license to a commercial collaborator and could adversely impact the timing or amount of potential milestone and royalty payments to us.</w:t>
      </w:r>
    </w:p>
    <w:p>
      <w:pPr>
        <w:spacing w:after="0" w:line="1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our cost of goods for our product candidates is at an early stage of development. The cost to manufacture our product candidates at commercial scale is difficult to predict currently. We may need to alter the materials, equipment or processes for making our product candidates in order to yield commercially viable products. As discussed above, manufacturing changes could increase development costs and timing, delay regulatory approval or disrupt commercial supply and may not achieve the intended objectives. Manufacturing costs may negatively impact the commercial viability of our product candidates, if approved for commercial sale.</w:t>
      </w:r>
    </w:p>
    <w:p>
      <w:pPr>
        <w:spacing w:after="0" w:line="10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See also “Risks Related to Our Dependence on Third Parties- We do not have, and we do not have plans to establish, our own manufacturing capabilities and instead rely on third-party suppliers and manufacturers for clinical study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 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increase the risk of manufacturing disruptions, and result in higher development costs or costs of goods sold” below.</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factors contributing to female sexual dysfunction disorders, including FSAD, are complex and there is limited clinical trial precedent from which to draw experience, making the design and execution of a clinical trial that demonstrates effectiveness of Sildenafil Cream in treating FSAD more inherently challenging and uncertain compared with investigational products for many other conditions.</w:t>
      </w:r>
    </w:p>
    <w:p>
      <w:pPr>
        <w:spacing w:after="0" w:line="10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There are currently no FDA-approved pharmacologic treatments for FSAD and there is no precedent program to reference in the design of our clinical trials for Sildenafil Cream. Female sexual dysfunction disorders in women vary in nature and may be the result of a variety of physiological and psychological factors. Given the variability of factors contributing to the underlying condition, and the product candidates' attributes, clinical studies to evaluate effectiveness in any subset of the conditions under the umbrella of female sexual dysfunction, such as FSAD, are complex. While we worked with experts to select existing as well as develop novel patient reported outcome (PRO) instruments for our exploratory Phase 2b RESPOND study of Sildenafil Cream, tested the potential PRO instruments in a content validity study, reviewed the results of that study with the FDA and aligned with the FDA on the Phase 2b study design, there is no precedent program that has utilized these same endpoints in a Phase 3 study and there is no assurance they will be adequate to detect a treatment effect. In addition, the Phase 2b RESPOND study proved more difficult to enroll than anticipated given the enrollment criteria for the study, particularly the requirement that the partner be enrolled in the study. Moreover, the Phase 2b RESPOND study did not demonstrate statistical significance for the co-primary or secondary efficacy endpoints. While post-hoc analyses of data from the Phase 2b RESPOND study identified a subset of participants that achieved statistically significant improvement in one of the co-primary efficacy endpoints of the study and the planned Phase 3 study will be in that subset of patients, there can be no assurance that Sildenafil Cream will be successful in the planned Phase 3 study.</w:t>
      </w:r>
    </w:p>
    <w:p>
      <w:pPr>
        <w:spacing w:after="0" w:line="6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Sildenafil Cream is designed to work primarily by increasing blood flow to the genital tissue. Therefore, identifying and enrolling patients in our clinical trials of Sildenafil Cream for whom inadequate blood flow to the genital tissue is the primary contributor to their arousal disorder is critical. If we fail to screen study participants properly, the results of our clinical trials are unlikely to demonstrate effectiveness of Sildenafil Cream. Conversely, screening procedures may slow enrollment in a study, delay its completion and increase its costs. In our exploratory Phase 2b RESPOND study, we experienced a slower than anticipated pace of enrollment given the enrollment criteria for the study, which lengthened our original estimated timeline for the study. We may experience delays in future clinical studies of Sildenafil Cream relative to our communicated expectations due to the novel nature of the studies and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complexities of the condition it is intended to treat, which may significantly lengthen clinical study timelines, increase overall costs, and may lead to unfavorable results.</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With respect to any clinical study of Sildenafil Cream, even if we can identify and enroll a sufficient number of women for whom inadequate blood flow to the genital tissue is the primary contributing factor to their arousal disorder, there is no guarantee that the use of Sildenafil Cream will meaningfully improve their sensations of arousal or demonstrate statistically significant improvement in the primary or secondary efficacy endpoints of the study. We expect to conduct two Phase 3 studies to support an NDA for Sildenafil Cream. Given the multiple factors contributing to arousal disorders and the novelty of the clinical endpoints that will be utilized to measure effectiveness of Sildenafil Cream in treating FSAD, we may be required to conduct multiple clinical trials in large patient populations, extending the timeline and increasing the cost of development for Sildenafil Cream, without any guarantee of positive results. If we are unable to efficiently and successfully advance Sildenafil Cream through clinical development, our business, operating results and financial conditional, as well as our stock price, could suffer.</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3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From time to time, we may publicly disclose interim,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of clinical trials we report may differ from final results reported for those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complete data are available.</w:t>
      </w:r>
    </w:p>
    <w:p>
      <w:pPr>
        <w:spacing w:after="0" w:line="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interim analysis will result in a favorable final result at the completion of the clinical trial.</w:t>
      </w:r>
    </w:p>
    <w:p>
      <w:pPr>
        <w:spacing w:after="0" w:line="11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Further, others, including regulatory authorities, may not accept or agree with our assumptions, estimates, calculations, conclusions or analyses or may interpret or weigh the importance of study data differently than we do,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an extensive set of data and analyses, and investors and others may disagree with the information we determine is the material or otherwise appropriate information to include in our public disclosure. Information we determine not to publicly disclose may ultimately be deemed significant with respect to future decisions, conclusions, views, activities or otherwise regarding a particular product candidate, product or our business. If the topline data that we report differ from complete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Our business depends on obtaining regulatory approval to market our product candidates in a timely manner, in particular, FDA approval. 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4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 time and our current development plans may not accurately anticipate all applicable requirements for marketing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4"/>
          <w:szCs w:val="14"/>
          <w:color w:val="auto"/>
        </w:rPr>
        <w:t>approval by the FDA or comparable regulatory authorities for jurisdictions outside the U.S. See also ITEM 1. “BUSINESS–Government Regulation–U.S. Government Regulation– FDA Review and Approval Process for Prescription Drugs, FDA Review and Approval of Medical Devices, and FDA Review and Approval Process for Combination Products” and “– Government Regulation Outside the U.S.” above.</w:t>
      </w:r>
    </w:p>
    <w:p>
      <w:pPr>
        <w:spacing w:after="0" w:line="4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success depends on our ability to obtain regulatory approvals for our product candidates in a timely and cost-efficient manner. Even if we successfully complete nonclinical studies, clinical studies, manufacturing and other required activities, we may still experience delays in our efforts to obtain marketing approvals for any of our product candidates. Marketing approval applications require the submission of extensive clinical and nonclinical data and supporting information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third-party manufacturers and clinical investigators to successfully complete inspections by the FDA or other regulatory authorities during the approval process requires significant human and financial resources.</w:t>
      </w:r>
    </w:p>
    <w:p>
      <w:pPr>
        <w:spacing w:after="0" w:line="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may change the development plan for a product candidate as a result of changes during the development period in the FDA’s marketing approval policies or the amendment or enactment of additional statutes or regulations, updated interpretations of applicable policies, statutes or regulations, or upon review of outcomes of other similar product candidates under development. This could significantly lengthen our development timelines and cost.</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FDA and comparable regulatory authorities in other countries have substantial discretion in the approval process and may refuse to accept any application or may decide that the data are insufficient for approval and require additional clinical or nonclinical studies or changes in the manufacturing process or facilities, even if we had previously aligned with the relevant regulatory authorities on such data and other requirements. We cannot assure you that we will obtain any additional marketing approvals for our product or product candidates in any jurisdiction.</w:t>
      </w:r>
    </w:p>
    <w:p>
      <w:pPr>
        <w:spacing w:after="0" w:line="5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announcement of new requirements by the FDA, the failure of a competitive product to receive regulatory approval, or the receipt of a complete response letter from the FDA by another company pursuing the FDA's 505(b)(2) pathway for product candidates identical to or similar to ours, any of which may have implications for our proposed regulatory authorization pathways, could impact how investors and potential strategic collaborators view the development risks associated with our product candidates. Changing testing or manufacturing requirements for our product candidates or for product candidates deemed to be comparable to ours may adversely impact our financial resources, our development timelines and may harm the perception held by others of our business.</w:t>
      </w:r>
    </w:p>
    <w:p>
      <w:pPr>
        <w:spacing w:after="0" w:line="9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b w:val="1"/>
          <w:bCs w:val="1"/>
          <w:i w:val="1"/>
          <w:iCs w:val="1"/>
          <w:color w:val="auto"/>
        </w:rPr>
        <w:t>A change in the regulatory approval pathway we anticipate for a product candidate could significantly increase development cost and timeline and heighten the risk of failure.</w:t>
      </w:r>
    </w:p>
    <w:p>
      <w:pPr>
        <w:spacing w:after="0" w:line="3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expect to utilize the FDA’s Section 505(b)(2) pathway for most of our current product candidates, including all of our clinical-stage candidates other than Ovaprene, and if that pathway is not available, the development of our product candidates will likely take significantly longer, cost significantly more and entail significantly greater complexity and risk than currently anticipated, and, in any case, may not be successful.</w:t>
      </w:r>
    </w:p>
    <w:p>
      <w:pPr>
        <w:spacing w:after="0" w:line="4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Section 505(b)(2) of the FDCA permits the filing of an NDA in which the applicant relies, at least in part, on the FDA's prior findings of safety and efficacy data for an existing product, or published literature, in support of its NDA, potentially eliminating or reducing the need to conduct certain nonclinical testing or clinical studies and expediting development timelines relative to the traditional or "full" NDA under Section 505(b)(1) of the FDCA.See ITEM 1. “BUSINESS–Government Regulation–U.S. Government Regulation–FDA Review and Approval Process for Prescription Drugs– Marketing Application Submission and FDA Review” above for more information. If the FDA changes its 505(b)(2) policies and practices, if Congress were to amend the FDCA, or if the current 505(b)(2) pathway is otherwise not available for a product candidate as anticipated, we likely would need to conduct more clinical trials and nonclinical testing than planned to generate additional safety and efficacy data and other information to support an NDA.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 In addition, Section 505(b)(2) NDAs are subject to special requirements designed to protect the patent rights of sponsors of previously approved drugs referenced in a Section 505(b)(2) NDA, and the filing of a patent infringement lawsuit against us following our submission of a 505(b)(2) NDA could significantly delay any potential FDA approval of the NDA. Even if we are able to utilize the Section 505(b)(2) regulatory pathway for one or more of our candidates, there is no guarantee this would ultimately lead to faster product development or earlier approval or commercial launch.</w:t>
      </w:r>
    </w:p>
    <w:p>
      <w:pPr>
        <w:spacing w:after="0" w:line="6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regard to Ovaprene, a change in the FDA’s prior determination that CDRH would lead the review of a marketing application for Ovaprene would adversely impact Ovaprene’s development timeline and significantly raise our costs to complete clinical development and obtain regulatory approval. Ovaprene is composed of both device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14"/>
          <w:szCs w:val="14"/>
          <w:color w:val="auto"/>
        </w:rPr>
        <w:t>drug components and is considered a combination product by the FDA. The process for obtaining FDA approval of Ovaprene will require compliance with complex procedures because concordance between two centers of the FDA (CDRH and CDER) is necessary. See ITEM 1. "BUSINESS–Government Regulation–U.S. Government Regulation–FDA Review and Approval Process for Combination Products,” above for more information about the FDA review and approval process for combination products. Ovaprene previously underwent a request for designation, or RFD, process with the FDA that determined that CDRH would lead the review of a PMA for potential marketing approval of this product candidate. If the designation were to be changed to CDER, or if either center were to institute additional requirements for the approval of Ovaprene, we could be required to complete clinical studies with more patients and over longer periods of time than is currently anticipated. This would significantly increase the anticipated cost and timeline to</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completion of Ovaprene’s development and require us to raise additional funds. Based on discussions with the FDA, we believe that if our ongoing pivotal clinical study of Ovaprene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Because Ovaprene is one of our lead product candidates, the impact of either a change in the lead FDA review center or the imposition of additional, currently unplanned requirements for approval could be significant to us and have a material adverse effect on the prospects for developing Ovaprene, as well as on our business and our financial condition.</w:t>
      </w:r>
    </w:p>
    <w:p>
      <w:pPr>
        <w:spacing w:after="0" w:line="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we are unable to pursue FDA approval via the FDA's 505(b)(2) pathway or, in the case of Ovaprene, through review of a PMA by CDRH, new competitive products may reach the market more quickly than our product candidates, which may have a material adverse impact on our competitive position and prospects. Even if we are allowed to pursue the FDA's 505(b)(2) pathway, and in the case of Ovaprene, review of a PMA by CDRH, we cannot assure you that our product candidates will receive the requisite approvals for commercialization.</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Some of our product candidates may be considered combination products by the FDA and other regulatory authorities, which could increase the complexity, cost and timeline for their development and regulatory approval.</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To the extent our product candidates meet the FDA’s or any other regulatory authority’s definition of a combination product, the regulatory approval requirements can be more complex and costly because, in addition to the individual regulatory requirements for each component, e.g., a drug and a medical device, additional combination product regulatory requirements may apply. See ITEM 1. "BUSINESS–Government Regulation–U.S. Government Regulation–FDA Review and Approval Process for Combination Products,” above. The cost and timeline for development of product candidates determined to be combination products may be substantially greater than product candidates that are not considered combination products.</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clinical-stage product candidates have only been tested in a small number of women over short periods of use and no data exists regarding a potential increase in fetal abnormalities in pregnant women.</w:t>
      </w:r>
    </w:p>
    <w:p>
      <w:pPr>
        <w:spacing w:after="0" w:line="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If our clinical-stage product candidates, including Ovaprene and Sildenafil Cream,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could be materially harmed, and we could also be subject to potential claims and lawsuits.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product candidates may be undervalued by investors and may be difficult to fund.</w:t>
      </w:r>
    </w:p>
    <w:p>
      <w:pPr>
        <w:spacing w:after="0" w:line="92"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4"/>
          <w:szCs w:val="14"/>
          <w:color w:val="auto"/>
        </w:rPr>
        <w:t>Given their early stage of development and the lack of data, many pre-clinical assets are often perceived as having low valuations by investors and potential strategic collaborators, such as pharmaceutical companies. Our investment of time and resources in such assets may not be appreciated or valued. As a result, it may be difficult for us to</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fund such programs. Additionally, past receipt of grant funding may not be predictive of our ability to secure additional grants to fund further development of a program. Our portfolio includes several pre-clinical stage programs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and if they fail to be adequately valued by investors or potential strategic collaborators, our business, financial condition and stock price may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Several of our product candidates are in pre-clinical stages of development and may never advance to clinical development.</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our pre-clinical stage programs may never progress to clinical development and may prove to be worthless.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grants and other non-dilutive funding awards supporting several of our development programs do not guarantee that the pre-clinical or clinical development work being funded will be successful or that we will be able or will choose to fund the additional development work that will be required in the future to advance the product candidates toward regulatory approval.</w:t>
      </w:r>
    </w:p>
    <w:p>
      <w:pPr>
        <w:spacing w:after="0" w:line="3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grants and other non-dilutive funding supporting development of several of our programs, including Ovaprene, DARE-HPV, DARE-PTB1, DARE-LARC1, DARE-LBT, and activities to aid in the identification and development a novel non-hormonal intravaginal contraceptive candidate, should not provide any assurance that pre-clinical or clinical development supported by that funding will be successful, or, even if we are successful with all specified development activities, that we will be able or will choose to fund the additional development work that will be required to continue to advance the product candidates toward commercialization. Further, the grant agreements or other non-dilutive funding award agreements supporting these development programs generally feature milestone-based payments or, in the case of NIH grants, payments are received in reimbursement of specified activities, and there is no assurance that we will be able to achieve or otherwise demonstrate satisfaction of the specified development and reporting milestones required to receive future payments under the agreements. Additionally, the counterparties to these agreements may modify, suspend, discontinue payment of funds or terminate the agreements in certain circumstances largely in their discretion. Accordingly, we may never receive future payments under these agreements or realize the full potential amount of the grant or other funding award.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Dependence on Third Parties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existing product development and commercialization collaborations are important to our business, and future collaborations may also be important to us. If we are unable to maintain any of these collaborations, if these collaborations are not successful, or if we are unable to establish additional strategic collaborations, our business and prospects may be materially harmed.</w:t>
      </w:r>
    </w:p>
    <w:p>
      <w:pPr>
        <w:spacing w:after="0" w:line="3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have limited resources and no internal sales, marketing or distribution capabilities. A key aspect of our strategy is to establish collaborations with third parties, such as large and mid-size pharmaceutical companies and other third parties with the relevant R&amp;D and/or commercial expertise and infrastructure, to help bring our product candidates to market. We currently do not expect to directly market, sell or distribute any of our products that receive regulatory approval, and instead intend to enter into agreements with third parties to market, sell and distribute and provide related support services for those products. For example, we have entered into out-license agreements with third parties for the commercialization of XACIATO and, if approved for commercial sale, Ovaprene. We intend to seek additional strategic collaborations. However, such strategic collaboration opportunities may not be available to us for a variety of reasons. For example, certain potential pharmaceutical company collaborators have announced discontinuation or significant reduction in their research and development efforts in women's health therapeutics. To the extent we do enter into strategic collaborations similar to our agreements for the commercialization of XACIATO and Ovaprene, the successful development and commercialization of our products and product candidates may become partially or entirely dependent upon the performance of third parties. By entering into strategic collaborations, we may relinquish control over important elements of product development and commercialization, and the collaborator may fail to develop or effectively commercialize the applicable products or product candidates. In addition, in the case of commercial collaborations, our product revenues may be lower than if we were to sell and distribute products that we develop ourselves.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5" w:name="page76"/>
    <w:bookmarkEnd w:id="75"/>
    <w:p>
      <w:pPr>
        <w:ind w:left="520"/>
        <w:spacing w:after="0"/>
        <w:rPr>
          <w:sz w:val="20"/>
          <w:szCs w:val="20"/>
          <w:color w:val="auto"/>
        </w:rPr>
      </w:pPr>
      <w:r>
        <w:rPr>
          <w:rFonts w:ascii="Arial" w:cs="Arial" w:eastAsia="Arial" w:hAnsi="Arial"/>
          <w:sz w:val="14"/>
          <w:szCs w:val="14"/>
          <w:color w:val="auto"/>
        </w:rPr>
        <w:t>Our existing collaborations, and any future strategic collaborations we establish, involve significant risks to the success of the product, including that:</w:t>
      </w:r>
    </w:p>
    <w:p>
      <w:pPr>
        <w:spacing w:after="0" w:line="94" w:lineRule="exact"/>
        <w:rPr>
          <w:sz w:val="20"/>
          <w:szCs w:val="20"/>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have significant discretion in determining the efforts and resources that they will apply to these collaborations;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not perform their obligations as expected;</w:t>
      </w:r>
    </w:p>
    <w:p>
      <w:pPr>
        <w:spacing w:after="0" w:line="51" w:lineRule="exact"/>
        <w:rPr>
          <w:rFonts w:ascii="Arial" w:cs="Arial" w:eastAsia="Arial" w:hAnsi="Arial"/>
          <w:sz w:val="14"/>
          <w:szCs w:val="14"/>
          <w:color w:val="auto"/>
        </w:rPr>
      </w:pPr>
    </w:p>
    <w:p>
      <w:pPr>
        <w:jc w:val="both"/>
        <w:ind w:left="760" w:hanging="246"/>
        <w:spacing w:after="0" w:line="27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not pursue development or commercialization of a product or product candidate or elect not to continue or renew a collaboration based on clinical or nonclinical study results, changes in the collaborators' strategic focus or available funding, or external factors, such as an acquisition, a public health emergency, or macroeconomic events or conditions, that cause them to divert resources to other initiatives or create competing priorities;</w:t>
      </w:r>
    </w:p>
    <w:p>
      <w:pPr>
        <w:spacing w:after="0" w:line="6"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refuse to perform clinical studies or other development work required for approval in a particular jurisdiction outside the U.S.;</w:t>
      </w:r>
    </w:p>
    <w:p>
      <w:pPr>
        <w:spacing w:after="0" w:line="51"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delay or stop clinical studies, provide insufficient funding for or abandon a clinical program, repeat or conduct new clinical studies or require a new formulation of a product or product candidate for clinical testing;</w:t>
      </w:r>
    </w:p>
    <w:p>
      <w:pPr>
        <w:jc w:val="both"/>
        <w:ind w:left="760" w:hanging="246"/>
        <w:spacing w:after="0" w:line="27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could independently, or together with third parties, develop and commercialize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with marketing and distribution rights to one or more of our products may not commit sufficient resources to the marketing and distribution of such product or products;</w:t>
      </w:r>
    </w:p>
    <w:p>
      <w:pPr>
        <w:jc w:val="both"/>
        <w:ind w:left="760" w:hanging="246"/>
        <w:spacing w:after="0" w:line="27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proprietary rights, contract interpretation, or product development or commercialization strategy, might cause delays or termination of the research, development or commercialization of our products or product candidates, might lead to additional responsibilities for us with respect to products or product candidates, or might result in litigation or arbitration, any of which would be time-consuming and expensive;</w:t>
      </w:r>
    </w:p>
    <w:p>
      <w:pPr>
        <w:spacing w:after="0" w:line="6"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infringe the intellectual property rights of third parties, which may expose us to litigation and potential liability;</w:t>
      </w:r>
    </w:p>
    <w:p>
      <w:pPr>
        <w:spacing w:after="0" w:line="51"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violate, or be investigated for potentially violating, health care compliance and related laws and regulations, which may expose us to litigation, enforcement actions or inquiries, or other potential liability; and</w:t>
      </w:r>
    </w:p>
    <w:p>
      <w:pPr>
        <w:jc w:val="both"/>
        <w:ind w:left="760" w:hanging="246"/>
        <w:spacing w:after="0" w:line="265"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collaborations may be terminated for the convenience of the collaborator and, if terminated, could significantly delay product development and commercial launch and increase the cost to us to pursue further development or commercialization of the applicable product or product candidate. For example, our out-license agreements for XACIATO and Ovaprene and the CRADA with NICHD may be terminated by the counterparty for convenience upon the completion of a specified notice period, subject to limited restrictions.</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If a collaborator terminates its agreement with us or if a collaboration does not result in the successful development of any product candidates and/or commercialization of any approved products, we may not receive any future royalty revenue, commercial milestones or other revenues under the collaboration, our development programs may not be funded as we expect, and our ability to establish another collaboration for the applicable product or product candidate may be negatively impacted. We may be unable to replace any commercial collaborator with an alternate third party on a timely or commercially reasonable basis, or at all. See also, “Risks Related to Our Financial Position and Capital Needs- If one of our commercial collaborators terminates its exclusive license agreement with us or fails to perform as expected, our need for additional capital may significantly increase,” above and “We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 below. Moreover, the risks relating to product development, regulatory approval and commercialization and compliance with health care related laws and regulations described in this report also apply to the activities of our collaborators.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6" w:name="page77"/>
    <w:bookmarkEnd w:id="76"/>
    <w:p>
      <w:pPr>
        <w:jc w:val="both"/>
        <w:ind w:firstLine="509"/>
        <w:spacing w:after="0" w:line="259" w:lineRule="auto"/>
        <w:rPr>
          <w:sz w:val="20"/>
          <w:szCs w:val="20"/>
          <w:color w:val="auto"/>
        </w:rPr>
      </w:pPr>
      <w:r>
        <w:rPr>
          <w:rFonts w:ascii="Arial" w:cs="Arial" w:eastAsia="Arial" w:hAnsi="Arial"/>
          <w:sz w:val="14"/>
          <w:szCs w:val="14"/>
          <w:color w:val="auto"/>
        </w:rPr>
        <w:t>Organon has global commercial rights to XACIATO under our exclusive license agreement. There is no assurance that commercialization of XACIATO in the U.S. will be successful, or that Organon will pursue development and commercialization of XACIATO outside of the U.S. As discussed elsewhere in this Risk Factors section, as a result of the traditional royalty purchase agreement we entered into with XOMA, whether we receive any future income based on net sales of XACIATO will depend on whether the Revenue Sharing Threshold is reached, which will depend, in part, on Organon's future commercial success with XACIATO, which is outside of our control. Apart from Organon's diligence obligation under our license agreement, we have no control over the efforts and resources Organon devotes to the marketing and sale of XACIATO. The occurrence of any of the risks described above could negatively impact the commercial success of XACIATO and have a material adverse effect on our business, financial condition and results of operations.</w:t>
      </w:r>
    </w:p>
    <w:p>
      <w:pPr>
        <w:spacing w:after="0" w:line="2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face significant competition in seeking strategic collaborations. Collaborations can also be complex and time-consuming arrangements to negotiate and document. If we are unable to reach agreements with suitable collaborators on a timely basis, on acceptable terms, or at all, we may have to curtail the development of a product or product candidate, reduce or delay one or more of our other development programs, delay or reduce the scope of any commercial readiness activities, delay commercialization, or increase our expenditures and undertake development or commercialization activities at our own expense. Our success in entering into a definitive agreement for any 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and other potential sources of market exclusivity for such product, the market performance of other products we developed, and industry and market conditions generally. The prospective collaborator may also have opportunities to collaborate with third parties on products or technologies that would compete with our products or product candidates and will evaluate whether those opportunities are more attractive than a collaboration with us. We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spacing w:after="0" w:line="5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may also be restricted under existing collaboration agreements from entering into other collaborations on certain terms with other potential collaborators. For example, the terms of our exclusive license agreement also provide Organon exclusive worldwide rights of first negotiation for specified potential future products of ours, which may increase the complexity and time required, or otherwise inhibit our ability to transfer, license, sublicense, assign, grant or otherwise dispose of any rights in those potential future products to a third party, and lead to delays in their development and commercialization.</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we are not successful in attracting collaborators, entering into collaborations on acceptable terms and maintaining our collaborations for the products we develop, we may not complete development of or obtain regulatory approval for such products and product candidates, or if we obtain regulatory approval, commercial launch may be delayed and market penetration could be limited. In such event, our ability to generate revenues from such products and achieve or sustain profitability would be significantly hindered which would materially harm our business and financial condition.</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Prolonged failure to carry out its responsibilities or underperformance of NICHD under the CRADA, lack of additional federal government funding allocated to the CRADA budget, or termination of the CRADA, may significantly delay or jeopardize the conduct and completion of the ongoing Phase 3 clinical study of Ovaprene and significantly increase the overall development timeline and costs for Ovaprene.</w:t>
      </w:r>
    </w:p>
    <w:p>
      <w:pPr>
        <w:spacing w:after="0" w:line="10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Phase 3 study of Ovaprene is being conducted, in part, under our CRADA with HHS, as represented by NICHD. As a result of the CRADA, the conduct and completion of the study is dependent, in part, on performance of NICHD and the third parties it engages to assist in the conduct of the study. Twenty clinical research sites from within the CCTN were initiated to enroll participants in the study. Currently, there are 15 active CCTN sites following enrolled participants in the study, but none are recruiting new participants. Enrollment is currently proceeding at five study sites outside of the CCTN that were initiated in 2025, funded by a grant we received in 2024 from the Foundation. Under the CRADA, NICHD, together with its selected CRO, is responsible for overseeing the clinical investigators in the conduct of the study at the CCTN sites, providing clinical site monitoring and quality assurance and performing data analysis, which are key factors to the successful completion of a clinical trial. We do not control those third parties and they may not perform as expected. For example, in 2024 there was slower than expected participant recruitment and enrollment at a number of the CCTN sites, leading to a decision by us and NICHD to proceed with recruitment at a subset of ten of the CCTN sites that had been initiated.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77" w:name="page78"/>
    <w:bookmarkEnd w:id="77"/>
    <w:p>
      <w:pPr>
        <w:jc w:val="both"/>
        <w:ind w:firstLine="509"/>
        <w:spacing w:after="0" w:line="255" w:lineRule="auto"/>
        <w:rPr>
          <w:sz w:val="20"/>
          <w:szCs w:val="20"/>
          <w:color w:val="auto"/>
        </w:rPr>
      </w:pPr>
      <w:r>
        <w:rPr>
          <w:rFonts w:ascii="Arial" w:cs="Arial" w:eastAsia="Arial" w:hAnsi="Arial"/>
          <w:sz w:val="14"/>
          <w:szCs w:val="14"/>
          <w:color w:val="auto"/>
        </w:rPr>
        <w:t>In the first quarter of 2025, executive orders and other actions taken by the new U.S. presidential administration have negatively impacted the Phase 3 study and NICHD’s ability to carry out its responsibilities under the CRADA. In particular, the NICHD process to enter into contract modifications with the CCTN sites participating in the study in the same manner as it would ordinarily do to provide additional funding to those sites within the current budget under the CRADA has been impacted and remains uncertain. As a result, to help ensure CCTN sites remain active for continued follow-up with existing study participants, we and NICHD agreed to pause recruitment of new participants at all CCTN sites. Depending on its duration, this pause in recruitment at the CCTN sites could adversely impact the overall enrollment rate for the study and increase the time and cost to us to complete the study. In addition, most of the CCTN sites participating in the study are part of colleges or universities, and the federal government recently has terminated or threatened to terminate grants and contracts with colleges and universities, including clinical study contracts with at least one university that is a CCTN site in our study. Further, depending on the duration of the enrollment period and number of subjects enrolled in the Phase 3 study, there may be future costs associated with the study that are not reflected in the current budget under the CRADA for the CCTN sites. We and NICHD have been in discussions regarding the CRADA, which are continuing and which may include discussing a mechanism to potentially provide for additional future payments by us in support of the Phase 3 study for the CCTN sites to complete subjects already enrolled, in the event that the currently budgeted CRADA funds are insufficient. If NICHD is unable to enter into new contracts or contract modifications with CCTN sites for a prolonged period, or terminates its contracts with CCTN sites in our study before the study follow-up visits with existing participants are completed or before the study is completed, we may determine to contract directly with those sites to enable them to restart recruitment and enrollment of new participants and/or ensure they remain active sites to continue follow-up with existing participants, which could increase the time and cost to us to complete the study. In addition, if CCTN sites are closed, some participants may drop out of the study, which could adversely affect completion or results of the study.</w:t>
      </w:r>
    </w:p>
    <w:p>
      <w:pPr>
        <w:spacing w:after="0" w:line="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Though the CRADA has a five-year term ending in 2026, either party may terminate it for any reason or for no reason upon 30 days’ prior written notice to the other party. Termination of the CRADA by NICHD or by us could significantly delay the conduct and/or completion of the Phase 3 study and significantly increase the overall timeline and costs for development of Ovaprene.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the cash payments we have made under the CRADA for up to one year after expiration or termination to cover costs associated with the conduct of activities described under the research plan in the CRADA that were initiated prior to expiration or termination. Suspension by NICHD of activities under the CRADA or termination by NICHD or by us of the CRADA could have a material adverse effect on the Phase 3 study and on our business, results of operations and financial condition, and may cause the market price of our common stock to decline.</w:t>
      </w:r>
    </w:p>
    <w:p>
      <w:pPr>
        <w:spacing w:after="0" w:line="5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b w:val="1"/>
          <w:bCs w:val="1"/>
          <w:i w:val="1"/>
          <w:iCs w:val="1"/>
          <w:color w:val="auto"/>
        </w:rPr>
        <w:t>We do not have, and we do not have plans to establish, our own manufacturing capabilities and instead rely on third-party suppliers and manufacturers for our clinical study supplies, including multiple single source suppliers and manufacturers. If these third parties do not perform as we expect, fail to maintain their regulatory approvals or become subject to negative circumstances, it could delay, prevent or impair our product development or commercialization efforts, or those of our collaborators, and harm our business.</w:t>
      </w:r>
    </w:p>
    <w:p>
      <w:pPr>
        <w:spacing w:after="0" w:line="10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do not own or operate, and we currently have no plans to establish, facilities for manufacturing, storage and distribution, or testing of product candidates. We rely and expect to continue to rely on third parties to supply and manufacture our product candidates and other materials necessary to commence and complete pre-clinical testing, clinical trials and other activities required for regulatory approval of our product candidates, including qualification of equipment, developing and validating methods, defining critical process parameters, releasing component materials, and conducting stability testing. In addition, we expect to continue to rely on third parties for commercial production and supplies of any future products. This reliance on third-party manufacturers and suppliers subjects us to inherent uncertainties related to product safety, availability, quality and cost.</w:t>
      </w:r>
    </w:p>
    <w:p>
      <w:pPr>
        <w:spacing w:after="0" w:line="5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Our product candidates (including their component materials) must be manufactured, packaged, tested, and labeled in accordance with our specifications and in conformity with cGMP and other applicable regulatory requirements, which requires dedication of substantial resources to specialized personnel, facilities and equipment and sophisticated quality assurance, quality control, recordkeeping procedures. While our employees and consultants monitor and audit our CMOs’ manufacturing processes and systems, we have limited control over our CMOs and they may fail to perform as expected. The facilities and quality systems of CMOs who produce our product candidates and their APIs must pass a pre-approval inspection for compliance with applicable regulations as a condition of FDA approval. Failure to pass inspections, or to timely remediate any compliance issues identified by the FDA, could substantially delay marketing approval. As long as we are the product candidate sponsor or the holder of the product approval or manufacturer of record with the FDA or other regulatory authority, we are ultimately responsible for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8" w:name="page79"/>
    <w:bookmarkEnd w:id="78"/>
    <w:p>
      <w:pPr>
        <w:jc w:val="both"/>
        <w:spacing w:after="0" w:line="271" w:lineRule="auto"/>
        <w:rPr>
          <w:sz w:val="20"/>
          <w:szCs w:val="20"/>
          <w:color w:val="auto"/>
        </w:rPr>
      </w:pPr>
      <w:r>
        <w:rPr>
          <w:rFonts w:ascii="Arial" w:cs="Arial" w:eastAsia="Arial" w:hAnsi="Arial"/>
          <w:sz w:val="14"/>
          <w:szCs w:val="14"/>
          <w:color w:val="auto"/>
        </w:rPr>
        <w:t>compliance with regulatory requirements for manufacturing and distribution of our product candidates and any future approved products, regardless of our lack of control over our third-party manufacturers and suppliers. Failure of those third parties to comply with cGMP and other applicable regulatory requirements may result in fines and civil penalties on us, suspension of production, delay or failure to obtain product approval, product seizure or recall, or withdrawal of product approval.</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Our CMOs and component suppliers may experience delays in producing and supplying, or may become unable or unwilling to produce and supply, our clinical trial material or commercial supply material due to financial or personnel constraints, their obligations to, or their decision to prioritize the production and supply of products for, other customers, partial or full loss of their facilities, or supply chain disruptions, including as a result of geopolitical conflicts, macroeconomic events or conditions, natural or manmade disasters, or public health emergencies such as the COVID-19 pandemic. For example, our single source CMO for Ovaprene is located in an area of the U.S. that is vulnerable to tropical storms, hurricanes, flooding and tornadoes, which have potential to render its facilities inoperative for protracted periods. One or more of our CMOs may fail or be unable to perform at a time that is costly or inconvenient for us. We may not have adequate or any recourse against a CMO or supplier who does not perform or terminates its agreement with us if such non-performance or termination is excused under the applicable agreement.</w:t>
      </w:r>
    </w:p>
    <w:p>
      <w:pPr>
        <w:spacing w:after="0" w:line="5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do not have long-term supply agreements with any of our CMOs or raw materials suppliers. We generally enter into manufacturing agreements on a project-by-project basis based on our development needs, which may heighten the risk of timely availability of sufficient quantities of our product candidates at acceptable costs for clinical trials. For example, we do not have any long-term manufacturing or supply agreements with the CMO from which we plan to obtain clinical supplies for our first Phase 3 clinical study of Sildenafil Cream or with the current supplier of the API for Sildenafil Cream. Future supplies of Sildenafil Cream or the raw materials required to produce it may be more difficult and costly to obtain because we do not have long-term supply contracts, which could make us more vulnerable to significant price increases. As we advance development of our product candidates, we will need to negotiate agreements for commercial supply and we may not be able to reach agreement on a timely basis or acceptable terms, or at all. In addition, the FDA or regulatory authorities outside of the U.S. may require that we have an alternate manufacturer of a product before approving it for marketing and sale in the U.S. or other jurisdiction, and securing such alternate manufacturer before approval of a marketing application could result in considerable additional time and cost prior to product approval.</w:t>
      </w:r>
    </w:p>
    <w:p>
      <w:pPr>
        <w:spacing w:after="0" w:line="5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Currently, we do not have alternative CMOs or API suppliers to back up our primary vendors of clinical trial material. Identification of and discussions with other vendors may be protracted and/or unsuccessful, or new vendors may not be successful in producing the same results as our current vendors on a timely basis at the appropriate volumes, at an acceptable cost, or at all. Therefore, if the current vendors become unable or unwilling to perform their required activities, we could experience protracted delays or interruptions in the supply of clinical trial material or any future approved product for commercial sale, which could materially and adversely affect our development programs, commercial activities, operating results, and financial condition.</w:t>
      </w:r>
    </w:p>
    <w:p>
      <w:pPr>
        <w:spacing w:after="0" w:line="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Any new CMO or API supplier would be required to qualify under applicable regulatory requirements. In some cases, the technical skills or technology required to manufacture our clinical trial material or commercial material may be unique or proprietary to the original CMO or supplier and we may have difficulty, or there may be contractual restrictions prohibiting us from, transferring such skills or technology to another third party and a feasible alternative may not exist. These factors would increase our reliance on such CMOs and suppliers or require us to obtain a license from them in order to have another third party manufacture our product candidates or any future approved product. If we are required to change manufacturers for any reason, we will be required to verify that the new manufacturer maintains facilities and procedures that comply with quality standards and with all applicable regulations and guidelines. In some cases, the FDA or a foreign regulatory authority may require us to conduct additional clinical or nonclinical studies, collect additional stability data, and provide additional information concerning any new CMO or supplier, or change in a validated manufacturing process, including scaling-up production, before we could distribute products from that manufacturer or supplier or revised process. The process of identifying, verifying and transitioning to a new CMO or supplier could significantly delay development or regulatory approval of our product candidates or delay or disrupt commercialization of any approved product and substantially increase costs or result in significant loss of product sales and associated revenue.</w:t>
      </w:r>
    </w:p>
    <w:p>
      <w:pPr>
        <w:spacing w:after="0" w:line="5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our CMOs encounter difficulties or otherwise fail to comply with their contractual obligations or there are delays entering commercial supply agreements, we may have insufficient quantities of material to support ongoing or planned clinical trials or to meet commercial demand for any approved product in the future. In addition, any delay or interruption in the supply of materials necessary or useful to manufacture our product candidates could delay the completion of our clinical trials, increase the costs associated with our development programs, and depending upon the period of delay, require us to terminate the clinical trials completely and commence new clinical trials at significant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4"/>
          <w:szCs w:val="14"/>
          <w:color w:val="auto"/>
        </w:rPr>
        <w:t>additional expense. Delays or interruptions in the supply of commercial product could result in increased cost of goods sold and lost sales. Manufacturing or quality control problems may arise in connection with the manufacture of our clinical trial material or future approved product and CMOs may not be able to maintain the necessary governmental licenses and approvals to continue their manufacturing services for us.</w:t>
      </w:r>
    </w:p>
    <w:p>
      <w:pPr>
        <w:spacing w:after="0" w:line="10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with respect to any finished product or key components manufactured outside the U.S., such as the API for Sildenafil Cream, which is sourced from a supplier located in India, we may experience interruptions in supply due to shipping or customs difficulties or regional instability. Furthermore, future currency fluctuations, increased shipping costs, or new or increased U.S. tariffs and trade disputes with other countries could increase our clinical development costs, and ultimately, our cost of goods sold, which could adversely impact our operating results and financial condition.</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Any of the above factors could cause us to delay or suspend anticipated or ongoing clinical trials, regulatory submissions or commercialization of a product candidate, entail higher costs, or result in being unable to effectively commercialize an approved product. Our dependence on third parties for the manufacture of our product candidates or future approved products may adversely affect our future profit margins and our ability to commercialize any products that receive marketing approval on a timely and competitive basis.</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Similarly, while Organon assumed manufacturing responsibility for XACIATO from us in December 2023, commercial production and supply of XACIATO remains subject to comparable manufacturing risks as described herein, and any interruption in the commercial supply of XACIATO that directly or indirectly results in significant loss of product sales could have a material adverse effect on future payments we may receive under the traditional royalty purchase agreement we entered into with XOMA.</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increase the risk of manufacturing disruptions, and result in higher development costs or costs of goods sold.</w:t>
      </w:r>
    </w:p>
    <w:p>
      <w:pPr>
        <w:spacing w:after="0" w:line="10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Our agreement with ADVA-Tec restricts our ability to engage a manufacturing source for Ovaprene other than ADVA-Tec during Ovaprene's development period as well as following regulatory approval, subject to limited exceptions. If ADVA-Tec fails to provide sufficient clinical supply of Ovaprene on anticipated timelines, our ability to complete clinical development and seek regulatory approval of Ovaprene could be significantly delayed. A substantial scale up in production of Ovaprene clinical supplies was necessary to support the ongoing Phase 3 clinical study of Ovaprene, which took longer and was more expensive than anticipated, and if Ovaprene receives marketing approval, further substantial manufacturing scale up will be necessary. If Ovaprene receives marketing approval, failure by ADVA-Tec to provide sufficient commercial product quantities at reasonable costs could have a significant adverse effect on our revenue and ability to become profitable. Furthermore, for some key raw materials and components of Ovaprene, there currently is only a single source of supply, and alternate sources of supply may not be readily available.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0" w:name="page81"/>
    <w:bookmarkEnd w:id="80"/>
    <w:p>
      <w:pPr>
        <w:jc w:val="both"/>
        <w:spacing w:after="0" w:line="276" w:lineRule="auto"/>
        <w:rPr>
          <w:sz w:val="20"/>
          <w:szCs w:val="20"/>
          <w:color w:val="auto"/>
        </w:rPr>
      </w:pPr>
      <w:r>
        <w:rPr>
          <w:rFonts w:ascii="Arial" w:cs="Arial" w:eastAsia="Arial" w:hAnsi="Arial"/>
          <w:sz w:val="14"/>
          <w:szCs w:val="14"/>
          <w:b w:val="1"/>
          <w:bCs w:val="1"/>
          <w:i w:val="1"/>
          <w:iCs w:val="1"/>
          <w:color w:val="auto"/>
        </w:rPr>
        <w:t>We rely on, and intend to continue to rely on, third parties to conduct our clinical and nonclinical studies and execute other significant aspects of our product development programs. Failure of these third parties to successfully carry out their contractual duties, comply with our clinical protocols or regulatory requirements and applicable law, or meet expected deadlines may cause significant delays in our development timelines and/or failure of our programs.</w:t>
      </w:r>
    </w:p>
    <w:p>
      <w:pPr>
        <w:spacing w:after="0" w:line="3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Our business model relies on the outsourcing of important product development functions, tests and services to third parties. We rely on CROs, medical institutions, clinical investigators, laboratories, vendors and consultants to conduct all of our clinical trials and perform nonclinical testing. These third parties play a significant role in the conduct and timing of our clinical and nonclinical studies and the collection, management and analysis of study data, which are critical to our business. In addition, we have relied, and expect in the future to rely, on third parties to assist us in preparing, submitting and supporting the applications necessary to gain marketing approvals for our product candidates. We enter into agreements with these third parties governing their work for us, but we do not control them and have limited influence over their actual performance. They may not devote sufficient time and resources to our projects, or their performance may be substandard, resulting in clinical trial delays, suspensions or terminations, delays in submission of our marketing applications, failure of a regulatory authority to accept our applications for filing or receipt of a CRL. The performance of these third parties may also be negatively impacted by macroeconomic factors, geopolitical conflicts or events, natural or manmade disasters, public health emergencies, information system and cybersecurity incidents, and workforce challenges. In addition, these third parties may have relationships with companies developing competitive products and prioritize a competitor’s clinical or nonclinical studies or regulatory affairs activities over their work for us, which could harm our competitive position. Because of our dependence on these third parties, if they fail to meet expected deadlines, adhere to our study protocols, meet regulatory and legal requirements, or otherwise perform in a substandard manner, we could suffer significant delays and additional costs in, and potentially failure of, the development of one or more of our product candidates.</w:t>
      </w:r>
    </w:p>
    <w:p>
      <w:pPr>
        <w:spacing w:after="0" w:line="6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CROs, study sites and other consultants generally have the right to terminate their agreements with us without cause upon the completion of a specified notice period, subject to limited restrictions. If any of our relationships with these third parties terminate, we may not be able to enter into arrangements with alternative third parties on commercially reasonable terms, in a timely manner, or at all. Switching or adding additional CROs, study sites, and other third party service providers due to substandard or inadequate performance or termination of a relationship involves additional cost and requires our management’s time and focus. In addition, there is a natural transition period when a new CRO commences work. As a result, delays occur, which can materially impact our ability to meet our communicated clinical development timelines. Though we work to carefully manage our relationships with our CROs, study sites, and other third parties, we have encountered challenges and delays in our clinical and nonclinical studies as a result of performance issues in the past, and there can be no assurance that we will not encounter challenges or delays in the future or that these delays or challenges will not have a material adverse impact on our business, financial condition, and prospects.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ability to develop and commercialize our product candidates depends upon maintaining rights granted to us under license agreements with third parties. The loss or impairment of our rights under our in-license agreements relating to XACIATO or our product candidates could have a material adverse effect on our business prospects, operations and viability.</w:t>
      </w:r>
    </w:p>
    <w:p>
      <w:pPr>
        <w:spacing w:after="0" w:line="3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have rights to develop and commercialize XACIATO and our product candidates under license agreements between us and third-party licensors. The loss or impairment of these rights, including as a result of our inability or other failure (or that of our licensors, in the case of sublicenses) to meet our obligations under any one of such license agreements, including, without limitation, our payment obligations, could have a substantial negative effect on our business and prospects.</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2018, we entered into definitive agreements with Hammock Pharmaceuticals, Inc., TriLogic Pharma LLC and MilanaPharm LLC under which we acquired exclusive global rights to XACIATO for the treatment of bacterial vaginosis,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In addition to customary termination rights, MilanaPharm may terminate our license with respect to a licensed product or process in a country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81" w:name="page82"/>
    <w:bookmarkEnd w:id="81"/>
    <w:p>
      <w:pPr>
        <w:jc w:val="both"/>
        <w:spacing w:after="0" w:line="290" w:lineRule="auto"/>
        <w:rPr>
          <w:sz w:val="20"/>
          <w:szCs w:val="20"/>
          <w:color w:val="auto"/>
        </w:rPr>
      </w:pPr>
      <w:r>
        <w:rPr>
          <w:rFonts w:ascii="Arial" w:cs="Arial" w:eastAsia="Arial" w:hAnsi="Arial"/>
          <w:sz w:val="14"/>
          <w:szCs w:val="14"/>
          <w:color w:val="auto"/>
        </w:rPr>
        <w:t>strategic justification for the discontinuation and failure. See ITEM 1. "BUSINESS-Strategic Agreements for Pipeline Development-Hammock/MilanaPharm Assignment and License Agreement,” above.</w:t>
      </w:r>
    </w:p>
    <w:p>
      <w:pPr>
        <w:spacing w:after="0" w:line="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six months of obtaining a pre-market approval from the FDA, (3) with respect to the license in any particular country, fail to commercialize Ovaprene in that particular country within three years of the first commercial sale, (4) develop or commercialize a non-hormonal ring-based vaginal contraceptive device other than Ovaprene, (5) fail to conduct certain clinical trials, or (6) fail to make certain milestone, sublicense and/or royalty payments to ADVA-Tec. See ITEM 1. "BUSINESS-Strategic Agreements for Pipeline Development-ADVA-Tec License Agreement," above.</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February 2018, we entered into a world-wide license and collaboration agreement with SST for the exclusive worldwide rights to develop and commercialize Sildenafil Cream for all indications for women related to female sexual dysfunction and/or female reproductive health, including treatment of FSAD. The SST license agreement provides that each party will have customary rights to terminate the 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 ITEM 1. "BUSINESS-Strategic Agreements for Pipeline Development-SST License and Collaboration Agreement,” above.</w:t>
      </w:r>
    </w:p>
    <w:p>
      <w:pPr>
        <w:spacing w:after="0" w:line="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April 2018, we entered into the Catalent license agreement under which we acquired exclusive global rights to Catalent's IVR technology platform, including the product candidates we now call DARE-HRT1, DARE-FRT1, and DARE-PTB1. Under this agreement, we must use commercially reasonable efforts to develop and make at least one product or process available to the public, which efforts include achieving specific diligence requirements by dates specified in the agreement, and Catalent may terminate the agreement upon 60 days’ notice for any uncured material breach by us of any of our other obligations under the agreement. See ITEM 1. "BUSINESS-Strategic Agreements for Pipeline Development-Catalent JNP License Agreement,” above.</w:t>
      </w:r>
    </w:p>
    <w:p>
      <w:pPr>
        <w:spacing w:after="0" w:line="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May 2018, we completed our acquisition of Pear Tree and obtained exclusive global rights to certain patents and know-how to develop and commercialize a proprietary formulation of tamoxifen for vaginal administration, which led to our DARE-VVA1 program. Under the applicable license agreements, as amended, we are required to use commercially reasonable efforts or reasonable best efforts to bring licensed products and processes to market, which include achieving specified milestones. The licensors may terminate the agreements for failure to make certain payments due to the licensors and any uncured material breach or default, including breach of our diligence obligations. See ITEM 1. "BUSINESS-Strategic Agreements for Pipeline Development—Pear Tree Acquisition and License Agreements,” above.</w:t>
      </w:r>
    </w:p>
    <w:p>
      <w:pPr>
        <w:spacing w:after="0" w:line="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August 2023, we entered into a license agreement with Douglas for exclusive rights to develop and commercialize a lopinavir and ritonavir combination soft gel vaginal insert for the treatment of CIN and other HPV-related pathologies, and commenced our DARE-HPV program. Under this agreement, we must use commercially reasonable efforts to develop and introduce to market at least one product or process, which efforts include achieving specific diligence requirements by dates specified in the agreement. Douglas may terminate the agreement for any uncured failure to make certain payments, any uncured material failure to fulfill our diligence obligations, or any other uncured material breach of our other obligations under the agreement. See ITEM 1. "BUSINESS-Strategic Agreements for Pipeline Development—Douglas License Agreement / The University of Manchester Stand-by Direct License Arrangement,” above.</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If we do not meet our obligations under our license agreements in a timely manner, some of which require the expenditure or payment to the licensor of significant amounts of cash, or if we are unable to obtain an extension of deadlines for satisfying our obligations, we could lose our rights under these agreements. Moreover, because some of our rights to XACIATO and our product candidates are sublicensed to us, our license agreements may be terminated or we may otherwise lose rights to intellectual property underlying our product or product candidates in the event of termination or loss of rights by our licensors, which may be outside of our control. There is no assurance that we would be able to renew or renegotiate license agreements on acceptable terms, or at all, if our existing license agreements (or the underlying agreements in the case of sublicenses) are terminated. Furthermore, we cannot guarantee that any license agreement will be enforceable. The termination of these license agreements or our inability to enforce our rights under these license agreements could result in the loss of our ability, or that of our sublicensees,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2" w:name="page83"/>
    <w:bookmarkEnd w:id="82"/>
    <w:p>
      <w:pPr>
        <w:jc w:val="both"/>
        <w:spacing w:after="0" w:line="271" w:lineRule="auto"/>
        <w:rPr>
          <w:sz w:val="20"/>
          <w:szCs w:val="20"/>
          <w:color w:val="auto"/>
        </w:rPr>
      </w:pPr>
      <w:r>
        <w:rPr>
          <w:rFonts w:ascii="Arial" w:cs="Arial" w:eastAsia="Arial" w:hAnsi="Arial"/>
          <w:sz w:val="14"/>
          <w:szCs w:val="14"/>
          <w:color w:val="auto"/>
        </w:rPr>
        <w:t>to develop, manufacture, market or sell XACIATO or the product candidate covered by the agreement, as well as our ability to grant rights to other third parties to collaborate with us in the development and commercialization of our product candidates and our ability to receive milestone and royalty payments from third-party sublicensees, which could have a material adverse effect on our business, financial condition, results of operations and prospects.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Disputes may arise regarding intellectual property subject to, and any of our rights and obligations under, any license or other strategic agreement, including:</w:t>
      </w:r>
    </w:p>
    <w:p>
      <w:pPr>
        <w:spacing w:after="0" w:line="94" w:lineRule="exact"/>
        <w:rPr>
          <w:sz w:val="20"/>
          <w:szCs w:val="20"/>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22"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misappropriate or violate the intellectual property of the licensor that is not subject to the license agreement;</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timing and amount of milestone or royalty payments due to the licensor;</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sublicensing of patent and other rights to third parties under any such agreement or collaborative relationships;</w:t>
      </w:r>
    </w:p>
    <w:p>
      <w:pPr>
        <w:spacing w:after="0" w:line="8" w:lineRule="exact"/>
        <w:rPr>
          <w:rFonts w:ascii="Arial" w:cs="Arial" w:eastAsia="Arial" w:hAnsi="Arial"/>
          <w:sz w:val="14"/>
          <w:szCs w:val="14"/>
          <w:color w:val="auto"/>
        </w:rPr>
      </w:pPr>
    </w:p>
    <w:p>
      <w:pPr>
        <w:ind w:left="760" w:hanging="246"/>
        <w:spacing w:after="0" w:line="253"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licensors and us and our collaborators; and</w:t>
      </w: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13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or maintain third-party collaborations to commercialize, the affected product or product candidate.</w:t>
      </w:r>
    </w:p>
    <w:p>
      <w:pPr>
        <w:spacing w:after="0" w:line="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may seek to license the product and technology rights to additional product candidates in accordance with our business strategy,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those candidates would ever be advanced successfully through clinical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Commercialization of Products We Develop</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have no internal sales, marketing or distribution capabilities, and we may need to invest significant resources to establish those capabilities. If we are unable to timely establish those capabilities on our own or through arrangements with third parties, product launch may be delayed, commercialization may be adversely impacted, and we may not be able to generate product sales revenue.</w:t>
      </w:r>
    </w:p>
    <w:p>
      <w:pPr>
        <w:spacing w:after="0" w:line="3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currently do not have, and have never had, product marketing, sales or distribution infrastructure.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As we move our product candidates through development toward, and in some cases, through regulatory approval, we evaluate several options for each product candidate's commercialization strategy. These options include building our own sales force and other commercial infrastructure, or collaborating with third parties that have established sales forces and distribution systems, either to augment our own sales force and commercial infrastructure or in lieu of establishing our own sales force and commercial infrastructure. We currently have no commercialization agreements with third parties other than our license agreements with Organon for XACIATO and Bayer for Ovaprene. We may not be able to maintain our existing commercial collaborations or establish and maintain other commercial collaborations on favorable terms, on a timely basis, or at all. In addition, our product revenue and our profitability, if any, may be lower if we rely on third parties to commercialize products we develop than if we were to do it ourselves.</w:t>
      </w:r>
    </w:p>
    <w:p>
      <w:pPr>
        <w:spacing w:after="0" w:line="2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To generate revenue from our product candidates, if approved for commercial sale, we may need to establish our own sales forces and commercial infrastructure. There are significant challenges and risks involved with building and managing a sales organization and other commercial infrastructure, even if we collaborate with third parties that have established sales forces and distribution systems to augment our own capabilities, including:</w:t>
      </w:r>
    </w:p>
    <w:p>
      <w:pPr>
        <w:spacing w:after="0" w:line="71"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4"/>
          <w:szCs w:val="14"/>
          <w:color w:val="auto"/>
        </w:rPr>
        <w:t>difficulties in recruiting and retaining adequate numbers of qualified individuals;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3" w:name="page84"/>
    <w:bookmarkEnd w:id="83"/>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4"/>
          <w:szCs w:val="14"/>
          <w:color w:val="auto"/>
        </w:rPr>
        <w:t>providing adequate training for sales and marketing and support personnel;</w:t>
      </w:r>
    </w:p>
    <w:p>
      <w:pPr>
        <w:spacing w:after="0" w:line="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4"/>
          <w:szCs w:val="14"/>
          <w:color w:val="auto"/>
        </w:rPr>
        <w:t>effectively managing a geographically dispersed sales force;</w:t>
      </w:r>
    </w:p>
    <w:p>
      <w:pPr>
        <w:spacing w:after="0" w:line="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4"/>
          <w:szCs w:val="14"/>
          <w:color w:val="auto"/>
        </w:rPr>
        <w:t>difficulties generating sales leads;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4"/>
          <w:szCs w:val="14"/>
          <w:color w:val="auto"/>
        </w:rPr>
        <w:t>potential lack of complementary products our sales personnel may be able to offer compared with sales personnel for competitive products; and</w:t>
      </w:r>
    </w:p>
    <w:p>
      <w:pPr>
        <w:spacing w:after="0" w:line="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4"/>
          <w:szCs w:val="14"/>
          <w:color w:val="auto"/>
        </w:rPr>
        <w:t>unforeseen costs and expenses associated with establishing a new corporate function and the rapid growth of our company.</w:t>
      </w:r>
    </w:p>
    <w:p>
      <w:pPr>
        <w:spacing w:after="0" w:line="12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Recruiting, incentivizing and training a sales force is expensive and requires substantial management time and focus. If we recruit and train a sales force and the commercial launch of the product is delayed or does not occur for any reason, we would have prematurely or unnecessarily incurred significant expenses, and our investment would be lost if we could not retain or reposition our sales and marketing personnel. On the other hand, if we do not timely establish a sales force and other commercial infrastructure, a product launch may be significantly delayed, adversely impacting the potential commercial success of the product, as well as our operating results and financial condition. Both the launch and ongoing commercial support of our products would require significant capital, which may not be available to us when needed or on acceptable terms or at all. All of these factors could strain our cash resources and require us to raise additional capital.</w:t>
      </w:r>
    </w:p>
    <w:p>
      <w:pPr>
        <w:spacing w:after="0" w:line="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Failure or delay in entering into and maintaining arrangements with third parties to market and sell, or assist us in marketing and selling, our product candidates, if approved for commercial sale, or in establishing capabilities to independently commercialize our product candidates could significantly delay commercial launch and negatively impact their potential commercial success, which could have a material adverse effect on our business, financial condition and results of operations.</w:t>
      </w:r>
    </w:p>
    <w:p>
      <w:pPr>
        <w:spacing w:after="0" w:line="11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product candidates, if approved for commercial sale, will face intense competition and our business and operating results will suffer if we, or our commercial collaborators, fail to compete effectively.</w:t>
      </w:r>
    </w:p>
    <w:p>
      <w:pPr>
        <w:spacing w:after="0" w:line="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pharmaceutical industry is intensely competitive and characterized by rapid technological developments. Moreover, the women’s health sector is very fragmented and highly competitive. We anticipate that our product candidates may compete not only with FDA-approved, prescription and over-the-counter, branded and generic drug products, but also compounded drugs, medical devices, dietary supplements, and cosmetics. We face and will continue to face intense competition from a variety of businesses, including large, fully integrated, well-established pharmaceutical companies and specialty pharmaceutical companies that already possess robust product portfolios and strong franchises in women’s health in areas in which we plan to compete, as well as generics manufacturers, compounding pharmacies and other drug compounding facilities, and dietary supplements manufacturers. In addition, academic and other research institutions are and could be engaged in research and development efforts for products in the therapeutic areas targeted by our product candidates. Many of our competitors or potential competitors, either alone or with strategic collaborators, have:</w:t>
      </w:r>
    </w:p>
    <w:p>
      <w:pPr>
        <w:spacing w:after="0" w:line="57" w:lineRule="exact"/>
        <w:rPr>
          <w:sz w:val="20"/>
          <w:szCs w:val="20"/>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much greater financial, research, technical and human resources than we have at every stage of the product development and commercialization life cycle;</w:t>
      </w:r>
    </w:p>
    <w:p>
      <w:pPr>
        <w:spacing w:after="0" w:line="51"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more extensive experience in designing and conducting clinical trials, nonclinical studies, obtaining regulatory approvals, and in manufacturing, marketing and selling prescription medical products; and</w:t>
      </w: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approved products or product candidates in late stages of development for one or more of our target indications.</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Competitive products may be equally safe and as effective as our products, but sold at a substantially lower price. Alternatively, competitive products may be safer or more effective, more convenient to use, have better insurance coverage or reimbursement levels or be more effectively marketed and sold than our products.</w:t>
      </w:r>
    </w:p>
    <w:p>
      <w:pPr>
        <w:spacing w:after="0" w:line="3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Many of our product candidates, if approved for commercial sale, will compete with products that have already been accepted by the medical community and patients. If our product candidates fail to generate compelling clinical results or if patients and health care providers fail to adopt our products for their respective indications, their commercial potential could be adversely impacted or severely diminished. It is possible that the potential advantages of our product candidates do not materialize or that the approved prescribing information for our products does not describe expected features or benefits. We also expect to face competition from new products that enter the market over time. We are aware of products currently under development intended for the same indications as our product candidates. These competitive product candidates may prove safer, more tolerable, more effective, and less expensive, and may be introduced to market earlier, or produced, marketed and sold more effectively or on a more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84" w:name="page85"/>
    <w:bookmarkEnd w:id="84"/>
    <w:p>
      <w:pPr>
        <w:jc w:val="both"/>
        <w:spacing w:after="0" w:line="290" w:lineRule="auto"/>
        <w:rPr>
          <w:sz w:val="20"/>
          <w:szCs w:val="20"/>
          <w:color w:val="auto"/>
        </w:rPr>
      </w:pPr>
      <w:r>
        <w:rPr>
          <w:rFonts w:ascii="Arial" w:cs="Arial" w:eastAsia="Arial" w:hAnsi="Arial"/>
          <w:sz w:val="14"/>
          <w:szCs w:val="14"/>
          <w:color w:val="auto"/>
        </w:rPr>
        <w:t>cost-effective basis, than our product candidates. The success of competitive products may render our product candidates noncompetitive or obsolete, even prior to completion of their development.</w:t>
      </w:r>
    </w:p>
    <w:p>
      <w:pPr>
        <w:spacing w:after="0" w:line="3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With respect to XACIATO, there are multiple generic and branded prescription drug products currently approved in the U.S. for the treatment of bacterial vaginosis, including oral and vaginal gel formulations of metronidazole and vaginal cream formulations of clindamycin. If health care providers do not view the prescribing information for XACIATO as compelling compared with other products available for the treatment of bacterial vaginosis, or if competitive products have better insurance coverage or reimbursement levels than XACIATO, health care providers may opt to prescribe a competitive product rather than recommend or prescribe XACIATO to their patients. In addition, women may prefer orally delivered options to vaginally administered XACIATO unless they view XACIATO as providing significantly superior efficacy, safety and/or convenience. If our commercial collaborator fails to generate significant net sales of XACIATO which exceed the Revenue Sharing Threshold, we will not have any future revenue stream relating to XACIATO.</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women's health market includes many generic FDA-approved drug products, compounded drugs, as well as dietary supplements and consumer health products, and growth in these categories is expected to continue, which could make the successful introduction of our products difficult and expensive.</w:t>
      </w:r>
    </w:p>
    <w:p>
      <w:pPr>
        <w:spacing w:after="0" w:line="5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proportion of the U.S. drug market made up of generic products has been increasing. In addition, compounded drugs and dietary supplements in women’s health are multi-billion dollar markets. As a result, even if our product candidates are approved, it may be more difficult for us or a commercial collaborator to introduce a new product, particularly a branded prescription product, at a price that will allow us to achieve acceptable levels of revenue and net income from product sales. Generic competition is particularly strong in contraception and hormone therapy, which are areas in which we seek to compete. Our product candidates for menopause symptoms will additionally have to compete with compounded hormones supplied by compounding pharmacies and other drug compounding facilities, as well as dietary supplements marketed for relief of menopause symptoms. Compounded sildenafil cream medications are also currently being supplied by compounding pharmacies and other drug compounding facilities. In order for our branded products to develop commercial markets and for third-party payors to cover these higher cost products, our products must demonstrate better patient compliance and clinical benefit as compared to what other available products have demonstrated.</w:t>
      </w:r>
    </w:p>
    <w:p>
      <w:pPr>
        <w:spacing w:after="0" w:line="5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Additional marketing and educational efforts may be required to introduce a new branded prescription medical product in order to overcome use of generic products, compounded drugs and dietary supplements and gain access to reimbursement by payors. If we or a commercial collaborator cannot introduce a product at the desired price or gain reimbursement from payors for the product, or if patients opt for a lower cost generic product, compounded drug, or dietary supplement rather than pay out-of-pocket or a higher co-pay for our product, our sales revenues or royalties and other license fees, as applicable, will be limited and we may never become profitable.</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product candidates may fail to achieve the degree of market acceptance by physicians, patients, third-party payors or others in the medical community necessary for commercial success, which would negatively impact our business.</w:t>
      </w:r>
    </w:p>
    <w:p>
      <w:pPr>
        <w:spacing w:after="0" w:line="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commercial success of any product we develop and bring to market, or is marketed by a licensee, will depend significantly on the broad acceptance of the product by physicians, patients, and others in the medical community, as well as, in many cases, third-party payors. The degree of market acceptance of our products will depend on several factors, including:</w:t>
      </w:r>
    </w:p>
    <w:p>
      <w:pPr>
        <w:spacing w:after="0" w:line="71" w:lineRule="exact"/>
        <w:rPr>
          <w:sz w:val="20"/>
          <w:szCs w:val="20"/>
          <w:color w:val="auto"/>
        </w:rPr>
      </w:pPr>
    </w:p>
    <w:p>
      <w:pPr>
        <w:ind w:left="760" w:hanging="246"/>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indication for which the product is approved;</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4"/>
          <w:szCs w:val="14"/>
          <w:color w:val="auto"/>
        </w:rPr>
        <w:t>the timing of market introduction of the product and availability of alternative treatments and products for the same indication;</w:t>
      </w:r>
    </w:p>
    <w:p>
      <w:pPr>
        <w:spacing w:after="0" w:line="48"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4"/>
          <w:szCs w:val="14"/>
          <w:color w:val="auto"/>
        </w:rPr>
        <w:t>the demonstrated clinical efficacy and safety of the product, including as compared to alternative products;</w:t>
      </w:r>
    </w:p>
    <w:p>
      <w:pPr>
        <w:spacing w:after="0" w:line="48"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4"/>
          <w:szCs w:val="14"/>
          <w:color w:val="auto"/>
        </w:rPr>
        <w:t>the terms of regulatory approval, such as any restrictions on the use of the product together with other medications, or required warnings in the product labeling;</w:t>
      </w:r>
    </w:p>
    <w:p>
      <w:pPr>
        <w:spacing w:after="0" w:line="48"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prevalence and severity of any adverse side effects associated with the product, including as compared to alternative treatments and products;</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convenience and ease of administration for patients, including as compared to alternative treatments and products;</w:t>
      </w:r>
    </w:p>
    <w:p>
      <w:pPr>
        <w:spacing w:after="0" w:line="59" w:lineRule="exact"/>
        <w:rPr>
          <w:rFonts w:ascii="Arial" w:cs="Arial" w:eastAsia="Arial" w:hAnsi="Arial"/>
          <w:sz w:val="17"/>
          <w:szCs w:val="17"/>
          <w:color w:val="auto"/>
        </w:rPr>
      </w:pPr>
    </w:p>
    <w:p>
      <w:pPr>
        <w:ind w:left="760" w:hanging="246"/>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willingness of the target patient population and prescribing physicians to try a new product ;</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5" w:name="page86"/>
    <w:bookmarkEnd w:id="85"/>
    <w:p>
      <w:pPr>
        <w:ind w:left="760" w:hanging="246"/>
        <w:spacing w:after="0" w:line="239" w:lineRule="auto"/>
        <w:tabs>
          <w:tab w:leader="none" w:pos="756"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4"/>
          <w:szCs w:val="14"/>
          <w:color w:val="auto"/>
        </w:rPr>
        <w:t>the effectiveness of the sales and marketing strategy and efforts for the product, including the success of efforts to educate the medical community and third-party payors regarding the benefits of the product;</w:t>
      </w:r>
    </w:p>
    <w:p>
      <w:pPr>
        <w:spacing w:after="0" w:line="49"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4"/>
          <w:szCs w:val="14"/>
          <w:color w:val="auto"/>
        </w:rPr>
        <w:t>the pricing and cost-effectiveness of the product, including as compared to alternative treatments and products;</w:t>
      </w:r>
    </w:p>
    <w:p>
      <w:pPr>
        <w:spacing w:after="0" w:line="48"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4"/>
          <w:szCs w:val="14"/>
          <w:color w:val="auto"/>
        </w:rPr>
        <w:t>the availability and extent of third-party coverage and reimbursement for the product;</w:t>
      </w:r>
    </w:p>
    <w:p>
      <w:pPr>
        <w:spacing w:after="0" w:line="68" w:lineRule="exact"/>
        <w:rPr>
          <w:rFonts w:ascii="Arial" w:cs="Arial" w:eastAsia="Arial" w:hAnsi="Arial"/>
          <w:sz w:val="17"/>
          <w:szCs w:val="17"/>
          <w:color w:val="auto"/>
        </w:rPr>
      </w:pPr>
    </w:p>
    <w:p>
      <w:pPr>
        <w:ind w:left="760" w:hanging="246"/>
        <w:spacing w:after="0" w:line="239" w:lineRule="auto"/>
        <w:tabs>
          <w:tab w:leader="none" w:pos="756" w:val="left"/>
        </w:tabs>
        <w:numPr>
          <w:ilvl w:val="0"/>
          <w:numId w:val="33"/>
        </w:numPr>
        <w:rPr>
          <w:rFonts w:ascii="Arial" w:cs="Arial" w:eastAsia="Arial" w:hAnsi="Arial"/>
          <w:sz w:val="17"/>
          <w:szCs w:val="17"/>
          <w:color w:val="auto"/>
        </w:rPr>
      </w:pPr>
      <w:r>
        <w:rPr>
          <w:rFonts w:ascii="Arial" w:cs="Arial" w:eastAsia="Arial" w:hAnsi="Arial"/>
          <w:sz w:val="14"/>
          <w:szCs w:val="14"/>
          <w:color w:val="auto"/>
        </w:rPr>
        <w:t>the willingness of patients to pay all, or a portion of, the out-of-pocket cost for the product in the absence or insufficiency of third-party payor coverage and reimbursement;</w:t>
      </w:r>
    </w:p>
    <w:p>
      <w:pPr>
        <w:spacing w:after="0" w:line="49" w:lineRule="exact"/>
        <w:rPr>
          <w:rFonts w:ascii="Arial" w:cs="Arial" w:eastAsia="Arial" w:hAnsi="Arial"/>
          <w:sz w:val="17"/>
          <w:szCs w:val="17"/>
          <w:color w:val="auto"/>
        </w:rPr>
      </w:pPr>
    </w:p>
    <w:p>
      <w:pPr>
        <w:ind w:left="760" w:hanging="246"/>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4"/>
          <w:szCs w:val="14"/>
          <w:color w:val="auto"/>
        </w:rPr>
        <w:t>unfavorable publicity relating to the product or products with the same or similar APIs, or favorable publicity about competing therapies or products; and</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4"/>
          <w:szCs w:val="14"/>
          <w:color w:val="auto"/>
        </w:rPr>
        <w:t>the existence and extent of pending or potential product liability claims.</w:t>
      </w:r>
    </w:p>
    <w:p>
      <w:pPr>
        <w:spacing w:after="0" w:line="1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If XACIATO or any future product does not achieve an adequate level of market acceptance, the product may not generate significant revenue or may generate substantially less revenue than anticipated, which could have a material and adverse effect on our business, financial condition, results of operation and prospects. We may suffer reputational harm and we may never become profitable.</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commercial success of XACIATO is outside of our control and will depend on Organon’s efforts and capabilities, as well as a variety of factors, many of which currently are unknown or uncertain, and if commercialization of XACIATO is not successful, our business and prospects may suffer.</w:t>
      </w:r>
    </w:p>
    <w:p>
      <w:pPr>
        <w:spacing w:after="0" w:line="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If commercialization of XACIATO is not successful, or is perceived to be unsuccessful, our business, financial condition, results of operations and prospects may suffer, particularly because XACIATO is the first and only product for which we have received regulatory approval. XACIATO’s commercial success will depend on many factors, including those discussed elsewhere in these “Risks Related to Commercialization of Products We Develop” and “Risks Related to Our Intellectual Property” below, as well as the capabilities of Organon and its commitment of sufficient resources to market, distribute and sell the product, preferences by health care providers and women for a vaginally administered therapy, and regulatory approval and market introduction of alternative therapies, including non-antibiotic treatment options. We have limited control over Organon’s efforts with respect to XACIATO and there is no assurance they will be successful or that the Revenue Sharing Threshold will be reached. As discussed elsewhere in this Risk Factors section, we will not receive any payments based on product sales until after the Revenue Sharing Threshold is reached. We may suffer reputational harm if XACIATO is not commercially successful and our ability to raise additional capital or enter into other commercial collaborations could be impaired. See also the risks and uncertainties described under “Risks Related to Our Dependence on Third Parties,” above.</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commercial success of Ovaprene, if approved for commercial sale, will depend on the degree of market acceptance of a hormone-free, monthly intravaginal product, clinical efficacy and safety of the product, including as compared to alternative contraceptive methods, pricing of the product, and the availability and extent of third-party coverage and reimbursement for the product, as well as other factors including Bayer’s marketing and sales efforts.</w:t>
      </w:r>
    </w:p>
    <w:p>
      <w:pPr>
        <w:spacing w:after="0" w:line="3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Today, there is a wide range of prescription and over-the-counter contraceptive options, including hormone-free options such as condoms, diaphragms, cervical caps, sponges, copper IUDs, spermicides and vaginal gels, as well as hormonal products such as pills, patches, vaginal rings, IUDs, implantable rods and injectables. In addition, multiple new methods of pregnancy prevention are in development, including hormone-free options, and some may be marketed in the U.S. before Ovaprene, potentially adding to the level of market competition Ovaprene will face, if approved. In surveys, women have said that the features they consider most important when selecting a contraceptive method are efficacy, ease-of-use and side effects. To have significant revenue potential as a new contraceptive product option, Ovaprene may need to demonstrate typical use efficacy (or the expected rate of pregnancy protection once the product is used widely under everyday circumstances) that approaches the approximately 93% typical use efficacy at 12 months of current FDA-approved non-implanted, non-injected hormonal contraceptive methods (pills, patches and vaginal rings). Clinical testing will also need to demonstrate that the product can be safely worn for multiple weeks.</w:t>
      </w:r>
    </w:p>
    <w:p>
      <w:pPr>
        <w:spacing w:after="0" w:line="5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Ovaprene receives regulatory approval, its commercial success, or the success of any other future contraceptive product we develop, including our current early clinical-stage and pre-clinical stage candidates, will depend upon the contraceptive market and market acceptance of an alternative method. Factors expected to impact broad market acceptance of a new contraceptive product include those discussed above under "Our product candidates may fail to achieve the degree of market acceptance by physicians, patients, third-party payors or others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in the medical community necessary for commercial success, which would negatively impact our business," as well as:</w:t>
      </w:r>
    </w:p>
    <w:p>
      <w:pPr>
        <w:spacing w:after="0" w:line="94" w:lineRule="exact"/>
        <w:rPr>
          <w:sz w:val="20"/>
          <w:szCs w:val="20"/>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demonstration of minimum acceptable contraceptive efficacy rates;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perceived safety differences of hormonal and/or non-hormonal contraceptive options;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competition from new lower dose hormonal contraceptives with more favorable side effect profiles compared with higher dose hormonal contraceptives;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preference for a monthly format product over contraceptive products to be taken daily or used in the moment;</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preference for an intravaginal product over other formats such as pills, patches, injectables and condoms;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generic contraceptive options, including generic versions of the hormone-containing intravaginal product NuvaRing®; and</w:t>
      </w:r>
    </w:p>
    <w:p>
      <w:pPr>
        <w:spacing w:after="0" w:line="51"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effects of changes in health care laws and regulations on third-party payor coverage (including the birth control coverage mandate) and reimbursement and out-of-pocket costs to patients.</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If one or more of these risks occur, it could reduce the market potential for Ovaprene, or any other contraceptive product we develop, and place pressure on our business, financial condition, results of operations and prospects.</w:t>
      </w:r>
    </w:p>
    <w:p>
      <w:pPr>
        <w:spacing w:after="0" w:line="3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Under our license agreement with Bayer, provided the license grant becomes effective, Bayer will have exclusive rights to market and sell Ovaprene in the U.S. Accordingly, the potential value of Ovaprene to our company may be highly dependent on the efforts and activities of Bayer. Should Ovaprene fail to generate compelling clinical safety and efficacy data, the license grant under our agreement with Bayer may never become effective. Even if Bayer elects to make the license agreement effective, Bayer has significant discretion in determining the resources that it will allocate to commercialization of Ovaprene and Ovaprene’s commercial success may be limited, in which case our business, financial condition, results of operations and prospects could suffer significantly.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commercial success of an FDA-approved Sildenafil Cream product will depend on the availability of alternative treatments and products, the effectiveness of the sales and marketing strategy and efforts for the product, including the success of efforts to educate women and their health care providers about FSAD, and the availability and extent of third-party coverage and reimbursement for the product, among other factors.</w:t>
      </w:r>
    </w:p>
    <w:p>
      <w:pPr>
        <w:spacing w:after="0" w:line="3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Today, there are no FDA-approved products to treat FSAD. While our goal is for Sildenafil Cream to be the first product to receive such approval, one or more competitive products may be approved before our product. In addition, an FDA-approved Sildenafil Cream product may also have to compete with compounded drugs. Some compounding entities currently supply topical cream formulations of sildenafil. In addition, some compounding entities have partnered with telemedicine providers, enabling them to expand the potential market for their compounded drugs. The availability of cream formulations of sildenafil through compounding entities, could make it more challenging for Sildenafil Cream to build and maintain market share. Even if we achieve our goal of being first-to-market for FSAD, the costs associated with introducing a new branded prescription product into the female sexual dysfunction market would likely be significant, and regardless of the amount spent, there is no guarantee that our new product will be broadly adopted. Broad market adoption of Sildenafil Cream will depend not only on Sildenafil Cream’s ability to demonstrate safety and effectiveness in treating FSAD in Phase 3 clinical trials, but a variety of factors, as discussed above under “Our product candidates may fail to achieve the degree of market acceptance by physicians, patients, third-party payors or others in the medical community necessary for commercial success, which would negatively impact our business.” If we or a commercial collaborator are not successful in increasing awareness and understanding about FSAD and Sildenafil Cream, the market potential of Sildenafil Cream will not be realized. Women who experience low or no genital arousal may be hesitant to seek treatment due to stigma and embarrassment associated with sexual health issues, lack of understanding of normal versus abnormal sexual functioning, or lack of awareness that FSAD may be treated with medication. Health care providers may be hesitant to prescribe Sildenafil Cream for many reasons, including lack of understanding or experience with female sexual dysfunction in general and FSAD in particular, lack of experience with any product approved to treat FSAD, or perceived lack of clinical evidence of the safety and efficacy of Sildenafil Cream. Women may also be hesitant to use Sildenafil Cream for many reasons, including the lack of experience with any product designed to treat FSAD, concern over potential side effects, and the out-of-pocket cost of Sildenafil Cream, particularly if it is not covered by insurance. Currently, third-party payors such as government health care programs and private insurance companies often do not cover products prescribed to treat female sexual dysfunction disorders. If Sildenafil Cream is not an affordable option for a significant segment of potential users, the ability to build a commercial market for Sildenafil Cream will be significantly impaired.</w:t>
      </w:r>
    </w:p>
    <w:p>
      <w:pPr>
        <w:spacing w:after="0" w:line="6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addition, FSAD is a condition that impacts women of many ages, including older and elderly populations. We have not yet thoroughly studied the topical or clinical pharmacology of Sildenafil Cream in different patient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7" w:name="page88"/>
    <w:bookmarkEnd w:id="87"/>
    <w:p>
      <w:pPr>
        <w:jc w:val="both"/>
        <w:spacing w:after="0" w:line="262" w:lineRule="auto"/>
        <w:rPr>
          <w:sz w:val="20"/>
          <w:szCs w:val="20"/>
          <w:color w:val="auto"/>
        </w:rPr>
      </w:pPr>
      <w:r>
        <w:rPr>
          <w:rFonts w:ascii="Arial" w:cs="Arial" w:eastAsia="Arial" w:hAnsi="Arial"/>
          <w:sz w:val="14"/>
          <w:szCs w:val="14"/>
          <w:color w:val="auto"/>
        </w:rPr>
        <w:t>populations, and sildenafil, the active ingredient in our drug candidate, has not been tested over long periods of time in older or elderly women. Older or elderly women may react differently and adversely to Sildenafil Cream than younger populations. We expect our pivotal Phase 3 clinical trials of Sildenafil Cream will be conducted in a premenopausal population. Therefore, we expect initial FDA approval of Sildenafil Cream, if received, to be limited to premenopausal women. Should Sildenafil Cream not be studied in older or elderly women, or, if studied in those populations, should it show increased risk of adverse reactions, or signs thereof, in older or elderly women during clinical development, the potential market for Sildenafil Cream could be significantly limited, which could have a material adverse impact on the value of this program.</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commercial success of DARE-HRT1, if approved for commercial sale, will depend on the availability of alternative products for managing menopause symptoms, concerns about the safety of hormone therapy, and women's preferences, among other factors.</w:t>
      </w:r>
    </w:p>
    <w:p>
      <w:pPr>
        <w:spacing w:after="0" w:line="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DARE-HRT1, if approved as a treatment for moderate to severe VMS due to menopause, will compete with the many options on the market targeted to or FDA-approved for the treatment of menopausal symptoms, including VMS. Such options include hormone therapies in the form of pills, patches and creams, some of which are FDA-approved products and others which are supplied by compounding entities, as well as non-hormonal options, including an FDA-approved product (Veozah® (fezolinetant)), and dietary supplements. Both the supplement and the compounded hormone therapy markets are very significant. A considerable segment of the compounded hormone therapy market is comprised of compounded hormones in pellet form that are implanted under the skin as a non-daily alternative, which could be directly competitive with DARE-HRT. In addition, we are aware of non-hormonal drug products in development for the treatment of VMS, including elinzanetant, a dual neurokinin-1 and 3 (NK-1 and NK-3) receptor antagonist, for which Bayer submitted an NDA in August 2024, and is anticipated to launch in the second half of 2025. We expect the options for hormone therapy to continue to expand with time. DARE-HRT1 is designed to offer a convenient vaginal ring that continuously delivers a combination of bioidentical estradiol and progesterone over 28 days. Bioidentical hormones refer to compounds that are chemically identical to those produced naturally in the human body. Studies have not demonstrated that bioidentical hormones are safer than synthetic hormones, so DARE-HRT1 will need to compete with many types of hormone therapy options in terms of convenience, safety and efficacy in managing symptoms of menopause.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Risks related to market acceptance of DARE-HRT1 include:</w:t>
      </w:r>
    </w:p>
    <w:p>
      <w:pPr>
        <w:spacing w:after="0" w:line="94"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women's preference for vaginal ring delivery of hormone therapy over pills, patches and creams;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women's preference for a monthly product format over products to be taken or applied daily;</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data regarding symptom relief of DARE-HRT1 compared with other treatments and products for VMS;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preference for bioidentical hormones by women and health care providers;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positive or negative news and research regarding hormone therapy in general and bioidentical hormone therapy in particular;</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preference for an FDA-approved product by women and health care providers over treatments prepared in compounding entities;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success or failure of other FDA-approved bioidentical hormone products and FDA-approved non-hormonal products for VMS;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new information supportive or against the use of hormones in menopause; and</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availability and extent of third-party payor coverage and reimbursement for DARE-HRT1 and out-of-pocket cost for patients.</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Depending upon the direction of the factors above, a commercial market for DARE-HRT1 may develop more slowly than expected, or not at all, and our business, financial condition, results of operation and prospects could be hurt as a result.</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for prescription medical products. If we or any commercial collaborator is found or alleged to have improperly promoted any of our products for off-label uses, we may become subject to significant liability, including fines, penalties or injunctions, and reputational harm.</w:t>
      </w:r>
    </w:p>
    <w:p>
      <w:pPr>
        <w:spacing w:after="0" w:line="3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medical products. In particular, a product may not be promoted for uses that are not approved by the FDA (i.e., off-label uses), as reflected in the product’s approved or cleared labeling. Promotional labeling and advertising for any of our drug product candidates that receive marketing approval, must be submitted to FDA at the time of first use and the agency actively solicits reports from health care professionals about improper promotional claims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8" w:name="page89"/>
    <w:bookmarkEnd w:id="88"/>
    <w:p>
      <w:pPr>
        <w:jc w:val="both"/>
        <w:spacing w:after="0" w:line="271" w:lineRule="auto"/>
        <w:rPr>
          <w:sz w:val="20"/>
          <w:szCs w:val="20"/>
          <w:color w:val="auto"/>
        </w:rPr>
      </w:pPr>
      <w:r>
        <w:rPr>
          <w:rFonts w:ascii="Arial" w:cs="Arial" w:eastAsia="Arial" w:hAnsi="Arial"/>
          <w:sz w:val="14"/>
          <w:szCs w:val="14"/>
          <w:color w:val="auto"/>
        </w:rPr>
        <w:t>activities by the drug manufacturer or distributor. Medical device promotion and advertising are subject to similar off-label restrictions, although without the same requirement to submit promotional materials to FDA at the time of first use. Both prescription drug and medical device promotional materials must present a fair balance between the product’s effectiveness and the risks associated with its use, and must be truthful and not misleading.</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If we or a commercial collaborator is alleged or found to have promoted a product for any off-label use, we may become subject to significant liability and reputational harm. The federal government has levied large civil and criminal fines against companies for alleged improper medical product promotion and has enjoined several companies from engaging in off-label promotion. The FDA has also requested that companies enter into consent decrees or permanent injunctions under which specified promotional conduct is changed or curtailed. Other enforcement authorities may also take action against a company for promoting an off-label use of a prescription medical product, which could result in penalties under other statutory authorities, such as laws prohibiting false claims for reimbursement. See also “Risks Related to Our Business Operations and Industry- The pharmaceutical and medical device industries are highly regulated and subject to various fraud and abuse laws, including, without limitation, the U.S. federal Anti-Kickback Statute, the U.S. federal False Claims Act and the U.S. Foreign Corrupt Practices Act” below.</w:t>
      </w:r>
    </w:p>
    <w:p>
      <w:pPr>
        <w:spacing w:after="0" w:line="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If we or our commercial collaborators, as applicable, cannot successfully manage the product promotion to ensure compliance with these legal and regulatory requirements, we could become subject to significant liability, our reputation could be damaged, and adoption of our products could be considerably impaired.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Unexpected safety, efficacy or quality concerns relating to XACIATO could develop, which could have significant negative consequences for us.</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XACIATO was approved by the FDA based on prior findings of safety or effectiveness of previously approved clindamycin products and on clinical data from the Phase 3 DARE-BVFREE clinical trial, in which 307 patients were randomized and treated once. In light of its commercial launch, XACIATO will be used by larger numbers of patients, and some patients may use multiple regimens over the course of a year. New data may emerge from market surveillance or future clinical trials of XACIATO that give rise to safety, efficacy or quality concerns and result in negative consequences, including:</w:t>
      </w:r>
    </w:p>
    <w:p>
      <w:pPr>
        <w:spacing w:after="0" w:line="128"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modification to the product’s prescribing information, such as the addition of boxed or other warnings, contraindications, or limitations of use;</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restrictions on the promotion or marketing of the product;</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issuance of “Dear Doctor Letters” or similar communications to health care professionals or the public regarding safety or efficacy concerns;</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imposition of post-marketing clinical trial requirements or other post-marketing studies;</w:t>
      </w:r>
    </w:p>
    <w:p>
      <w:pPr>
        <w:spacing w:after="0" w:line="15" w:lineRule="exact"/>
        <w:rPr>
          <w:rFonts w:ascii="Arial" w:cs="Arial" w:eastAsia="Arial" w:hAnsi="Arial"/>
          <w:sz w:val="17"/>
          <w:szCs w:val="17"/>
          <w:color w:val="auto"/>
        </w:rPr>
      </w:pPr>
    </w:p>
    <w:p>
      <w:pPr>
        <w:ind w:left="520" w:hanging="260"/>
        <w:spacing w:after="0" w:line="239"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4"/>
          <w:szCs w:val="14"/>
          <w:color w:val="auto"/>
        </w:rPr>
        <w:t>product distribution restrictions or other risk management measures, such as a risk evaluation and mitigation strategy, or REMS, which could include elements to assure safe use;</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warning or untitled letters;</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suspension or withdrawal of marketing approvals;</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suspension or termination of ongoing clinical trials, if any;</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refusal by regulators to approve pending marketing applications or supplements to approved applications that we submit;</w:t>
      </w:r>
    </w:p>
    <w:p>
      <w:pPr>
        <w:spacing w:after="0" w:line="26" w:lineRule="exact"/>
        <w:rPr>
          <w:rFonts w:ascii="Arial" w:cs="Arial" w:eastAsia="Arial" w:hAnsi="Arial"/>
          <w:sz w:val="17"/>
          <w:szCs w:val="17"/>
          <w:color w:val="auto"/>
        </w:rPr>
      </w:pPr>
    </w:p>
    <w:p>
      <w:pPr>
        <w:ind w:left="520" w:hanging="260"/>
        <w:spacing w:after="0" w:line="239"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4"/>
          <w:szCs w:val="14"/>
          <w:color w:val="auto"/>
        </w:rPr>
        <w:t>suspension of, or imposition of restrictions on, the operations of our commercial collaborator or any CMO producing commercial supplies of XACIATO, including costly new manufacturing requirements;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costly and time-consuming corrective actions;</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voluntary or mandatory product recalls or withdrawals from the market;</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significant reputational harm; and</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product liability claims and lawsuits.</w:t>
      </w:r>
    </w:p>
    <w:p>
      <w:pPr>
        <w:spacing w:after="0" w:line="13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Furthermore, the discovery of significant problems with another intravaginally administered or clindamycin-containing product perceived as comparable to XACIATO, could have an adverse impact on commercialization of XACIATO, including as a result of occurrence of the events described above. For example, XACIATO has not been studied in pregnant or breastfeeding women. Should increased risk of miscarriage or other adverse effects on maternal or fetal outcomes or breastfed infants be observed in future data from market surveillance or clinical trials of XACIATO or other clindamycin products, XACIATO’s commercial potential may be limited and we could become subject to product liability claims and lawsuits.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9" w:name="page90"/>
    <w:bookmarkEnd w:id="89"/>
    <w:p>
      <w:pPr>
        <w:jc w:val="both"/>
        <w:ind w:firstLine="509"/>
        <w:spacing w:after="0" w:line="271" w:lineRule="auto"/>
        <w:rPr>
          <w:sz w:val="20"/>
          <w:szCs w:val="20"/>
          <w:color w:val="auto"/>
        </w:rPr>
      </w:pPr>
      <w:r>
        <w:rPr>
          <w:rFonts w:ascii="Arial" w:cs="Arial" w:eastAsia="Arial" w:hAnsi="Arial"/>
          <w:sz w:val="14"/>
          <w:szCs w:val="14"/>
          <w:color w:val="auto"/>
        </w:rPr>
        <w:t>The occurrence of any of the circumstances described above could reduce XACIATO’s market acceptance and adversely affect sales of XACIATO in the U.S. and inhibit or delay its development, approval or commercialization outside of the U.S., which could, in turn, have a significant negative impact on potential payments to us under the traditional royalty purchase agreement we entered into with XOMA, as well as our stock price.</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suffer negative publicity concerning the safety or efficacy of XACIATO or the product candidates we develop, our reputation could be harmed, product sales could be adversely affected or we may be forced to cease or curtail product development efforts.</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If concerns should arise about the actual or anticipated clinical outcomes regarding the safety of any of our product candidates, or about adverse event reports on XACIATO, including as a result of safety concerns related to third-party products containing the same or similar active or excipient substances, such concerns could adversely affect the market’s perception of XACIATO and our product candidates. Negative publicity could be time consuming and expensive to address and could adversely affect potential opportunities with strategic partners or collaborators, lead to a decline in product sales, and negatively impact investor sentiment toward a product or product candidate or our company as a whole, which could lead to a decline in our stock price.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will remain subject to ongoing regulatory requirements even after obtaining regulatory approval for a product candidate.</w:t>
      </w:r>
    </w:p>
    <w:p>
      <w:pPr>
        <w:spacing w:after="0" w:line="9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Even if any of the product candidates we develop are approved by the FDA or a comparable regulatory authority outside of the U.S., as long as we are the holder of the product approval or manufacturer of record with the FDA or other regulatory authority, we will be subject to ongoing regulatory requirements with respect to manufacturing, labeling, packaging, storage, advertising, promotion, sampling, record -keeping, conduct of post-marketing clinical trials and submission of safety, efficacy and other post-approval information, including both federal and state requirements in the U.S. and requirements of comparable foreign regulatory authorities.</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manufacturers and manufacturers’ facilities are required to continuously comply with FDA and comparable foreign regulatory authority requirements, including ensuring quality control and manufacturing procedures conform to cGMP regulations and corresponding foreign regulatory manufacturing requirements. Accordingly, we and our contract manufacturers will be subject to continual review and inspections to assess compliance with cGMP and adherence to commitments made in our NDA or PMA submissions to the FDA.</w:t>
      </w:r>
    </w:p>
    <w:p>
      <w:pPr>
        <w:spacing w:after="0" w:line="5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Any marketing approvals we receive for our product candidates in the future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In addition, we will be required to report adverse reactions and production problems, if any, to the FDA and comparable foreign regulatory authorities (when products are approved in foreign markets). Any new legislation addressing drug safety issues could result in delays in product development or commercialization, or increased costs to assure compliance.</w:t>
      </w:r>
    </w:p>
    <w:p>
      <w:pPr>
        <w:spacing w:after="0" w:line="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a regulatory agency discovers previously unknown problems with a product, such as problems with the facility where the product is manufactured, or it disagrees with the promotion, marketing or labeling of a product, the regulatory agency may impose restrictions on that product or on us or our commercial collaborator, including requiring withdrawal of the product from the market. If we or our commercial collaborators are unable to comply with applicable regulatory requirements, a regulatory agency or enforcement authority may, among other things:</w:t>
      </w:r>
    </w:p>
    <w:p>
      <w:pPr>
        <w:spacing w:after="0" w:line="53" w:lineRule="exact"/>
        <w:rPr>
          <w:sz w:val="20"/>
          <w:szCs w:val="20"/>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 warning letters;</w:t>
      </w:r>
    </w:p>
    <w:p>
      <w:pPr>
        <w:spacing w:after="0" w:line="22"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impose civil or criminal penalties;</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suspend any of our ongoing clinical trials;</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refuse to approve pending applications or supplements to approved applications submitted by us;</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impose restrictions on our operations, including closing our contract manufacturers’ facilities; or</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require a product recall.</w:t>
      </w:r>
    </w:p>
    <w:p>
      <w:pPr>
        <w:spacing w:after="0" w:line="13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Any government investigation of alleged violations of law would require us and/or our commercial collaborators to expend significant time and resources in response and could generate adverse publicity. Any inability to comply with ongoing regulatory requirements may significantly and adversely affect our ability, or that of our collaborators, to develop and commercialize our products and the value of our business, and our operating results would be adversely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0" w:name="page91"/>
    <w:bookmarkEnd w:id="90"/>
    <w:p>
      <w:pPr>
        <w:jc w:val="both"/>
        <w:spacing w:after="0" w:line="299" w:lineRule="auto"/>
        <w:rPr>
          <w:sz w:val="20"/>
          <w:szCs w:val="20"/>
          <w:color w:val="auto"/>
        </w:rPr>
      </w:pPr>
      <w:r>
        <w:rPr>
          <w:rFonts w:ascii="Arial" w:cs="Arial" w:eastAsia="Arial" w:hAnsi="Arial"/>
          <w:sz w:val="14"/>
          <w:szCs w:val="14"/>
          <w:b w:val="1"/>
          <w:bCs w:val="1"/>
          <w:i w:val="1"/>
          <w:iCs w:val="1"/>
          <w:color w:val="auto"/>
        </w:rPr>
        <w:t>Failure to successfully obtain coverage and reimbursement for XACIATO and any future products in the United States, or the availability of coverage only at limited levels, would diminish our ability, or that of a commercial collaborator, to generate net product revenue or net sales.</w:t>
      </w:r>
    </w:p>
    <w:p>
      <w:pPr>
        <w:spacing w:after="0" w:line="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Coverage from government health care programs and private commercial health insurance companies is critical to the commercial success of XACIATO and any future products. Market acceptance and sales of XACIATO and any future products that we or a commercial collaborator may seek to commercialize will depend in part on the extent to which reimbursement for these products will be available from third-party payors. Third-party payors, such as government health care programs, private health insurers, managed health care providers, and other organizations, are increasingly challenging medical product prices and examining the medical necessity and cost-effectiveness of medical products, in addition to their safety and efficacy. If these third-party payors do not consider XACIATO or any future product to be medically necessary or cost-effective compared to other available therapies and medical products, they may not cover the product as a benefit under their plans or, even if they do, the level of payment may not be sufficient to allow us, or a commercial collaborator, to sell the product on a profitable basis. Coverage decisions can depend upon clinical and economic standards that disfavor new prescription medical products when more established or lower cost alternatives are already available or subsequently become available. Third-party payor coverage may not be available to patients for XACIATO or any future product. If third-party payors do not provide adequate coverage and reimbursement, health care providers may not prescribe our products or patients may ask their health care providers to prescribe competing products with more favorable reimbursement.</w:t>
      </w:r>
    </w:p>
    <w:p>
      <w:pPr>
        <w:spacing w:after="0" w:line="5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Significant uncertainty exists as to the reimbursement status for newly approved prescription medical products, including coverage and payment. There is no uniform policy requirement for coverage and reimbursement for prescription medical products among third-party payors in the U.S.; therefore, coverage and reimbursement for our products could differ significantly from payor to payor. In the U.S., the principal decisions about reimbursement for new medical products are typically made by the Centers for Medicare and Medicaid Services, or CMS, as CMS decides whether and to what extent a new medical product will be covered and reimbursed under Medicare. Third-party payors often rely upon Medicare coverage policy and payment limitations to a substantial degree in setting their own reimbursement policies, but they also have their own methods and approval process apart from Medicare coverage and reimbursement determinations. It is difficult to predict what CMS will decide with respect to reimbursement. Decisions regarding the extent of coverage and amount of reimbursement to be provided for XACIATO and any future products will be made on a payor-by-payor basis. Accordingly, one third-party payor’s determination to provide coverage for a product does not assure that other payors will also provide coverage and adequate reimbursement for the product. Moreover, reimbursement agencies in Europe may be more conservative than CMS, should XACIATO or any of our product candidates be approved for marketing in Europe.</w:t>
      </w:r>
    </w:p>
    <w:p>
      <w:pPr>
        <w:spacing w:after="0" w:line="6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to CMS and private payors, professional organizations can influence decisions about reimbursement for new medical products by determining standards of care. In addition, many private payors contract with commercial vendors who sell software that provides guidelines that attempt to limit utilization of, and therefore reimbursement for, certain products deemed to provide limited benefit as compared to existing alternatives. Such organizations may set guidelines that limit reimbursement or utilization of any of our commercialized products.</w:t>
      </w:r>
    </w:p>
    <w:p>
      <w:pPr>
        <w:spacing w:after="0" w:line="5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To secure coverage and reimbursement for XACIATO and any future product, we or a commercial collaborator may need to conduct expensive pharmacoeconomic studies in order to demonstrate the medical necessity and cost-effectiveness of the product to third-party payors, which costs would be in addition to those required to obtain FDA or other comparable regulatory approvals. A payor’s decision to provide coverage for a product does not imply that an adequate reimbursement rate will be approved. Managed care organizations and other private insurers frequently adopt their own payment or reimbursement reductions. Consolidation among managed care organizations has increased the negotiating power of these entities. Third-party payors increasingly employ formularies to control costs by negotiating discounted prices in exchange for formulary inclusion. Failure to obtain timely or adequate pricing or formulary placement for XACIATO or any future product, or obtaining such pricing or placement at unfavorable pricing levels, could materially adversely affect our business, financial conditions, results of operations and prospects. Moreover, eligibility for reimbursement does not imply that any product will be paid for in all cases or at a rate that covers our costs, or those of a commercial collaborator. Interim payments for new products, if applicable, also may not be sufficient to cover our costs, or those of a commercial collaborator,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w:t>
      </w:r>
    </w:p>
    <w:p>
      <w:pPr>
        <w:spacing w:after="0" w:line="6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Accordingly, the coverage determination process is often a time-consuming and costly process that will require us or our commercial collaborator to provide scientific and clinical support for the use of our products to each</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14"/>
          <w:szCs w:val="14"/>
          <w:color w:val="auto"/>
        </w:rPr>
        <w:t>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cost prohibitive for health care providers or their patients, or less profitable than alternative treatments or products, or if administrative burdens make our products less desirable to use. Our inability, or that of our commercial collaborator, to obtain coverage and profitable payment rates from both government-funded and private payors for XACIATO or any future product could have a material adverse effect on our operating results, our ability to raise capital needed to execute our business strategy and our overall financial condition.</w:t>
      </w:r>
    </w:p>
    <w:p>
      <w:pPr>
        <w:spacing w:after="0" w:line="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Failure by us or a commercial collaborator to obtain timely and adequate coverage and pricing for a product, or obtaining such coverage and pricing at unfavorable levels, could materially adversely affect our business, financial condition, results of operations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Legislation and legislative and regulatory proposals intended to contain health care costs may adversely affect our business.</w:t>
      </w:r>
    </w:p>
    <w:p>
      <w:pPr>
        <w:spacing w:after="0" w:line="155"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and prescription drugs. Individual states in the U.S.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The Biden Administration has also indicated that lowering prescription drug prices is a priority, and on August 16, 2022, President Biden signed into the law the Inflation Reduction Act of 2022, or the IRA. Among other things, the IRA has multiple provisions that may impact the prices of drug products that are both sold into the Medicare program and throughout the U.S. Starting in 2023,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the Centers for Medicare and Medicaid Services, or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 Further, in December 2023, the Biden Administration announced an initiative to control the price of prescription drugs through the use of march-in rights under the Bayh-Dole Act of 1980 (the "Bayh-Dole Act"), and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2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It is uncertain whether and how future legislation or regulatory changes could affect prospects for XACIATO 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or the ability of a commercial collaborator, to commercialize any future products as well as our ability to generate revenue and attain profitability.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i w:val="1"/>
          <w:iCs w:val="1"/>
          <w:color w:val="auto"/>
        </w:rPr>
        <w:t>Even seemingly small copayments or other cost-sharing requirements could dramatically reduce the market potential for XACIATO and our product candidates.</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If the out-of-pocket costs for XACIATO or any of our product candidates, if approved for commercial sale, are deemed by women to be unaffordable, or if less expensive alternatives exist, a commercial market may never develop or the market potential for that product may be significantly reduced, which could have a material adverse effect on our business, financial condition, and prospects.</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With regard to contraceptive products, the ACA and subsequent regulations enacted by DHHS, require health plans to provide coverage for women’s preventive care, including all forms of FDA-cleared or approved contraception, without imposing any cost sharing on the plan beneficiary. These regulations ensure that women in the U.S. who wish to use an approved form of contraception may request it from their doctors and their health insurance plan must cover all costs associated with such contraceptive products. In January and July of 2022, the DHHS, Department of Labor, and Treasury Department jointly issued guidance on implementation of this ACA mandate, among other things. The federal guidance makes clear that all FDA-approved or cleared contraceptive products that are determined by an individual’s medical provider to be medically appropriate for such individual must be covered without cost sharing, regardless of whether the product is specifically identified in a Birth Control Guide published by the FDA. Any future repeal or elimination of the ACA’s preventive care coverage rules would mean that women seeking to use prescribed forms of contraceptives may have to pay some portion of the cost for such products out-of-pocket, which could deter some women from using prescription contraceptive products or branded prescription contraceptive products, including Ovaprene and our other investigational contraceptive products, if and when approved by the FDA.</w:t>
      </w:r>
    </w:p>
    <w:p>
      <w:pPr>
        <w:spacing w:after="0" w:line="12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As no FDA-approved treatments for FSAD currently exist, there is little precedent to help assess whether health insurance plans will cover Sildenafil Cream, if approved for commercial sale.</w:t>
      </w:r>
    </w:p>
    <w:p>
      <w:pPr>
        <w:spacing w:after="0" w:line="2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Sildenafil Cream is being developed for female sexual arousal disorder, a life altering, but not a life threatening, condition. Hence, there is no assurance that third-party reimbursement will be available for Sildenafil Cream, if approved for commercial sale. Even if reimbursement becomes available, the amount of such reimbursement may not make our product affordable to women and profitable to us. Insurers may deem Sildenafil Cream to be a lifestyle drug and decide not to provide reimbursement. Today, many health insurance plans provide reimbursement for male sexual arousal medications. However, we cannot predict whether they will continue to do so or whether they will do so for FSAD treatments as well. The safety and efficacy data from our clinical trials may impact whether Sildenafil Cream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fails to obtain insurance coverage, or if the patient’s share of the cost is deemed to be expensive, a market may never develop for Sildenafil Cream, which would have a material adverse effect on our financial condition and prospects.</w:t>
      </w:r>
    </w:p>
    <w:p>
      <w:pPr>
        <w:spacing w:after="0" w:line="1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commercial success of products we develop, if approved for commercial sale, will be impacted by the prescribing information approved by the FDA and comparable regulatory authorities outside the U.S.</w:t>
      </w:r>
    </w:p>
    <w:p>
      <w:pPr>
        <w:spacing w:after="0" w:line="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commercial success of any products we develop will significantly depend upon our ability, or that of our commercial collaborator, to obtain approval from the FDA and other regulatory authorities of prescribing information for the product that adequately describes expected features or benefits. Failure to achieve such approval will prevent or substantially limit our or our collaborators’ ability to advertise and promote such features and benefits in order to differentiate our products from competing products. This failure could have a material adverse effect on our business, financial condition, results of operations and prospects.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Manufacturing disruptions could cause significant delays and disruption in the commercial launch and/or supply shortages of any product we develop.</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manufacture of drug products and drug/device combination products can be complex and is subject to compliance with extensive regulatory requirements and we are dependent on, and expect to continue to rely on, contract manufacturers and other third parties to supply our products and their components. Manufacturing disruptions may occur, including as a result of scaling up production to meet commercial requirements or due to global supply chain disruptions. Such problems may prevent the production of lots that meet the specifications required for sale of a product and may be difficult and expensive to resolve. To the extent we or our commercial collaborators rely on single source contract manufacturers and suppliers, if disruptions occur in the operations of any one of those third parties, there may be immediate shortages of our products. If any such issues were to arise, we could lose sales and associated revenue, incur additional costs, delay commercial launch of new products or suffer harm to our reputation.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93" w:name="page94"/>
    <w:bookmarkEnd w:id="93"/>
    <w:p>
      <w:pPr>
        <w:jc w:val="both"/>
        <w:ind w:firstLine="509"/>
        <w:spacing w:after="0" w:line="257" w:lineRule="auto"/>
        <w:rPr>
          <w:sz w:val="20"/>
          <w:szCs w:val="20"/>
          <w:color w:val="auto"/>
        </w:rPr>
      </w:pPr>
      <w:r>
        <w:rPr>
          <w:rFonts w:ascii="Arial" w:cs="Arial" w:eastAsia="Arial" w:hAnsi="Arial"/>
          <w:sz w:val="14"/>
          <w:szCs w:val="14"/>
          <w:color w:val="auto"/>
        </w:rPr>
        <w:t>See above: “Risks Related to Product Research &amp; Development and Regulatory Approval- 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“Risks Related to Our Dependence on Third Parties- We do not have, and we do not have plans to establish, our own manufacturing capabilities and instead rely on third-party suppliers and manufacturers for clinical study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“Risks Related to Our Dependence on Third Parties- 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increase the risk of manufacturing disruptions, and result in higher development costs or costs of goods sold.”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competitors obtain approval for generic versions of our products, our business may suffer.</w:t>
      </w:r>
    </w:p>
    <w:p>
      <w:pPr>
        <w:spacing w:after="0" w:line="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XACIATO and any future product we develop may face direct competition from generic products earlier or more aggressively than anticipated, depending upon the product's success in the market. In addition to creating the 505(b)(2) NDA pathway, the Hatch-Waxman Act amendments to the FDCA authorized the FDA to approve generic drugs that are the same as drugs previously approved for marketing under the NDA provisions of the statute pursuant to abbreviated new drug applications, or ANDAs. An ANDA relies on the nonclinical and clinical testing conducted for a previously approved reference listed drug, or RLD, and must demonstrate to the FDA that the generic drug product is identical to the RLD with respect to the active ingredients, the route of administration, the dosage form, and the strength of the drug and also that it is “bioequivalent” to the RLD. The FDA is prohibited by statute from approving an ANDA when certain marketing or data exclusivity protections apply to the RLD. If a third party is able to demonstrate bioequivalence without infringing our patents or if a data exclusivity period granted to a product under the FDCA is successfully challenged, a third party may be able to introduce a competing generic product onto the market before the expiration of the applicable patents or exclusivity period under the FDCA. Reduction or loss of periods of market exclusivity for our products could negatively affect our business, operating results and financial condition.</w:t>
      </w:r>
    </w:p>
    <w:p>
      <w:pPr>
        <w:spacing w:after="0" w:line="12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will need to obtain FDA approval of any proposed prescription medical product name, and any failure or delay associated with such approval may adversely affect our business.</w:t>
      </w:r>
    </w:p>
    <w:p>
      <w:pPr>
        <w:spacing w:after="0" w:line="2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Any name we intend to use for our current or future product candidates will require approval from the FDA regardless of whether we have secured a formal trademark registration from the U.S. Patent and Trademark Office, or USPTO. The FDA typically conducts a review of proposed new prescription medical product names, including an evaluation of the potential for confusion with other product names. The FDA may also object to a proposed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such as Ovaprene, as well as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or a commercial collaborator may be unable to build a successful brand identity for a new trademark in a timely manner or at all, which would limit our or our collaborator’s ability to commercialize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marketing approval from the FDA, we may fail to receive similar approvals outside the U.S., which could substantially limit the value of our products.</w:t>
      </w:r>
    </w:p>
    <w:p>
      <w:pPr>
        <w:spacing w:after="0" w:line="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To market any product outside the U.S., we, or our commercial collaborators, must obtain separate marketing approvals from comparable regulatory authorities for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U.S., as well as other risks. Further, for approval in foreign jurisdictions, we may not have rights to reference the necessary clinical and nonclinical data that we do not own or have licensed rights to use, as we anticipate doing under the 505(b)(2) regulatory pathway in the U.S., and we, or our commercial collaborator, may have to conduct further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4" w:name="page95"/>
    <w:bookmarkEnd w:id="94"/>
    <w:p>
      <w:pPr>
        <w:jc w:val="both"/>
        <w:spacing w:after="0" w:line="271" w:lineRule="auto"/>
        <w:rPr>
          <w:sz w:val="20"/>
          <w:szCs w:val="20"/>
          <w:color w:val="auto"/>
        </w:rPr>
      </w:pPr>
      <w:r>
        <w:rPr>
          <w:rFonts w:ascii="Arial" w:cs="Arial" w:eastAsia="Arial" w:hAnsi="Arial"/>
          <w:sz w:val="14"/>
          <w:szCs w:val="14"/>
          <w:color w:val="auto"/>
        </w:rPr>
        <w:t>nonclinical studies or clinical trials or develop other additional data to seek approvals in other jurisdictions. In addition, in many countries outside the U.S., a new product must receive pricing and reimbursement approval prior to commercialization. This can result in substantial delays in these countries. Additionally, the product labeling requirements outside the U.S. may be different and inconsistent with the U.S. labeling requirements, negatively affecting our ability to market our products in countries outside the U.S.</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we may be subject to fines, suspension or withdrawal of marketing approvals, product recalls, seizure of products, operating restrictions and criminal prosecution if we, or our commercial collaborator, fail to comply with applicable foreign regulatory requirements. In such an event, our ability, or our commercial collaborator’s ability, to market to the full target market for our products will be reduced and the full market potential of our products may not be realized, which could have a material adverse effect on our business, financial condition, results of operations and prospects.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Section 503B Compounding</w:t>
      </w:r>
    </w:p>
    <w:p>
      <w:pPr>
        <w:spacing w:after="0" w:line="1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plan to generate revenue from sales of our proprietary Sildenafil Cream formulation produced by Section 503B-registered outsourcing facilities, but we have no experience in this line of business and may not be successful in our efforts.</w:t>
      </w:r>
    </w:p>
    <w:p>
      <w:pPr>
        <w:spacing w:after="0" w:line="2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One aspect of our business strategy is to enter into licensing arrangements with outsourcing facilities through which we can generate revenue from sales of our proprietary Sildenafil Cream formulation produced by those outsourcing facilities under Section 503B. We have no experience in the compounded drugs market and we have never entered into arrangements with outsourcing facilities. We will be required to successfully identify and enter into satisfactory arrangements with one or more outsourcing facilities, and no assurances can be given that we will be successful in doing so on commercially reasonable terms or at all. Even if we are successful in this regard, we may not generate sufficient revenue to recover our costs. Establishing such arrangements could be expensive and time consuming, disrupt our other operations, require significant capital expenditures and distract management and our other employees from other aspects of our business.</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will be reliant on Section 503B-registered outsourcing facilities to produce our proprietary Sildenafil Cream formulation, and their failure to adequately perform their obligations could harm our reputation, business and financial condition.</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If we are able to enter into arrangements with one or more outsourcing facilities, we will be reliant on them to compound and distribute our proprietary Sildenafil Cream formulation and to comply with applicable statutory and regulatory requirements, including FDA's cGMP regulations and related FDA guidance for drugs compounded at outsourcing facilities. We will also be reliant on suppliers that supply sildenafil citrate to the outsourcing facilities. We will not control or direct the compounding or distribution process used by these parties, and we will have no control over their ability to maintain adequate quality control, quality assurance and qualified personnel. These arrangements also involve other risks, including:</w:t>
      </w:r>
    </w:p>
    <w:p>
      <w:pPr>
        <w:spacing w:after="0" w:line="55" w:lineRule="exact"/>
        <w:rPr>
          <w:sz w:val="20"/>
          <w:szCs w:val="20"/>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inability of third parties to consistently meet product specifications and quality requirements;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delay or inability to procure or expand sufficient manufacturing capacity;</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issues related to scale-up of manufacturing;</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costs and validation of new equipment and facilities required for scale-up;</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third parties may not be able to appropriately execute necessary manufacturing procedures and other logistical support requirements;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third parties may fail to comply with cGMP requirements and other FDA or other comparable regulatory requirements;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breach, termination or non-renewal of agreements in a manner or at a time that is costly or damaging to us;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inability to procure or maintain state licenses in those states into which our proprietary Sildenafil Cream formulations are shipped;</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third parties may not devote sufficient resources to our needs;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operations of third parties could be disrupted by conditions unrelated to our business or operations; and</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logistics carrier disruptions or increased costs that are beyond our control.</w:t>
      </w:r>
    </w:p>
    <w:p>
      <w:pPr>
        <w:spacing w:after="0" w:line="51"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Adverse developments affecting the supply of sildenafil citrate or the compounding or distribution operations of parties involved in the compounding and distribution of our proprietary Sildenafil Cream formulation may result in lot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5" w:name="page96"/>
    <w:bookmarkEnd w:id="95"/>
    <w:p>
      <w:pPr>
        <w:jc w:val="both"/>
        <w:spacing w:after="0" w:line="290" w:lineRule="auto"/>
        <w:rPr>
          <w:sz w:val="20"/>
          <w:szCs w:val="20"/>
          <w:color w:val="auto"/>
        </w:rPr>
      </w:pPr>
      <w:r>
        <w:rPr>
          <w:rFonts w:ascii="Arial" w:cs="Arial" w:eastAsia="Arial" w:hAnsi="Arial"/>
          <w:sz w:val="14"/>
          <w:szCs w:val="14"/>
          <w:color w:val="auto"/>
        </w:rPr>
        <w:t>failures, inventory shortages, shipment delays, product withdrawals or recalls or other interruptions in the availability of our proprietary Sildenafil Cream formulation. We may also have to undertake costly remediation efforts, or seek more costly supply, compounding and distribution alternatives.</w:t>
      </w:r>
    </w:p>
    <w:p>
      <w:pPr>
        <w:spacing w:after="0" w:line="3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Some of these events could be the basis for FDA action, including injunction, request for recall, seizure, total or partial suspension of production, or issuance of a Form 483 or Warning Letter.</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plan to bring our proprietary Sildenafil Cream formulation to market under Section 503B will subject us to a variety of new regulations and related potential liability.</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plan to enter into arrangements with one or more outsourcing facility(ies) to produce and distribute our proprietary Sildenafil Cream formulation under Section 503B. An outsourcing facility must meet certain conditions under Section 503B, including registering with the FDA, operating in compliance with the FDA’s cGMP regulations and guidance, and is subject to FDA inspection. Outsourcing facilities have been subject to increased scrutiny of their compounding activities by the FDA and state governmental agencies. Governmental inquiries or actions or litigation brought against us or any of our suppliers or outsourcing facilities relating to our proprietary Sildenafil Cream formulation, whether or not such inquiry, action or litigation ultimately results in penalties, changes to our business practices or other consequences, could have an adverse effect on our reputation, business and financial condition.</w:t>
      </w:r>
    </w:p>
    <w:p>
      <w:pPr>
        <w:spacing w:after="0" w:line="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or any outsourcing facility with which we have a business relationship may also face allegations, litigation, and regulatory investigations under federal or state laws related to the promotion, advertising, fulfillment, distribution, and/or sale of our proprietary Sildenafil Cream formulation under Section 503B. Litigation and regulatory proceedings, and particularly the healthcare, pharmaceutical-related, consumer protection, data privacy and/or class action matters we could face, may be protracted and expensive, and the results are difficult to predict. Such litigation or regulatory proceedings and investigations, unexpected side effects or safety or efficacy concerns with our proprietary Sildenafil Cream formulation or related negative publicity could have an adverse effect on our reputation, business and financial condition.</w:t>
      </w:r>
    </w:p>
    <w:p>
      <w:pPr>
        <w:spacing w:after="0" w:line="12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Achieving and maintaining market acceptance of our proprietary Sildenafil Cream formulation produced and distributed under Section 503B could be negatively impacted by perceived risks associated with compounded drugs.</w:t>
      </w:r>
    </w:p>
    <w:p>
      <w:pPr>
        <w:spacing w:after="0" w:line="2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Compounded drugs are not FDA-approved products; lawfully compounded drugs are specifically exempt from FDA approval pursuant to Section 503B(a). Some physicians may be hesitant to prescribe, and some patients may be hesitant to purchase and use, a compounded drug for a variety of reasons, including because it is not required to be, and has not been, approved for marketing and sale by the FDA. In addition, certain outsourcing facilities have experienced both facility and product quality issues and been the subject of negative media coverage and litigation, and the actions of these facilities have resulted in increased scrutiny of compounding activities. Our ability to generate revenue from sales of our proprietary Sildenafil Cream formulation produced and distributed under Section 503B will be adversely impacted if we are unable to achieve and maintain market acceptance for it.</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Sildenafil citrate must remain on the list of bulk substances that may be used in compounding under Section 503B, and if it were to be removed, we would be unable to offer our proprietary Sildenafil Cream formulation under Section 503B.</w:t>
      </w:r>
    </w:p>
    <w:p>
      <w:pPr>
        <w:spacing w:after="0" w:line="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Sildenafil citrate is currently listed among those nominated substances for which bulk drug substance may be used in compounding by Section 503B-registered outsourcing facilities; the so-called "Category 1" list pending FDA’s evaluation. However, we have no control over whether sildenafil citrate will remain on the list of bulk drug substance that may be used in compounding by outsourcing facilities or for how long. If sildenafil citrate is removed from the list, we would be unable to offer our proprietary Sildenafil Cream formulation via a Section 503B-registered outsourcing facility, and it could harm our reputation, business and financial condition.</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a third party could request that the FDA remove sildenafil citrate from the list of bulk substances that may be used in compounding by Section 503B-registered outsourcing facilities. If removed from such list, outsourcing facilities would be prohibited from producing any compounded drug that includes sildenafil citrate, including our proprietary Sildenafil Cream formulation. For information regarding how the FDA intends to evaluate whether there exists a clinical need for compounding with a bulk drug substance, see "Regulation of Compounded Drugs," below.</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a compounded drug formulation provided by an outsourcing facility leads to patient injury or death, or results in a product recall, we may be exposed to significant liability and reputational harm.</w:t>
      </w:r>
    </w:p>
    <w:p>
      <w:pPr>
        <w:spacing w:after="0" w:line="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success of our proprietary Sildenafil Cream formulation produced and distributed under Section 503B will depend to a significant extent upon perceptions of product quality. We could be adversely affected if the formulation is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6" w:name="page97"/>
    <w:bookmarkEnd w:id="96"/>
    <w:p>
      <w:pPr>
        <w:jc w:val="both"/>
        <w:spacing w:after="0" w:line="258" w:lineRule="auto"/>
        <w:rPr>
          <w:sz w:val="20"/>
          <w:szCs w:val="20"/>
          <w:color w:val="auto"/>
        </w:rPr>
      </w:pPr>
      <w:r>
        <w:rPr>
          <w:rFonts w:ascii="Arial" w:cs="Arial" w:eastAsia="Arial" w:hAnsi="Arial"/>
          <w:sz w:val="14"/>
          <w:szCs w:val="14"/>
          <w:color w:val="auto"/>
        </w:rPr>
        <w:t>subject to negative publicity. We could also be adversely affected if it or similar products sold by other companies, or any products sold by outsourcing facilities that produce our proprietary Sildenafil Cream formulation, prove to be, or are alleged or asserted to be, harmful to patients. There are a number of factors that could result in the injury or death of a patient who takes a compounded drug, including quality issues, manufacturing or labeling flaws, improper packaging or unanticipated or improper distribution or other uses of the compounded drug, any of which could result from human or other error. Any of these situations could lead to a recall of, or safety alert relating to, the compounded drug. Similarly, to the extent any of the ingredients used to produce a compounded drug have quality or other problems that adversely affect the finished compounded drug, its sales could be adversely affected. Because of our dependence upon perceptions of prescribing physicians and their patients, any adverse publicity associated with illness or other adverse effects resulting from the use or misuse of our proprietary Sildenafil Cream formulation produced and distributed under Section 503B, any similar product sold by other companies, or related to compounded formulations generally, could have a material adverse impact on our reputation, business,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Employee Matters and Managing Our Growth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relatively small number of employees to manage and operate our business.</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March 28, 2025, we had 23 employees, of which 21 were full-time and two were part-time. Our focus on controlling our cash utilization requires us to manage and operate our business in a highly efficient manner, relying on consultants and other third-party service providers for product development and operational expertise we require, and to limit full-time personnel resources. With a small number of employees, our ability to supervise the service providers we engage, including our CMOs and CROs,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spacing w:after="0" w:line="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addition, due to our small workforce, if multiple employees were to become unable to work for a protracted period for any reason, or if they were to resign at roughly the same time, our business could suffer. Our ability to effectively manage and operate our business could become significantly impaired and our expenses could increase materially, including as a result of expenditures related to recruiting, hiring and training qualified new employees and engaging additional consultants and service providers to perform the job responsibilities of the employees on leave or who resign. If we or our collaborators or service providers experience staffing shortages, it may result in significant delays in our anticipated development program timelines.</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attract and retain management and other key personnel, we may not successfully complete development of, obtain regulatory approval for or commercialize our product candidates, or otherwise implement our business plan.</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ability to compete in the highly competitive biopharmaceutical industry depends upon our ability to attract and retain highly qualified managerial and key personnel. We depend highly on our senior management. Losing the services of our senior management, and our chief executive officer in particular, could impede, delay or prevent the development and commercialization of our product candidates, harm our ability to raise additional funds and negatively impact our ability to implement our business plan. If we lose the services of any of our senior management team, we might not find suitable replacements on a timely basis or at all, and our business could be materially harmed. We do not maintain “key man” insurance policies on the lives of any of our senior management employees.</w:t>
      </w:r>
    </w:p>
    <w:p>
      <w:pPr>
        <w:spacing w:after="0" w:line="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might not attract or retain qualified management and other key personnel in the future due to the intense competition for qualified personnel among biopharmaceutical companies and other life sciences R&amp;D organizations,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Many of the other companies with whom we compete for qualified personnel have greater financial and other resources, different risk profiles and longer histories in the industry than we do. They also may provide more diverse opportunities and better opportunities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New legal precedent, laws and regulations and increased levels of lawsuits by public company stockholders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i w:val="1"/>
          <w:iCs w:val="1"/>
          <w:color w:val="auto"/>
        </w:rPr>
        <w:t>We may not be successful in our efforts to identify and acquire or in-license additional product candidates or technologies, which may limit our growth potential.</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Our business development strategy involves identifying and acquiring or in-licensing potential product candidates or technologies. We assembled our current portfolio of product candidates through the acquisition of companies and assets and in-licensing transactions beginning in 2017. We may engage in strategic transactions that could cause us to incur additional liabilities, commitments or significant expense.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efforts may not be successful, including for reasons discussed in elsewhere in this Risk Factors section and also:</w:t>
      </w:r>
    </w:p>
    <w:p>
      <w:pPr>
        <w:spacing w:after="0" w:line="116" w:lineRule="exact"/>
        <w:rPr>
          <w:sz w:val="20"/>
          <w:szCs w:val="20"/>
          <w:color w:val="auto"/>
        </w:rPr>
      </w:pPr>
    </w:p>
    <w:p>
      <w:pPr>
        <w:ind w:left="760" w:hanging="24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4"/>
          <w:szCs w:val="14"/>
          <w:color w:val="auto"/>
        </w:rPr>
        <w:t>we may fail to appropriately evaluate the potential risks and uncertainties associated with a transaction;</w:t>
      </w:r>
    </w:p>
    <w:p>
      <w:pPr>
        <w:spacing w:after="0" w:line="58" w:lineRule="exact"/>
        <w:rPr>
          <w:rFonts w:ascii="Arial" w:cs="Arial" w:eastAsia="Arial" w:hAnsi="Arial"/>
          <w:sz w:val="17"/>
          <w:szCs w:val="17"/>
          <w:color w:val="auto"/>
        </w:rPr>
      </w:pPr>
    </w:p>
    <w:p>
      <w:pPr>
        <w:ind w:left="760" w:hanging="246"/>
        <w:spacing w:after="0" w:line="254" w:lineRule="auto"/>
        <w:tabs>
          <w:tab w:leader="none" w:pos="756" w:val="left"/>
        </w:tabs>
        <w:numPr>
          <w:ilvl w:val="0"/>
          <w:numId w:val="39"/>
        </w:numPr>
        <w:rPr>
          <w:rFonts w:ascii="Arial" w:cs="Arial" w:eastAsia="Arial" w:hAnsi="Arial"/>
          <w:sz w:val="17"/>
          <w:szCs w:val="17"/>
          <w:color w:val="auto"/>
        </w:rPr>
      </w:pPr>
      <w:r>
        <w:rPr>
          <w:rFonts w:ascii="Arial" w:cs="Arial" w:eastAsia="Arial" w:hAnsi="Arial"/>
          <w:sz w:val="14"/>
          <w:szCs w:val="14"/>
          <w:color w:val="auto"/>
        </w:rPr>
        <w:t>there may be intense competition to acquire or in-license promising product candidates and technologies and many of our competitors have considerably more financial, development and commercialization resources than we have;</w:t>
      </w:r>
    </w:p>
    <w:p>
      <w:pPr>
        <w:spacing w:after="0" w:line="37" w:lineRule="exact"/>
        <w:rPr>
          <w:rFonts w:ascii="Arial" w:cs="Arial" w:eastAsia="Arial" w:hAnsi="Arial"/>
          <w:sz w:val="17"/>
          <w:szCs w:val="17"/>
          <w:color w:val="auto"/>
        </w:rPr>
      </w:pPr>
    </w:p>
    <w:p>
      <w:pPr>
        <w:ind w:left="760" w:hanging="24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4"/>
          <w:szCs w:val="14"/>
          <w:color w:val="auto"/>
        </w:rPr>
        <w:t>we may not effectively integrate the acquired or in-licensed assets, businesses, personnel, intellectual property or business relationships;</w:t>
      </w:r>
    </w:p>
    <w:p>
      <w:pPr>
        <w:spacing w:after="0" w:line="58" w:lineRule="exact"/>
        <w:rPr>
          <w:rFonts w:ascii="Arial" w:cs="Arial" w:eastAsia="Arial" w:hAnsi="Arial"/>
          <w:sz w:val="17"/>
          <w:szCs w:val="17"/>
          <w:color w:val="auto"/>
        </w:rPr>
      </w:pPr>
    </w:p>
    <w:p>
      <w:pPr>
        <w:ind w:left="760" w:right="400" w:hanging="246"/>
        <w:spacing w:after="0" w:line="239" w:lineRule="auto"/>
        <w:tabs>
          <w:tab w:leader="none" w:pos="756" w:val="left"/>
        </w:tabs>
        <w:numPr>
          <w:ilvl w:val="0"/>
          <w:numId w:val="39"/>
        </w:numPr>
        <w:rPr>
          <w:rFonts w:ascii="Arial" w:cs="Arial" w:eastAsia="Arial" w:hAnsi="Arial"/>
          <w:sz w:val="17"/>
          <w:szCs w:val="17"/>
          <w:color w:val="auto"/>
        </w:rPr>
      </w:pPr>
      <w:r>
        <w:rPr>
          <w:rFonts w:ascii="Arial" w:cs="Arial" w:eastAsia="Arial" w:hAnsi="Arial"/>
          <w:sz w:val="14"/>
          <w:szCs w:val="14"/>
          <w:color w:val="auto"/>
        </w:rPr>
        <w:t>we may underestimate the development and regulatory approval challenges, costs and timelines and overestimate the market opportunity for the potential product candidates and technologies; and</w:t>
      </w:r>
    </w:p>
    <w:p>
      <w:pPr>
        <w:spacing w:after="0" w:line="49" w:lineRule="exact"/>
        <w:rPr>
          <w:rFonts w:ascii="Arial" w:cs="Arial" w:eastAsia="Arial" w:hAnsi="Arial"/>
          <w:sz w:val="17"/>
          <w:szCs w:val="17"/>
          <w:color w:val="auto"/>
        </w:rPr>
      </w:pPr>
    </w:p>
    <w:p>
      <w:pPr>
        <w:ind w:left="760" w:hanging="24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4"/>
          <w:szCs w:val="14"/>
          <w:color w:val="auto"/>
        </w:rPr>
        <w:t>during development, the acquired or in-licensed product candidates may not prove to be safe or effective in their targeted indications.</w:t>
      </w:r>
    </w:p>
    <w:p>
      <w:pPr>
        <w:spacing w:after="0" w:line="13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may fail to realize the anticipated value of any strategic transaction and the costs of a transaction may outweigh the benefits we realize from it. In addition, we have used shares of our common stock as consideration in strategic transactions and we may do so in the future, which may result in significant dilution to our stockholders. Any strategic transaction we pursue may not produce the outcomes and benefits we originally anticipated and may adversely impact our operating results and financial condition and be detrimental to our company in general.</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Intellectual Property</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If we and our licensors are unable to obtain and maintain sufficient intellectual property protection, competitors could develop and commercialize or make available products similar or identical to ours, which could significantly limit the commercial potential of our products and product candidates and materially harm our business, financial condition, results of operations, and prospects.</w:t>
      </w:r>
    </w:p>
    <w:p>
      <w:pPr>
        <w:spacing w:after="0" w:line="3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Our success depends in part on our ability, and the ability of our licensors, to obtain, maintain, enforce, and defend patent rights, proprietary know-how, and trademarks of sufficient scope in the U.S. and other countries with respect to our products, product candidates and proprietary technologies. If we are unable to obtain, maintain, enforce and defend sufficient intellectual property protection, our business, financial condition, results of operations and prospects could be materially harmed.</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depend heavily on patent rights and other intellectual property in-licensed to us from third parties to protect most of the products and technologies we develop. For some such rights, our third-party licensors control patent strategy and prosecution and we have little, if any, influence or control over such patent strategy and prosecution, and our licensors may not always act in our best interest.</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spacing w:after="0" w:line="5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98" w:name="page99"/>
    <w:bookmarkEnd w:id="98"/>
    <w:p>
      <w:pPr>
        <w:jc w:val="both"/>
        <w:spacing w:after="0" w:line="290" w:lineRule="auto"/>
        <w:rPr>
          <w:sz w:val="20"/>
          <w:szCs w:val="20"/>
          <w:color w:val="auto"/>
        </w:rPr>
      </w:pPr>
      <w:r>
        <w:rPr>
          <w:rFonts w:ascii="Arial" w:cs="Arial" w:eastAsia="Arial" w:hAnsi="Arial"/>
          <w:sz w:val="14"/>
          <w:szCs w:val="14"/>
          <w:color w:val="auto"/>
        </w:rPr>
        <w:t>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3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cannot be certain if any of the patents that cover our product candidates will be eligible to be listed in the Orange Book following a drug product marketing approval.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applicant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 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Other companies or individuals may independently develop similar or alternative technologies or duplicate our technologies. This could enable our competitors to develop a competing product that avoids infringing our patents. In such an event, our competitors might be able to enter the market, which could significantly harm the commercial opportunity for our product candidates.</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products and product candidates are covered by valid and enforceable patents or are effectively maintained as trade secrets.</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As an example, the complexity and uncertainty of European laws have increased in recent years. In Europe, a new unitary patent system was launched on June 1, 2023, which significantly impacted European patents, including those granted before the introduction of such a system. Under the unitary patent system, European applications now have the option, upon grant of a patent, of becoming a Unitary Patent which are subject to the jurisdiction of the Unitary Patent Court (UPC). As the UPC is a new court system, there is no precedent for the court, increasing the uncertainty of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3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There is a substantial backlog of patent applications at the USPTO that may lead to delays in having patent applications examined by the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enforcement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99" w:name="page100"/>
    <w:bookmarkEnd w:id="99"/>
    <w:p>
      <w:pPr>
        <w:jc w:val="both"/>
        <w:spacing w:after="0" w:line="265" w:lineRule="auto"/>
        <w:rPr>
          <w:sz w:val="20"/>
          <w:szCs w:val="20"/>
          <w:color w:val="auto"/>
        </w:rPr>
      </w:pPr>
      <w:r>
        <w:rPr>
          <w:rFonts w:ascii="Arial" w:cs="Arial" w:eastAsia="Arial" w:hAnsi="Arial"/>
          <w:sz w:val="14"/>
          <w:szCs w:val="14"/>
          <w:color w:val="auto"/>
        </w:rPr>
        <w:t>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U.S. and enforcing our intellectual property rights against such persons may be difficult or not possible.</w:t>
      </w:r>
    </w:p>
    <w:p>
      <w:pPr>
        <w:spacing w:after="0" w:line="5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U.S. or foreign jurisdictions, our business prospects could be substantially harmed.</w:t>
      </w:r>
    </w:p>
    <w:p>
      <w:pPr>
        <w:spacing w:after="0" w:line="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Most of the products we are developing utilize active pharmaceutical ingredients that are not proprietary to us or our licensors and the patents and patent applications owned by us and our licensors intended to protect our products and product candidates relate to specific formulations, processes, methods of delivery, and/or uses, which may not afford sufficient protection against competitors.</w:t>
      </w:r>
    </w:p>
    <w:p>
      <w:pPr>
        <w:spacing w:after="0" w:line="3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APIs in XACIATO, Sildenafil Cream, DARE-HRT1, DARE-VVA1, DARE-HPV, and other products we are developing are not proprietary to us or our licensors. There are generic drugs available with the same APIs. The patent protection we and our licensors may obtain and maintain for such product candidates are limited to specific formulations, processes, methods of delivery, and/or uses, which may not afford us sufficient protection against competitors. For example, competitors could offer products with the same API as our products in a different formulation or delivery system or for an indication that is outside the scope of our patented formulation, system or use. The commercial opportunity for our products could be significantly harmed if competitors are able to develop or make available alternative formulations with the same APIs or better delivery approaches compared with the products we develop.</w:t>
      </w:r>
    </w:p>
    <w:p>
      <w:pPr>
        <w:spacing w:after="0" w:line="12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11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 or other intellectual property rights against a challenge. Our rights to enforce and defend patents we in-license depend upon the terms of our agreements with our third-party licensors, and in some cases, our licensors have the right to control patent enforcement litigation and defense against patent infringement litigation, and we have indemnification obligations for certain losses arising from third-party claims. We also have indemnification obligations under our out-license agreements for XACIATO and Ovaprene, which could subject us to significant liabilities that may have a material adverse effect on our business, results of operations and financial condition. Our rights to indemnification by our licensors and licensees may not be adequate to compensate us for losses or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0" w:name="page101"/>
    <w:bookmarkEnd w:id="100"/>
    <w:p>
      <w:pPr>
        <w:jc w:val="both"/>
        <w:spacing w:after="0" w:line="290" w:lineRule="auto"/>
        <w:rPr>
          <w:sz w:val="20"/>
          <w:szCs w:val="20"/>
          <w:color w:val="auto"/>
        </w:rPr>
      </w:pPr>
      <w:r>
        <w:rPr>
          <w:rFonts w:ascii="Arial" w:cs="Arial" w:eastAsia="Arial" w:hAnsi="Arial"/>
          <w:sz w:val="14"/>
          <w:szCs w:val="14"/>
          <w:color w:val="auto"/>
        </w:rPr>
        <w:t>potential loss of our ability to manufacture and sell products. If we were unsuccessful in enforcing and protecting our intellectual property rights and protecting our products, it could materially harm our business.</w:t>
      </w:r>
    </w:p>
    <w:p>
      <w:pPr>
        <w:spacing w:after="0" w:line="8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cannot guarantee that we or any of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Europe and elsewhere that is relevant to or necessary for the commercialization of our product candidates in any jurisdiction. For example, in the U.S., applications filed before November 29, 2000 and certain applications filed after that date that will not be filed outside the U.S. remain confidential until patents issue. Patent applications in the U.S., EU and elsewhere are published approximately 18 months after the earliest filing for which priority is claimed, with such earliest filing date being commonly referred to as the priority date. Therefore, patent applications covering our future product candidates, or their manufacture or use may currently be unpublished.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or our licensors’ interpretation of the relevance or the scope of a patent or a pending application may be incorrect, which may negatively impact our ability to market our product candidates. We or our licensors may incorrectly determine that our product candidates are not covered by a third-party patent or may incorrectly predict whether a third party’s pending application will issue with claims of relevant scope. Our or our licensors’ determination of the expiration date of any patent in the U.S., the EU or elsewhere that we consider relevant may be incorrect, which may negatively impact our ability to develop and market our product candidates. Our licensors’ failure to identify and correctly interpret relevant patents may negatively impact our ability to develop and market our product candidates.</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From time to time, we or our licensors may identify patents or applications in the same general area as our products and product candidates. We or our licensors may determine these third-party patents are irrelevant to our business based on various factors including our or our licensors’ interpretation of the scope of the patent claims and our or our licensors’ interpretation of when the patent expires. If the patents are asserted against us, however, a court may disagree with our or our licensors’ determinations. Further, while we or our licensors may determine that the scope of claims that will issue from a patent application does not present a risk, it is difficult to accurately predict the scope of claims that will issue from a patent application, our determination may be incorrect, and the issuing patent may be asserted against us or our licensors. We cannot guarantee that we or our licensors will be able to successfully settle or otherwise resolve such infringement claims. If we or our licensors fail in any such dispute, in addition to being forced to pay monetary damages, we may be temporarily or permanently prohibited from commercializing our product candidates. We or our licensors might, if possible, also be forced to redesign our product candidates so that we or our licensors no longer infringe on the third-party intellectual property rights. Any of these events, even if we or our licensors were ultimately to prevail, could require us to divert substantial financial and management resources that we would otherwise be able to devote to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also rely upon trade secrets to protect our technology, product and product candidates, and trade secrets can be difficult to maintain and enforce.</w:t>
      </w:r>
    </w:p>
    <w:p>
      <w:pPr>
        <w:spacing w:after="0" w:line="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addition to patent and trademark protection, we also rely on trade secrets, including unpatented know-how, technology and other proprietary information, to derive a competitive advantage for products we develop, especially where we believe patent protection is not appropriate or obtainable. However, trade secrets are difficult to maintain. Monitoring unauthorized uses and disclosures of our intellectual property is difficult, and we do not know whether the steps we have taken to protect our intellectual property will be effective. Moreover,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party illegally disclosed or obtained and is using trade secrets is difficult, expensive and time consuming and the outcome is unpredictable.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Our competitors may independently develop knowledge, methods and know-how equivalent to our trade secrets. Competitors may be able to legally obtain products of ours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1" w:name="page102"/>
    <w:bookmarkEnd w:id="101"/>
    <w:p>
      <w:pPr>
        <w:jc w:val="both"/>
        <w:spacing w:after="0" w:line="299" w:lineRule="auto"/>
        <w:rPr>
          <w:sz w:val="20"/>
          <w:szCs w:val="20"/>
          <w:color w:val="auto"/>
        </w:rPr>
      </w:pPr>
      <w:r>
        <w:rPr>
          <w:rFonts w:ascii="Arial" w:cs="Arial" w:eastAsia="Arial" w:hAnsi="Arial"/>
          <w:sz w:val="14"/>
          <w:szCs w:val="14"/>
          <w:b w:val="1"/>
          <w:bCs w:val="1"/>
          <w:i w:val="1"/>
          <w:iCs w:val="1"/>
          <w:color w:val="auto"/>
        </w:rPr>
        <w:t>Confidentiality agreements with employees and others may not adequately prevent disclosure of our know-how, trade secrets and other proprietary information and may not adequately protect our intellectual property, which could limit our ability to compete.</w:t>
      </w:r>
    </w:p>
    <w:p>
      <w:pPr>
        <w:spacing w:after="0" w:line="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enter into confidentiality and nondisclosure agreements with our employees, CROs, CMOs, consultants, collaborators, sponsored researchers, and scientific and other advisors. These agreements generally require that the other party keep confidential and not disclose to third parties all confidential information developed by the party on our behalf or made known to the party by us during the course of the party’s relationship with us. We also enter into intellectual property assignment agreements with our employees, consultants and certain other service providers, which generally provide that inventions conceived by the party in the course of rendering services to us will be our exclusive property. However, these agreements may not be honored or may not effectively assign intellectual property rights to us. We have not entered into any non-compete agreements with any of our employees. We cannot guarantee that the confidential nature of our proprietary information will be maintained by our employees and others in the course of their future employment with or provision of services to a competitor. Enforcing a claim that a party illegally disclosed or obtained and is using our know-how, trade secrets or other proprietary information is difficult, expensive and time consuming and the outcome is unpredictable. If we are unable to prevent unauthorized material disclosure of our intellectual property to third parties, we will not be able to establish or maintain a competitive advantage for the products we develop, which could materially adversely affect our business, operating results and financial condition.</w:t>
      </w:r>
    </w:p>
    <w:p>
      <w:pPr>
        <w:spacing w:after="0" w:line="12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Provisions in our agreements with governmental agencies and non-profit organizations may affect our intellectual property rights and the value of our development programs to our company.</w:t>
      </w:r>
    </w:p>
    <w:p>
      <w:pPr>
        <w:spacing w:after="0" w:line="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Certain of our product development activities have been funded, are being funded and may in the future be funded, by the U.S. government and/or not-for-profit organizations. Our agreements for these sources of funding 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Under our subaward agreement with VentureWell, the federal government has a nonexclusive license to obtain access to and to share research results and data, as well as certain rights, including “march-in” rights, in intellectual property conceived, made, created, developed or reduced to practice in our performance of the research activities and objectives relating to advancement of our DARE-HPV program specified in the subaward agreement, pursuant to and in accordance with the Bayh-Dole Act of 1980. During the term of the subaward agreement and for three years thereafter, we are subject to certain restrictions on foreign access to the intellectual property and other technology developed by or for us in or for the provision of such services, including restrictions on our sale or other transfer of such technology to a foreign firm or institution (which would include a sale of our company and a sale or licensing of such technology, but not sales of products or components) without the prior approval of the federal agency providing funding for the subaward agreement.</w:t>
      </w:r>
    </w:p>
    <w:p>
      <w:pPr>
        <w:spacing w:after="0" w:line="5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federal agencies, in specified circumstances, to require the recipient of federal funding (the contractor) or successors in title to the patent to grant a nonexclusive, partially exclusive or exclusive license to a third party if it determines that (i) adequate steps have not been taken to achieve practical application of the invention, (ii) government action is necessary to meet public health or safety needs, (iii) government action is necessary to meet requirements for public use under federal regulations or (iv) unless the requirement has been waived, the contractor has failed to substantially manufacture in the U.S. any product embodying the subject invention that is intended for U.S. commerce. If the contractor or its successor refuses to do so, the government may grant the license itself. The federal government also has the right to take title to these inventions if the contractor or its successor fails to disclose the invention to the government or fails to file an application to register the intellectual property within specified time limits. To date, no federal agency has ever exercised march-in rights; however, the Biden administration announced that it viewed march-in rights as a legitimate means for the government to address rising pharmaceutical costs and future use of march-in rights by the government is uncertain. Any exercise by the government of march-in rights could harm our competitive position, business, financial condition, results of operations and prospects.</w:t>
      </w:r>
    </w:p>
    <w:p>
      <w:pPr>
        <w:spacing w:after="0" w:line="11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our grant agreements with the Foundation, we agreed to make products, services, processes, technologies, materials, software, data, other innovations, and intellectual property resulting from the respective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02" w:name="page103"/>
    <w:bookmarkEnd w:id="102"/>
    <w:p>
      <w:pPr>
        <w:jc w:val="both"/>
        <w:spacing w:after="0" w:line="259" w:lineRule="auto"/>
        <w:rPr>
          <w:sz w:val="20"/>
          <w:szCs w:val="20"/>
          <w:color w:val="auto"/>
        </w:rPr>
      </w:pPr>
      <w:r>
        <w:rPr>
          <w:rFonts w:ascii="Arial" w:cs="Arial" w:eastAsia="Arial" w:hAnsi="Arial"/>
          <w:sz w:val="14"/>
          <w:szCs w:val="14"/>
          <w:color w:val="auto"/>
        </w:rPr>
        <w:t>projects funded by the respective grants (referred to as Funded Developments), available and accessible at an affordable price to people most in need within developing countries, and to promptly and broadly disseminate the knowledge and information gained from the project funded by the grant (referred to as the Global Access Commitment). In connection with the Global Access Commitment, under the agreement, we also granted the foundation that awarded the grant a nonexclusive, perpetual, irrevocable, worldwide, royalty-free, fully paid up, sublicensable license to make, use, sell, offer to sell, import, distribute, copy, create derivative works, publicly perform, and display Funded Developments and essential background technology (referred to as the Humanitarian License). We are required to ensure that the Humanitarian License survives the assignment or transfer of Funded Developments and essential background technology. Our obligations under the Global Access Commitment and the Humanitarian License may limit the value to us of the Funded Developments.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Business Operations and Industry</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Disruptions at the FDA, NIH, SEC and other government agencies, including due to lack of funding, changes in leadership, significant personnel turnover, or diminished staffing, could delay or disrupt clinical and preclinical development and potential marketing approval of our product candidates and hinder our ability to raise additional capital.</w:t>
      </w:r>
    </w:p>
    <w:p>
      <w:pPr>
        <w:spacing w:after="0" w:line="9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Twice in the past decade, the previous appropriations legislation deadline was reached and Congress failed to pass a new appropriations bill or continuing resolution to temporarily extend funding, resulting in U.S. government shutdowns that caused federal agencies to halt non-essential operations. The federal government came close to another shutdown several times in recent years. Political polarization among lawmakers may lead to a higher frequency and longer duration of government shutdowns in the future. A federal government shutdown could prevent or delay staff at federal agencies from performing key functions that may adversely affect our business.</w:t>
      </w:r>
    </w:p>
    <w:p>
      <w:pPr>
        <w:spacing w:after="0" w:line="5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In addition, considerable uncertainty exists regarding how federal government policy changes and budget decisions will unfold, including the regulatory and spending priorities of the new U.S. presidential administration and Congress, and what challenges potential policy changes and budget reductions will present for us and our industry generally. Measures being implemented by the new U.S. presidential administration are expected to significantly impact federal regulatory agencies, such as by reducing funding to or restructuring such agencies. For example, in the first quarter of 2025, the new U.S. presidential administration began terminating federal government employees and federal agencies were directed to develop plans for large-scale reductions in force and reorganization. As a result, agencies throughout the federal government may experience mass layoffs, as well as a significant number of voluntary departures. The impact of these changes at federal government agencies with which we interact is uncertain at this time, however, mass layoffs and large-scale voluntary departures, in particular at the FDA, NIH, ARPA-H and SEC, could adversely impact our company. For example, if it experiences significant workforce reduction or turnover, the FDA in the future may be unlikely to meet its application review goals or be available for timely interactions regarding our product development plans, which could delay our ability to advance clinical development of our product candidates or obtain marketing approvals. The ability of the FDA to review and approve new product applications or take action with respect to other regulatory matters can be affected by a variety of factors, including funding levels, ability to accept the payment of user fees, ability to hire and retain key personnel, and statutory, regulatory and policy changes. Disruptions at the FDA may delay meetings and other communications with or on-site inspections by agency staff necessary to progress development of our product candidates and may slow the time necessary for acceptance, review and approval of applications to commence clinical studies or to market a new product in the U.S. By way of further example, disruptions at the NIH, including its various institutes and centers, such as NICHD, could delay or prevent providing or processing new grant awards to fund research and development activities and disrupt staff’s work and other activities or funding under active grant/cooperative agreements. As discussed elsewhere in this report, including in this Risk Factors section, changes and disruptions at HHS agencies could result in delays or disruptions to our Phase 3 clinical study of Ovaprene and advancement of our DARE-HPV program. Moreover, reduced funding levels or leadership and policy changes at HHS agencies could negatively impact our ability to obtain additional grant awards or other non-dilutive federal funding opportunities.</w:t>
      </w:r>
    </w:p>
    <w:p>
      <w:pPr>
        <w:spacing w:after="0" w:line="6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For example, if a federal government shutdown halts non-essential SEC operations for an extended period during which we do not have an effective shelf registration statement, it may negatively impact our ability to raise additional capital through registered offerings of our securities.</w:t>
      </w:r>
    </w:p>
    <w:p>
      <w:pPr>
        <w:spacing w:after="0" w:line="5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If a prolonged U.S. government shutdown or other event or condition occurs that prevents or significantly delays the FDA, NIH, SEC or other regulatory agencies from hiring and retaining personnel and conducting their regular activities, or if an agency is restructured or experiences a significant reduction in funding, leadership changes,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3" w:name="page104"/>
    <w:bookmarkEnd w:id="103"/>
    <w:p>
      <w:pPr>
        <w:jc w:val="both"/>
        <w:spacing w:after="0" w:line="271" w:lineRule="auto"/>
        <w:rPr>
          <w:sz w:val="20"/>
          <w:szCs w:val="20"/>
          <w:color w:val="auto"/>
        </w:rPr>
      </w:pPr>
      <w:r>
        <w:rPr>
          <w:rFonts w:ascii="Arial" w:cs="Arial" w:eastAsia="Arial" w:hAnsi="Arial"/>
          <w:sz w:val="14"/>
          <w:szCs w:val="14"/>
          <w:color w:val="auto"/>
        </w:rPr>
        <w:t>workforce reduction or employee turnover, it could significantly impact the ability of these agencies to timely review and process our regulatory submissions and may impede our access to additional capital needed to maintain or expand our operations or to complete important acquisitions or other transactions, which could have a material adverse effect on our business.</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Business interruptions resulting from public health crises, natural disasters or telecommunication and electrical failures may materially and adversely affect our business, operating results and financial condition.</w:t>
      </w:r>
    </w:p>
    <w:p>
      <w:pPr>
        <w:spacing w:after="0" w:line="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may experience significant business disruptions as a result of a public health emergency, natural or manmade disaster, act of terrorism, war, or telecommunications or electrical failure that impacts our facilities or employees, or those of the third parties on which we rely for key business activities. The effects of such events or conditions may materially and adversely affect our product development activities in the future, including as a result of:</w:t>
      </w:r>
    </w:p>
    <w:p>
      <w:pPr>
        <w:spacing w:after="0" w:line="144" w:lineRule="exact"/>
        <w:rPr>
          <w:sz w:val="20"/>
          <w:szCs w:val="20"/>
          <w:color w:val="auto"/>
        </w:rPr>
      </w:pPr>
    </w:p>
    <w:p>
      <w:pPr>
        <w:ind w:left="520" w:right="300" w:hanging="260"/>
        <w:spacing w:after="0" w:line="239"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difficulties and delays in clinical study site initiation, including due to diversion of healthcare resources away from conducting clinical studies or delays in IRB review and approval of clinical study protocols;</w:t>
      </w:r>
    </w:p>
    <w:p>
      <w:pPr>
        <w:spacing w:after="0" w:line="49"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difficulties and delays in recruiting and enrolling clinical study participants and conducting follow-up visits;</w:t>
      </w:r>
    </w:p>
    <w:p>
      <w:pPr>
        <w:spacing w:after="0" w:line="58" w:lineRule="exact"/>
        <w:rPr>
          <w:rFonts w:ascii="Arial" w:cs="Arial" w:eastAsia="Arial" w:hAnsi="Arial"/>
          <w:sz w:val="17"/>
          <w:szCs w:val="17"/>
          <w:color w:val="auto"/>
        </w:rPr>
      </w:pPr>
    </w:p>
    <w:p>
      <w:pPr>
        <w:ind w:left="520" w:right="340" w:hanging="260"/>
        <w:spacing w:after="0" w:line="239"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 of key clinical study activities, such as study site and data monitoring, due to operational closures or disruptions at our CROs or study sites or limitations on travel or in-person gatherings;</w:t>
      </w:r>
    </w:p>
    <w:p>
      <w:pPr>
        <w:spacing w:after="0" w:line="58" w:lineRule="exact"/>
        <w:rPr>
          <w:rFonts w:ascii="Arial" w:cs="Arial" w:eastAsia="Arial" w:hAnsi="Arial"/>
          <w:sz w:val="17"/>
          <w:szCs w:val="17"/>
          <w:color w:val="auto"/>
        </w:rPr>
      </w:pPr>
    </w:p>
    <w:p>
      <w:pPr>
        <w:ind w:left="520" w:right="20" w:hanging="260"/>
        <w:spacing w:after="0" w:line="239"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staff disruptions and turnover internally or at our CMOs, CROs, clinical study sites, collaborators or other third parties on which we rely, either directly or indirectly as a result of reallocation of resources, illness, government mandates or other changes in terms of employment;</w:t>
      </w:r>
    </w:p>
    <w:p>
      <w:pPr>
        <w:spacing w:after="0" w:line="58" w:lineRule="exact"/>
        <w:rPr>
          <w:rFonts w:ascii="Arial" w:cs="Arial" w:eastAsia="Arial" w:hAnsi="Arial"/>
          <w:sz w:val="17"/>
          <w:szCs w:val="17"/>
          <w:color w:val="auto"/>
        </w:rPr>
      </w:pPr>
    </w:p>
    <w:p>
      <w:pPr>
        <w:ind w:left="520" w:right="80" w:hanging="260"/>
        <w:spacing w:after="0" w:line="254"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difficulties and delays in production of clinical trial materials and commercial product, including due to supply chain disruptions or resource constraints or reallocation on the part of our CMOs and raw materials suppliers;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interruptions in U.S. or global shipping that may affect the transport and delivery of raw materials, clinical study materials and commercial product;</w:t>
      </w:r>
    </w:p>
    <w:p>
      <w:pPr>
        <w:spacing w:after="0" w:line="26" w:lineRule="exact"/>
        <w:rPr>
          <w:rFonts w:ascii="Arial" w:cs="Arial" w:eastAsia="Arial" w:hAnsi="Arial"/>
          <w:sz w:val="17"/>
          <w:szCs w:val="17"/>
          <w:color w:val="auto"/>
        </w:rPr>
      </w:pPr>
    </w:p>
    <w:p>
      <w:pPr>
        <w:ind w:left="520" w:right="40" w:hanging="260"/>
        <w:spacing w:after="0" w:line="287"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imposition of new or increased tariffs, sanctions, import/export controls or other trade policies that significantly increase the costs of the components and raw materials used in the production of XACIATO or our product candidates;</w:t>
      </w:r>
    </w:p>
    <w:p>
      <w:pPr>
        <w:spacing w:after="0" w:line="28" w:lineRule="exact"/>
        <w:rPr>
          <w:rFonts w:ascii="Arial" w:cs="Arial" w:eastAsia="Arial" w:hAnsi="Arial"/>
          <w:sz w:val="14"/>
          <w:szCs w:val="14"/>
          <w:color w:val="auto"/>
        </w:rPr>
      </w:pPr>
    </w:p>
    <w:p>
      <w:pPr>
        <w:ind w:left="520" w:right="20" w:hanging="260"/>
        <w:spacing w:after="0" w:line="239"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changes in local regulations in response to a public health emergency or other emergency situation that may require changes in the ways our clinical studies are conducted, require us to discontinue a clinical study, or make it more difficult for commercial and medical affairs field teams to call on or otherwise access healthcare providers;</w:t>
      </w:r>
    </w:p>
    <w:p>
      <w:pPr>
        <w:spacing w:after="0" w:line="49"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patient delays in seeking or receiving treatment, either due to fear of infection or inaccessibility of healthcare providers;</w:t>
      </w:r>
    </w:p>
    <w:p>
      <w:pPr>
        <w:spacing w:after="0" w:line="58" w:lineRule="exact"/>
        <w:rPr>
          <w:rFonts w:ascii="Arial" w:cs="Arial" w:eastAsia="Arial" w:hAnsi="Arial"/>
          <w:sz w:val="17"/>
          <w:szCs w:val="17"/>
          <w:color w:val="auto"/>
        </w:rPr>
      </w:pPr>
    </w:p>
    <w:p>
      <w:pPr>
        <w:ind w:left="520" w:right="140" w:hanging="260"/>
        <w:spacing w:after="0" w:line="239"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delays in interactions with the FDA or a foreign regulatory authority necessary to advance clinical development of our product candidates, or delays in their review process and timing of potential approval of our product candidates, including delays in pre-approval manufacturing or clinical study site inspections;</w:t>
      </w:r>
    </w:p>
    <w:p>
      <w:pPr>
        <w:spacing w:after="0" w:line="58" w:lineRule="exact"/>
        <w:rPr>
          <w:rFonts w:ascii="Arial" w:cs="Arial" w:eastAsia="Arial" w:hAnsi="Arial"/>
          <w:sz w:val="17"/>
          <w:szCs w:val="17"/>
          <w:color w:val="auto"/>
        </w:rPr>
      </w:pPr>
    </w:p>
    <w:p>
      <w:pPr>
        <w:ind w:left="520" w:right="160" w:hanging="260"/>
        <w:spacing w:after="0" w:line="254" w:lineRule="auto"/>
        <w:tabs>
          <w:tab w:leader="none" w:pos="516" w:val="left"/>
        </w:tabs>
        <w:numPr>
          <w:ilvl w:val="0"/>
          <w:numId w:val="40"/>
        </w:numPr>
        <w:rPr>
          <w:rFonts w:ascii="Arial" w:cs="Arial" w:eastAsia="Arial" w:hAnsi="Arial"/>
          <w:sz w:val="17"/>
          <w:szCs w:val="17"/>
          <w:color w:val="auto"/>
        </w:rPr>
      </w:pPr>
      <w:r>
        <w:rPr>
          <w:rFonts w:ascii="Arial" w:cs="Arial" w:eastAsia="Arial" w:hAnsi="Arial"/>
          <w:sz w:val="14"/>
          <w:szCs w:val="14"/>
          <w:color w:val="auto"/>
        </w:rPr>
        <w:t>difficulties and delays in establishing or maintaining strategic commercial or development collaborations due to the reallocation of resources or shifting business strategies of collaborators or potential collaborators away from the women’s health market in general or our areas of focus within women’s health in particular; or</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disruption and volatility in the financial markets which negatively impacts our access to additional capital or stock price.</w:t>
      </w:r>
    </w:p>
    <w:p>
      <w:pPr>
        <w:spacing w:after="0" w:line="12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For example, in March 2020, the COVID-19 pandemic began to impact the global economy. The COVID-19 pandemic disrupted our product development activities and the business activities of third parties on which we rely. The COVID-19 pandemic contributed to a slower than anticipated pace of enrollment of participants in our exploratory Phase 2b RESPOND clinical study of Sildenafil Cream as a result of operational restrictions or closure of certain study sites due to their adherence to governmental guidelines intended to reduce the spread of COVID-19. The COVID-19 pandemic also caused us to prioritize advancement of certain of our development programs over others, or certain development activities within a program over others, due to anticipated or actual difficulties and delays in recruiting clinical study sites and participants and obtaining clinical trial materials and supplies.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4" w:name="page105"/>
    <w:bookmarkEnd w:id="104"/>
    <w:p>
      <w:pPr>
        <w:jc w:val="both"/>
        <w:ind w:firstLine="509"/>
        <w:spacing w:after="0" w:line="258" w:lineRule="auto"/>
        <w:rPr>
          <w:sz w:val="20"/>
          <w:szCs w:val="20"/>
          <w:color w:val="auto"/>
        </w:rPr>
      </w:pPr>
      <w:r>
        <w:rPr>
          <w:rFonts w:ascii="Arial" w:cs="Arial" w:eastAsia="Arial" w:hAnsi="Arial"/>
          <w:sz w:val="14"/>
          <w:szCs w:val="14"/>
          <w:color w:val="auto"/>
        </w:rPr>
        <w:t>The strategies we implement designed to mitigate the effects or potential effects on our business of a public health emergency such as the COVID-19 pandemic, a natural or manmade disaster, act of terrorism, war or telecommunications or electrical failure that impacts our facilities or employees or those of third parties on which we rely may not be effective. The occurrence of such an event or condition could cause significant delays in the timelines for our clinical studies, our regulatory submissions or potential marketing approvals of our product candidates, substantially increase our development costs, and delay or contribute to delays in the commercial launch of any approved product or market acceptance of the product. The longer such an event or condition persists, the greater the potential for significant adverse impacts to our business operations and those of the CROs, CMOs, commercial collaborators, and other third-party service providers and vendors on which we depend to, among other things, conduct our clinical and nonclinical studies, supply our clinical trial materials, assist with regulatory affairs necessary to advance and seek regulatory approval for our programs, and market, sell and distribute our products, if approved for commercial sale.</w:t>
      </w:r>
    </w:p>
    <w:p>
      <w:pPr>
        <w:spacing w:after="0" w:line="11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Public health emergencies, natural or manmade disasters, acts of terrorism, war or telecommunications or electrical failures may also have the effect of heightening many of the other risks and uncertainties described in this Risk Factors section.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lawsuits against us could cause us to incur substantial liabilities.</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face an inherent risk of product liability exposure as a result of testing of our product candidates in human clinical trials and will face an even greater risk following commercial launch of a product we develop. If we cannot successfully defend ourselves against claims that our products or product candidates caused injuries, we will incur substantial liabilities or be required to limit commercialization of our products. Regardless of merit or eventual outcome, liability claims may result in:</w:t>
      </w:r>
    </w:p>
    <w:p>
      <w:pPr>
        <w:spacing w:after="0" w:line="71"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decreased demand for any marketed product;</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product recalls, withdrawals or labeling, marketing or promotional restrictions;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termination of product development or commercial collaborations;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loss of revenue;</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withdrawal of clinical study participants and delays in commencement or completion of clinical studies;</w:t>
      </w:r>
    </w:p>
    <w:p>
      <w:pPr>
        <w:spacing w:after="0" w:line="16"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injury to our reputation and significant negative media attention;</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significant costs to defend the related litigation;</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substantial monetary awards to patients or clinical study participants;</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diversion of our management’s time and other resources from pursuing our business strategy; and</w:t>
      </w:r>
    </w:p>
    <w:p>
      <w:pPr>
        <w:spacing w:after="0" w:line="10" w:lineRule="exact"/>
        <w:rPr>
          <w:rFonts w:ascii="Arial" w:cs="Arial" w:eastAsia="Arial" w:hAnsi="Arial"/>
          <w:sz w:val="17"/>
          <w:szCs w:val="17"/>
          <w:color w:val="auto"/>
        </w:rPr>
      </w:pPr>
    </w:p>
    <w:p>
      <w:pPr>
        <w:ind w:left="760" w:hanging="246"/>
        <w:spacing w:after="0" w:line="23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4"/>
          <w:szCs w:val="14"/>
          <w:color w:val="auto"/>
        </w:rPr>
        <w:t>a decline in our stock price.</w:t>
      </w:r>
    </w:p>
    <w:p>
      <w:pPr>
        <w:spacing w:after="0" w:line="6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carry product liability insurance that we believe to be adequate for our clinical testing and product development programs and in connection with XACIATO. However, insurance coverage is increasingly expensive, and it may be difficult to obtain adequate product liability insurance in the future. Our inability to obtain and retain sufficient product liability insurance at an acceptable cost to protect against potential product liability claims could prevent or inhibit the commercialization of any of our product candidates, if approved for commercial sale. We also have indemnification obligations to our commercial and other collaborators.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1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b w:val="1"/>
          <w:bCs w:val="1"/>
          <w:i w:val="1"/>
          <w:iCs w:val="1"/>
          <w:color w:val="auto"/>
        </w:rPr>
        <w:t>Our current or future employees, clinical investigators, commercial collaborators or service providers may engage in misconduct or other improper activities, including non-compliance with laws and regulatory standards.</w:t>
      </w:r>
    </w:p>
    <w:p>
      <w:pPr>
        <w:spacing w:after="0" w:line="3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may become exposed to the risk of employees, clinical investigators, commercial collaborators, CMOs, CROs, consultants or other vendors engaging in fraud or other misconduct. Misconduct by our employees or third parties on which we rely for the development and commercialization of our products and product candidates could include intentional failures, such as failures to: (1) comply with FDA or other regulators’ requirements, (2) provide accurate information to such regulators, (3) comply with clinical and nonclinical research standards and manufacturing standards established by us and/or required by the FDA or other laws and regulations, or (4) comply with SEC rules and regulations. Sales, marketing and business arrangements in the health care industry are subject to extensive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5" w:name="page106"/>
    <w:bookmarkEnd w:id="105"/>
    <w:p>
      <w:pPr>
        <w:jc w:val="both"/>
        <w:spacing w:after="0" w:line="258" w:lineRule="auto"/>
        <w:rPr>
          <w:sz w:val="20"/>
          <w:szCs w:val="20"/>
          <w:color w:val="auto"/>
        </w:rPr>
      </w:pPr>
      <w:r>
        <w:rPr>
          <w:rFonts w:ascii="Arial" w:cs="Arial" w:eastAsia="Arial" w:hAnsi="Arial"/>
          <w:sz w:val="14"/>
          <w:szCs w:val="14"/>
          <w:color w:val="auto"/>
        </w:rPr>
        <w:t>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clinical investigators, commercial collaborators, CROs, consultants or other vendors could also involve the improper use of information obtained in the course of clinical trials, which could result in regulatory or civil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reputational harm.</w:t>
      </w:r>
    </w:p>
    <w:p>
      <w:pPr>
        <w:spacing w:after="0" w:line="2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pharmaceutical and medical device industries are highly regulated and subject to various fraud and abuse laws, including, without limitation, the U.S. federal Anti-Kickback Statute, the U.S. federal False Claims Act and the U.S. Foreign Corrupt Practices Act.</w:t>
      </w:r>
    </w:p>
    <w:p>
      <w:pPr>
        <w:spacing w:after="0" w:line="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Health care providers and third-party payors play a primary role in the recommendation and prescription of drug products and medical devices that are granted marketing approval. Our arrangements with health care providers, commercial collaborators, principal investigators, consultants, third-party payors, customers and other organizations may expose us to broadly applicable fraud and abuse and other health care laws and regulations in the U.S. Health care fraud and abuse regulations are complex, and even minor irregularities can give rise to claims that a statute or prohibition has been violated. The laws that may affect our operations include:</w:t>
      </w:r>
    </w:p>
    <w:p>
      <w:pPr>
        <w:spacing w:after="0" w:line="53" w:lineRule="exact"/>
        <w:rPr>
          <w:sz w:val="20"/>
          <w:szCs w:val="20"/>
          <w:color w:val="auto"/>
        </w:rPr>
      </w:pPr>
    </w:p>
    <w:p>
      <w:pPr>
        <w:jc w:val="both"/>
        <w:ind w:left="760" w:hanging="246"/>
        <w:spacing w:after="0" w:line="259"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federal Anti-Kickback Statute (and comparable state laws), which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57" w:lineRule="exact"/>
        <w:rPr>
          <w:rFonts w:ascii="Arial" w:cs="Arial" w:eastAsia="Arial" w:hAnsi="Arial"/>
          <w:sz w:val="14"/>
          <w:szCs w:val="14"/>
          <w:color w:val="auto"/>
        </w:rPr>
      </w:pPr>
    </w:p>
    <w:p>
      <w:pPr>
        <w:jc w:val="both"/>
        <w:ind w:left="760" w:hanging="246"/>
        <w:spacing w:after="0" w:line="259"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federal and state civil and criminal false claims laws, including the civil False Claims Act which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U.S.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57" w:lineRule="exact"/>
        <w:rPr>
          <w:rFonts w:ascii="Arial" w:cs="Arial" w:eastAsia="Arial" w:hAnsi="Arial"/>
          <w:sz w:val="14"/>
          <w:szCs w:val="14"/>
          <w:color w:val="auto"/>
        </w:rPr>
      </w:pPr>
    </w:p>
    <w:p>
      <w:pPr>
        <w:jc w:val="both"/>
        <w:ind w:left="760" w:hanging="246"/>
        <w:spacing w:after="0" w:line="261"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federal, civil and criminal statues created under HIPAA (and similar state laws), which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228" w:lineRule="exact"/>
        <w:rPr>
          <w:rFonts w:ascii="Arial" w:cs="Arial" w:eastAsia="Arial" w:hAnsi="Arial"/>
          <w:sz w:val="14"/>
          <w:szCs w:val="14"/>
          <w:color w:val="auto"/>
        </w:rPr>
      </w:pPr>
    </w:p>
    <w:p>
      <w:pPr>
        <w:jc w:val="both"/>
        <w:ind w:left="760" w:hanging="246"/>
        <w:spacing w:after="0" w:line="265"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Physician Payments Sunshine Act, enacted as part of the ACA, which, among other things, imposes reporting requirements on manufacturers of FDA-approved drugs, devices, biologics and medical supplies covered by Medicare or Medicaid to report to CMS, on an annual basis, information related to payments and other transfers of value to physicians (defined broadly to include doctors, dentists, optometrists, podiatrists, and chiropractors), certain advanced non-physician health care practitioners, and teaching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6" w:name="page107"/>
    <w:bookmarkEnd w:id="106"/>
    <w:p>
      <w:pPr>
        <w:ind w:left="760"/>
        <w:spacing w:after="0"/>
        <w:rPr>
          <w:sz w:val="20"/>
          <w:szCs w:val="20"/>
          <w:color w:val="auto"/>
        </w:rPr>
      </w:pPr>
      <w:r>
        <w:rPr>
          <w:rFonts w:ascii="Arial" w:cs="Arial" w:eastAsia="Arial" w:hAnsi="Arial"/>
          <w:sz w:val="14"/>
          <w:szCs w:val="14"/>
          <w:color w:val="auto"/>
        </w:rPr>
        <w:t>hospitals, as well as ownership and investment interests held by physicians and their immediate family members in such manufacturers;</w:t>
      </w:r>
    </w:p>
    <w:p>
      <w:pPr>
        <w:spacing w:after="0" w:line="94" w:lineRule="exact"/>
        <w:rPr>
          <w:sz w:val="20"/>
          <w:szCs w:val="20"/>
          <w:color w:val="auto"/>
        </w:rPr>
      </w:pPr>
    </w:p>
    <w:p>
      <w:pPr>
        <w:jc w:val="both"/>
        <w:ind w:left="760" w:hanging="246"/>
        <w:spacing w:after="0" w:line="258"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HIPAA, as amended by HITECH, and their respective implementing regulations, which impose specified requirements relating to the privacy, security and electronic exchange of individually identifiable health information, or "protected health information" when subject to HIPAA. Among other things, HITECH makes some of HIPAA’s privacy and all of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"Covered entity" or entities that must comply with HIPAA, include certain health care providers, health plans, and health care clearinghouses. HITECH also increased the civil and criminal penalties that may be imposed against covered entities, business associates and third parties unlawfully in possession of protected health information, and gave state attorneys general new authority to file civil actions for damages or injunctions in federal courts to enforce HIPAA and seek attorney’s fees and costs associated with pursuing federal civil actions; and</w:t>
      </w:r>
    </w:p>
    <w:p>
      <w:pPr>
        <w:spacing w:after="0" w:line="58"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U.S. Foreign Corrupt Practices Act, which prohibits U.S. organizations and their representatives from offering, promising, authorizing or making corrupt payments, gifts or transfers of value to non-U.S. officials, which in many countries, could include interactions with certain health care professionals.</w:t>
      </w:r>
    </w:p>
    <w:p>
      <w:pPr>
        <w:spacing w:after="0" w:line="3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scope and enforcement of these laws is uncertain and subject to rapid change in the current environment of health care reform, especially in light of the lack of applicable precedent and regulations.</w:t>
      </w:r>
    </w:p>
    <w:p>
      <w:pPr>
        <w:spacing w:after="0" w:line="3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risk of violation of, and subsequent investigation and prosecution for violations of, the laws described above may be mitigated through the implementation and maintenance of compliance programs by us and our commercial collaborators and other third parties on which we rely for important aspects of development or commercialization of our products and product candidates, but these risks cannot be eliminated entirely. Ensuring that our current and future business operations and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If we or our operations, or those of a commercial collaborator or other third party on which we rely for development or commercialization of our products and product candidates, are found to be in violation of any of the laws described above or any other governmental regulations that apply to us or that third party, we may be subject to significant civil, criminal and administrative penalties, including monetary damages, fines, individual imprisonment, disgorgement, loss of eligibility to obtain approvals from the FDA, exclusion from participation in government contracting, health 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5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If regulatory authorities challenge our activities, or those of a commercial collaborator or other third party on which we rely, under these laws, any such challenge could have a material adverse effect on our reputation, business, results of operations and financial condition. Any investigation of us or the third parties with whom we contract, including a commercial collaborator, regardless of the outcome, would be costly and time consuming, and may negatively affect our results of operations and financial condition.</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Cyber-attacks, security breaches, loss of data and other disruptions to our information technology systems or those of our collaborators or third-party service providers could compromise sensitive information related to our business, delay or prevent us from accessing critical information, subject us to significant financial loss, and expose us to liability, any of which could adversely affect our business and our reputation.</w:t>
      </w:r>
    </w:p>
    <w:p>
      <w:pPr>
        <w:spacing w:after="0" w:line="3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utilize information technology systems and networks in the ordinary course of our business to process, transmit and store sensitive data, including confidential information, intellectual property, and personally identifiable information of our employees, consultants and others. As the use of digital technologies has increased, cyber incidents, including deliberate attacks (such as the deployment of harmful malware and other malicious code, ransomware, denial of service, social engineering, and other attempts to gain unauthorized access to computer systems and networks), have increased in frequency and sophistication, and have become increasingly difficult to detect. These threats pose a risk to the security of our systems and networks and those of our collaborators and third-party service providers, including our CMOs and CROs for our clinical studies, which store sensitive or confidential data of ours, and could compromise the confidentiality, availability and integrity of such information which may be vital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14"/>
          <w:szCs w:val="14"/>
          <w:color w:val="auto"/>
        </w:rPr>
        <w:t>to our operations and business strategy. A successful cyber-attack could cause serious negative consequences for us, including, without limitation, the disruption of our operations, the misappropriation or destruction of our confidential information and sensitive data, including clinical trial data, corporate strategic plans and financial information, and the misappropriation of other assets, including our cash. Organizations and governmental bodies with far greater resources than ours dedicated to cybersecurity have proven vulnerable to cyber-attacks. There can be no assurance we will succeed in preventing cybersecurity breaches or successfully mitigate their effects. In March 2023, we became aware that we had been subject to a criminal fraud commonly referred to as “business email compromise fraud.” The incident involved unauthorized access to an employee’s email account by a third-party impersonator and resulted in an electronic payment of approximately $0.4 million intended for a vendor being fraudulently misdirected to unknown parties. We retained a third party to assist in our investigation of the incident and implementation of remedial measures, including enhancements to our controls relating to electronic payments to third parties. Approximately $0.2 million of the fraud loss was covered by insurance. We do not believe this incident had or will have a material impact on our business, financial condition or results of operations. However, cyber-related criminal activities continue to evolve and increase in frequency and sophistication, including as a result of advancements in generative artificial intelligence technology, and our security measures and controls may not be successful in preventing further cyber-related crimes.</w:t>
      </w:r>
    </w:p>
    <w:p>
      <w:pPr>
        <w:spacing w:after="0" w:line="5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Despite implementing security measures, any of the information technology systems belonging to us or our collaborators and third-party service providers, including our CMOs and CROs for our clinical studies, and the sensitive and confidential information contained within them are vulnerable to damage or interruption from computer viruses and other malware, unauthorized access, including as a result of employee error (e.g., phishing or spoofing scams) or malfeasance, service interruptions, system malfunctions, natural disasters, terrorism, war, and telecommunication and electrical failure. We rely on third-party service providers and technologies for our data processing-related activities, including without limitation third-party providers of cloud-based infrastructure, encryption and authentication technology, employee email, and other functions. We rely on these third parties to implement effective security measures and identify and correct for any such failures, deficiencies or breaches. However, our ability to monitor these third parties' cybersecurity practices is limited, and these third parties may not have adequate security measures in place. In addition, we do not have our own information technology department or personnel and rely on third-party information technology consultants to assist our management in assessing, identifying and managing our cybersecurity risks. We do not control these third parties and they may fail to perform as expected. Moreover, the shift to remote working arrangements and the prevalent use of mobile devices that access sensitive or confidential information increases the risk of data security breaches. Technology security systems and other security measures in employees’ homes or other places they may work may not be as robust and more vulnerable to cybersecurity attacks. Any system failure, accident, security breach or data breach that causes interruptions in our own or in third-party collaborators’ or service providers’ operations could result in unauthorized, unlawful, or accidental acquisition, modification, destruction, loss, alteration, encryption, disclosure of, or access to our sensitive or confidential information, or that of our employees, collaborators, service providers and participants in our clinical studies. A security incident or other interruption could disrupt our ability (or that of third parties upon which we rely) to conduct our business operations and could divert significant resources to remedy or mitigate the damage caused. For example, if clinical or nonclinical study data is lost or becomes compromised, it could result in delays in our product development and regulatory approval efforts and significantly increase our costs due to additional time and resources necessary to recover and verify, or potentially reproduce, the data. In addition, a security breach or privacy violation that leads to disclosure of personally identifiable information or protected health information could require us to make notifications to the public as well as regulatory authorities, harm our reputation, subject us to audit, investigation, steep fines and administrative penalties and mandatory corrective action. A data breach could also require us to verify the correctness of database contents and subject us to litigation, including class action lawsuits, or other liability under laws and regulations that protect personal data, consumer protection and other laws.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the further development of our product candidates may be delayed, and the manufacture and sale of any approved products may be impaired.</w:t>
      </w:r>
    </w:p>
    <w:p>
      <w:pPr>
        <w:spacing w:after="0" w:line="7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costs related to significant security breaches or disruptions could be material, and, as was the case with the fraud discovered in March 2023, our insurance coverage may not cover all the losses arising from any such disruption in, or failure or security breach of, our systems or third-party systems where information important to our business operations and product development is stored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Moreover, if the information technology systems of our third-party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8" w:name="page109"/>
    <w:bookmarkEnd w:id="108"/>
    <w:p>
      <w:pPr>
        <w:jc w:val="both"/>
        <w:spacing w:after="0" w:line="290" w:lineRule="auto"/>
        <w:rPr>
          <w:sz w:val="20"/>
          <w:szCs w:val="20"/>
          <w:color w:val="auto"/>
        </w:rPr>
      </w:pPr>
      <w:r>
        <w:rPr>
          <w:rFonts w:ascii="Arial" w:cs="Arial" w:eastAsia="Arial" w:hAnsi="Arial"/>
          <w:sz w:val="14"/>
          <w:szCs w:val="14"/>
          <w:color w:val="auto"/>
        </w:rPr>
        <w:t>collaborators, service providers or vendors become subject to disruptions or security breaches, we may have insufficient recourse against such third parties and we may have to expend significant resources to mitigate the impact of such an event.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adversely affected by general conditions in the global economy and financial markets and geopolitical tensions and events.</w:t>
      </w:r>
    </w:p>
    <w:p>
      <w:pPr>
        <w:spacing w:after="0" w:line="9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Various macroeconomic factors could adversely affect our business, our results of operations and financial condition, including a U.S. government shutdown, delay or failure of the U.S. government to raise the federal debt ceiling, an increased rate of inflation, rising interest rates, adverse developments affecting financial institutions or the financial services industry, recessionary concerns and overall unfavorable economic conditions and uncertainties, including those resulting from geopolitical events, including the wars in Ukraine and the Middle East and strained relations between the U.S. and a number of foreign countries; international economic sanctions, including those imposed on Russia; new or increased tariffs and other barriers to trade; climate change concerns; or public health emergencies, including the COVID-19 pandemic. U.S. government actions to reduce the federal deficit, or its delay or failure to raise the federal debt ceiling, may result in reduced funding for government-funded or subsidized health programs or require the federal government to stop or delay making payments on its obligations under such programs, which could impact sales of our products covered under such programs, if any, and negatively affect our operating results. Interest rates and the ability to access credit markets could adversely affect the ability of patients, payors and distributors to purchase, pay for and effectively distribute our products, if and when commercially available. Similarly, unfavorable or uncertain macroeconomic factors could affect the ability of our current or potential future collaborators, third-party service providers or suppliers, including sole source or single source manufacturers or suppliers, licensors or licensees to remain in business, or otherwise manufacture or supply our clinical trial material and products or commercialize our products, if and when approved. Failure by any of them to remain in business or allocate adequate resources to our products and product candidates could have a material adverse effect on our efforts to develop and obtain regulatory approvals for our product candidates and generate revenue from any approved products.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to continue to incur substantial costs and demands on management time to comply with laws and regulations affecting public companies.</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Generally, we will become an 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corporate governance, disclosure and other reporting requirements of being a public company, and our management and other personnel, of whom we have a small number, will need to continue to devote substantial time towards compliance matters and initiatives.</w:t>
      </w:r>
    </w:p>
    <w:p>
      <w:pPr>
        <w:spacing w:after="0" w:line="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 an attestation report on our internal control over financial reporting by our independent registered public accounting firm, which may substantially increase compliance costs. Recent SEC rules and rulemaking initiatives, such as those regarding pay versus performance, compensation clawback, and cybersecurity disclosure requirements, may result in significant additional time and expense devoted to compliance initiatives.</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a smaller reporting company and a non-accelerated filer and the reduced disclosure requirements available to us may make our common stock less attractive to investors.</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an SRC, we will be permitted to and we intend to rely on some or all of the accommodations available to such companies. These accommodations include:</w:t>
      </w:r>
    </w:p>
    <w:p>
      <w:pPr>
        <w:spacing w:after="0" w:line="55" w:lineRule="exact"/>
        <w:rPr>
          <w:sz w:val="20"/>
          <w:szCs w:val="20"/>
          <w:color w:val="auto"/>
        </w:rPr>
      </w:pPr>
    </w:p>
    <w:p>
      <w:pPr>
        <w:ind w:left="760" w:hanging="246"/>
        <w:spacing w:after="0" w:line="290"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not being required to provide an auditor’s attestation of management’s assessment of internal control over financial reporting required by Section 404(b) of the Sarbanes-Oxley Act of 2002;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9" w:name="page110"/>
    <w:bookmarkEnd w:id="109"/>
    <w:p>
      <w:pPr>
        <w:jc w:val="both"/>
        <w:ind w:left="760" w:hanging="246"/>
        <w:spacing w:after="0" w:line="27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w:t>
      </w:r>
    </w:p>
    <w:p>
      <w:pPr>
        <w:spacing w:after="0" w:line="48"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reduced non-financial disclosure obligations, including regarding the description of their business, management’s discussion and analysis of financial condition and results of operations, market risk, executive compensation, policies governing transactions with related persons, and corporate governance; and</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later deadlines for the filing of annual and quarterly reports compared to accelerated filers.</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will continue to qualify as a SRC and non-accelerated filer for so long as (a) our public float is less than $75 million as of the last day of our most recently completed second fiscal quarter or (b) our public float is $75 million or more but less than $700 million and we reported annual revenues of less than $100 million for our most recently completed fiscal year.</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 carryforwards and other tax attributes to offset taxable income may be limited.</w:t>
      </w:r>
    </w:p>
    <w:p>
      <w:pPr>
        <w:spacing w:after="0" w:line="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At December 31, 2024, we had substantial federal and state net operating loss, or NOL, carryforwards. However, our federal NOL carryforwards and other tax attributes may not be available to offset future taxable income because of restrictions under U.S. tax law, including limitations due to ownership changes that occurred previously or that could occur in the future, and similar limitations may apply under state tax laws. In addition, under legislation enacted by California in 2024, generally, there is a suspension of the NOL deduction for tax years 2024 through 2026 for taxpayers with net business income or modified adjusted gross income of $1 million or more, and a limit of $5 million of business credits on the aggregate use of otherwise allowable business tax credits that any taxpayer could claim for tax years beginning 2024 through 2026. For these reasons, we may not be able to realize a tax benefit from the use of our NOL carryforwards and other tax attributes, even if we attain profitability. We have recorded a full valuation allowance related to our NOL carryforwards and other deferred tax assets due to the uncertainty of the ultimate realization of the future benefits of those assets. See Note 8 “Income Taxes” to the accompanying consolidated financial statements for more information about limitations on our ability to use our NOL carryforwards and other tax attributes.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Ownership of Our Common Stock</w:t>
      </w:r>
    </w:p>
    <w:p>
      <w:pPr>
        <w:spacing w:after="0" w:line="14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price of our common stock may rise and fall rapidly, substantial price fluctuations may occur regardless of developments in our business or our operating performance, and you could lose all or part of your investment as a result.</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stock market in general, and the market for biopharmaceutical companies in particular, have experienced significant volatility, which has often been unrelated to the operating performance of particular companies. The stocks of small cap and microcap biopharmaceutical companies like ours tend to be highly volatile. Our common stock has experienced extreme trading price and volume fluctuations in the past, including fluctuations that have been unrelated or disproportionate to developments in our business and our operating performance, and we expect that our stock price will continue to experience high volatility. The market price for our common stock may be influenced by a variety of factors, some of which are beyond our control or are related in complex ways, including:</w:t>
      </w:r>
    </w:p>
    <w:p>
      <w:pPr>
        <w:spacing w:after="0" w:line="55" w:lineRule="exact"/>
        <w:rPr>
          <w:sz w:val="20"/>
          <w:szCs w:val="20"/>
          <w:color w:val="auto"/>
        </w:rPr>
      </w:pPr>
    </w:p>
    <w:p>
      <w:pPr>
        <w:jc w:val="both"/>
        <w:ind w:left="760" w:hanging="246"/>
        <w:spacing w:after="0" w:line="271"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significant developments with our product development programs, such as actual or anticipated changes to development and approval timelines, results from any clinical trial, unanticipated serious safety concerns, suspension or discontinuation of a program, initiation of a new program and communications or decisions from the FDA or other regulatory authorities relating to applications we submit for clinical trials or marketing approval of our product candidates;</w:t>
      </w:r>
    </w:p>
    <w:p>
      <w:pPr>
        <w:spacing w:after="0" w:line="6"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announcements of capital raising transactions, including sales of our common stock or securities convertible into or exercisable for shares of our common stock by us, or expectation of additional financing efforts;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0" w:name="page111"/>
    <w:bookmarkEnd w:id="110"/>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 of our cash;</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level of actual or anticipated expenses related to development of our product candidates, and in particular our clinical-stage development programs;</w:t>
      </w:r>
    </w:p>
    <w:p>
      <w:pPr>
        <w:spacing w:after="0" w:line="51"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relating to strategic collaborations or alliances or significant licenses, acquisitions or dispositions of assets or capital commitments by us or our competitors or companies perceived to be economically linked to us;</w:t>
      </w: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disputes or other developments relating to proprietary rights, including patents, litigation matters and our ability to obtain patent protection for our technologies;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additions or departures of key management or scientific personnel;</w:t>
      </w:r>
    </w:p>
    <w:p>
      <w:pPr>
        <w:spacing w:after="0" w:line="51" w:lineRule="exact"/>
        <w:rPr>
          <w:rFonts w:ascii="Arial" w:cs="Arial" w:eastAsia="Arial" w:hAnsi="Arial"/>
          <w:sz w:val="14"/>
          <w:szCs w:val="14"/>
          <w:color w:val="auto"/>
        </w:rPr>
      </w:pPr>
    </w:p>
    <w:p>
      <w:pPr>
        <w:jc w:val="both"/>
        <w:ind w:left="760" w:hanging="246"/>
        <w:spacing w:after="0" w:line="271"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significant developments with third-party products or product development programs perceived as competitive to ours, such as results of clinical trials, unanticipated serious safety concerns, suspension or discontinuation of a program, significant communications or decisions from the FDA or other regulatory authorities, introduction of new product candidates or new uses for existing products, commercial launch and product sales;</w:t>
      </w:r>
    </w:p>
    <w:p>
      <w:pPr>
        <w:spacing w:after="0" w:line="6"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significant business disruptions, including as a result of cybersecurity incidents, geopolitical events, including military conflicts, war, terrorism or economic conflicts, or natural disasters such as earthquakes, typhoons, floods and fires or public health emergencies such as the COVID-19 pandemic;</w:t>
      </w:r>
    </w:p>
    <w:p>
      <w:pPr>
        <w:ind w:left="760" w:hanging="246"/>
        <w:spacing w:after="0" w:line="284"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events or conditions that affect the financial markets or U.S. or global economy in general, including geopolitical conflicts, potential or actual U.S. government shutdown or failure to raise the federal debt ceiling, economic slowdown or recession, increased inflation, and rising interest rates;</w:t>
      </w: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regulatory or legal developments in the U.S. and other countries;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developments or trends in the biopharmaceutical or women's health care industries;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period to period fluctuations in our financial results;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recommendations or reports issued by securities research analysts;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increased selling by our stockholders, as well as the overall trading volume of our common stock; and</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w:t>
      </w:r>
    </w:p>
    <w:p>
      <w:pPr>
        <w:spacing w:after="0" w:line="9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Our common stock is listed on The Nasdaq Capital Market. In August 2024, we received a letter from Nasdaq notifying us that we do not meet the requirement in Nasdaq Listing Rule 5550(b)(2) for continued listing on The Nasdaq Capital Market. Nasdaq Listing Rule 5550(b)(2) requires a company listed on Nasdaq to maintain a minimum market value of listed securities of $35.0 million, which we refer to as the “Minimum MVLS Rule.” We were provided an initial period of 180 calendar days, or until February 10, 2025, to regain compliance with the Minimum MVLS Rule.</w:t>
      </w:r>
    </w:p>
    <w:p>
      <w:pPr>
        <w:spacing w:after="0" w:line="57"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4"/>
          <w:szCs w:val="14"/>
          <w:color w:val="auto"/>
        </w:rPr>
        <w:t>On February 13</w:t>
      </w:r>
      <w:r>
        <w:rPr>
          <w:rFonts w:ascii="Arial" w:cs="Arial" w:eastAsia="Arial" w:hAnsi="Arial"/>
          <w:sz w:val="16"/>
          <w:szCs w:val="16"/>
          <w:color w:val="auto"/>
        </w:rPr>
        <w:t>,</w:t>
      </w:r>
      <w:r>
        <w:rPr>
          <w:rFonts w:ascii="Arial" w:cs="Arial" w:eastAsia="Arial" w:hAnsi="Arial"/>
          <w:sz w:val="14"/>
          <w:szCs w:val="14"/>
          <w:color w:val="auto"/>
        </w:rPr>
        <w:t xml:space="preserve"> 2025, Nasdaq’s Listing Qualifications Department notified us that because we did not regain compliance with the Minimum MVLS Rule by February 10, 2025, our common stock is subject to delisting from Nasdaq unless we timely request a hearing before the Nasdaq Hearing Panel (the “Panel”).</w:t>
      </w:r>
    </w:p>
    <w:p>
      <w:pPr>
        <w:spacing w:after="0" w:line="1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requested a hearing before the Panel, which request stayed the delisting of our common stock pending the decision of the Panel following the hearing and the expiration of any extension period that may be granted by the Panel. The hearing was held on March 25, 2025. Pursuant to published Nasdaq guidance, the Panel typically issues decisions within 30 days of the hearing.</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There can be no assurance that the Panel will grant us any extension period within which to regain compliance with the Minimum MVLS Rule, or if any extension period is granted, that we will regain compliance with the Minimum MVLS Rule within such extension period, or that we will be able to satisfy all other continued listing requirements of The Nasdaq Capital Market and maintain the listing of our common stock on The Nasdaq Capital Market even if we regain compliance with the Minimum MVLS Rule. For example, until we regained compliance 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July 18, 2024, we were not in compliance with the continued listing standard commonly referred to as the minimum bid price rule since July 19, 2023.</w:t>
      </w:r>
    </w:p>
    <w:p>
      <w:pPr>
        <w:spacing w:after="0" w:line="2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The suspension or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for whatever reason, may materially impair our stockholders’ ability to buy and sell shares of our common stock and could have an adverse effect on the market price of, and the efficiency of the trading market for, our common stock.</w:t>
      </w:r>
    </w:p>
    <w:p>
      <w:pPr>
        <w:spacing w:after="0" w:line="11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sale of our common stock in ATM offerings or under our equity line arrangement may cause substantial dilution to our existing stockholders, and such sales, or the anticipation of such sales, may cause the price of our common stock to decline.</w:t>
      </w:r>
    </w:p>
    <w:p>
      <w:pPr>
        <w:spacing w:after="0" w:line="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We have used at-the-market, or ATM, offerings to fund a significant portion of our operations in prior years, and we may continue to use ATM offerings to raise additional capital in the future. For example, in 2021, we sold an aggregate of approximately 3.0 million shares of our common stock in ATM offerings. We sold substantially fewer shares in ATM offerings in 2022 and 2023 and to date in 2024, however, we may sell significant amounts of shares in ATM offerings again in the future. In addition, we may sell up to approximately $14.5 million in shares of our common stock under our equity line arrangement. The purchase price for the shares we may sell under our equity line arrangement will vary based on the market price of our common stock at the time we initiate a sale. While sales of shares of our common stock in ATM offerings and under our equity line arrangement may enable us to raise capital at a lower cost compared with other types of equity financing transactions; such sales may result in substantial dilution to our existing stockholders, and such sales, or the anticipation of such sales, may cause the trading price of our common stock to decline.</w:t>
      </w:r>
    </w:p>
    <w:p>
      <w:pPr>
        <w:spacing w:after="0" w:line="12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exercise of our outstanding warrants and options as well as the issuance of shares pursuant to future equity awards under our stock incentive plan may result in significant dilution to our stockholders.</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December 31, 2024, we had outstanding warrants to purchase up to approximately 1.3 million shares of our common stock at a weighted average exercise price of $7.49 per share, outstanding options to purchase up to approximately 0.9 million shares of our common stock at a weighted average exercise price of $14.58 per share, and approximately 0.5 million shares of our common stock remained available for future issuance under our stock incentive plan. The exercise of a significant portion of our outstanding warrants and options and the issuance of shares of our common stock pursuant to future equity awards under our stock incentive plan may result in significant dilution to our stockholders.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Substantial future sales of our shares of common stock, or the perception that such sales could occur, may cause the price of our common stock to decline, even if our business is doing well.</w:t>
      </w:r>
    </w:p>
    <w:p>
      <w:pPr>
        <w:spacing w:after="0" w:line="7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Sales of substantial amounts of our common stock in the public market, or the perception that such sales could occur, may adversely affect the trading price of our common stock, and may make it more difficult for existing stockholders to sell their shares of our common stock at a time and price they deem appropriate. We are unable to predict the effect that such sales may have on the trading price of our common stock. These sales, or the possibility that these sales may occur, also might make it more difficult for us to sell equity or equity-linked securities in the future at a time and at a price that we deem appropriate.</w:t>
      </w:r>
    </w:p>
    <w:p>
      <w:pPr>
        <w:spacing w:after="0" w:line="10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Shares underlying outstanding warrants represent approximately 14% of the outstanding shares of our common stock as of March 28, 2025, and the underlying shares generally may be freely sold into the public market following exercise of the warrants by the warrant holders. In addition, the issuance of all of the approximately 0.9 million shares of our common stock underlying outstanding options and the approximately 0.5 million shares of our common stock that remained available for future issuance under our stock incentive plan as of December 31, 2024 have been registered under the Securities Act and such shares if, and when issued, can be freely sold in the public market, except to the extent they are held by an affiliate of ours, in which case such shares will become eligible for sale in the public market as permitted by Rule 144 under the Securities Act.</w:t>
      </w:r>
    </w:p>
    <w:p>
      <w:pPr>
        <w:spacing w:after="0" w:line="11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Almost all of our outstanding warrants have exercise periods that extend into December 2028 or March 2029 and, as of December 31, 2024, our outstanding options had a weighted average remaining contractual exercise period of approximately 6.7 years. Accordingly, the potential adverse market and price pressures resulting from these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12" w:name="page113"/>
    <w:bookmarkEnd w:id="112"/>
    <w:p>
      <w:pPr>
        <w:jc w:val="both"/>
        <w:spacing w:after="0" w:line="290" w:lineRule="auto"/>
        <w:rPr>
          <w:sz w:val="20"/>
          <w:szCs w:val="20"/>
          <w:color w:val="auto"/>
        </w:rPr>
      </w:pPr>
      <w:r>
        <w:rPr>
          <w:rFonts w:ascii="Arial" w:cs="Arial" w:eastAsia="Arial" w:hAnsi="Arial"/>
          <w:sz w:val="14"/>
          <w:szCs w:val="14"/>
          <w:color w:val="auto"/>
        </w:rPr>
        <w:t>sales, or the perception that such sales could occur, may continue for an extended period of time and continued negative pressure on the trading price of our common stock could have a material adverse effect on our ability to raise additional capital through equity or equity-linked financings.</w:t>
      </w:r>
    </w:p>
    <w:p>
      <w:pPr>
        <w:spacing w:after="0" w:line="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addition, our Restated Certificate of Incorporation, as amended, authorizes us to issue up to 240.0 million shares of our common stock. Subject to limitations imposed by Nasdaq or such other securities exchange on which our securities may be listed, authorized shares of our common stock that are not issued and outstanding or reserved for issuance may be issued without stockholder approval at any time, in the sole discretion of our board of directors, and as of December 31, 2024, only approximately 8.7 million shares were issued and outstanding or reserved for issuance. If, in the future, we issue additional shares of common stock, warrants or other equity or equity-linked securities in one or more transactions, at prices and in a manner we determine from time to time, in connection with a financing, acquisition, litigation settlement, employee arrangements or otherwise, any such issuance could result in substantial dilution to our existing stockholders and could cause the price of our common stock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issue preferred stock with terms that could dilute the voting power or reduce the value of our common stock.</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Restated Certificate of Incorporation, as amended,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9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3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2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Provisions in our Restated Certificate of Incorporation, as amended, our Third Amended and Restated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57" w:lineRule="exact"/>
        <w:rPr>
          <w:sz w:val="20"/>
          <w:szCs w:val="20"/>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establish a classified board of directors such that all members of the board are not elected at one time;</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allow the authorized number of directors to be changed only by resolution of the board of directors;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the board;</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the board or for proposing matters that can be acted on at stockholder meetings;</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stockholders by written consent;</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limit who may call a special meeting of stockholders;</w:t>
      </w:r>
    </w:p>
    <w:p>
      <w:pPr>
        <w:spacing w:after="0" w:line="51" w:lineRule="exact"/>
        <w:rPr>
          <w:rFonts w:ascii="Arial" w:cs="Arial" w:eastAsia="Arial" w:hAnsi="Arial"/>
          <w:sz w:val="14"/>
          <w:szCs w:val="14"/>
          <w:color w:val="auto"/>
        </w:rPr>
      </w:pPr>
    </w:p>
    <w:p>
      <w:pPr>
        <w:ind w:left="760" w:hanging="246"/>
        <w:spacing w:after="0" w:line="284"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ind w:left="760" w:hanging="246"/>
        <w:spacing w:after="0" w:line="290"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stockholders would be entitled to cast in any annual election of directors or class of directors to amend or repeal our by-laws or certain provisions of our charter.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3" w:name="page114"/>
    <w:bookmarkEnd w:id="113"/>
    <w:p>
      <w:pPr>
        <w:jc w:val="both"/>
        <w:ind w:firstLine="509"/>
        <w:spacing w:after="0" w:line="265" w:lineRule="auto"/>
        <w:rPr>
          <w:sz w:val="20"/>
          <w:szCs w:val="20"/>
          <w:color w:val="auto"/>
        </w:rPr>
      </w:pPr>
      <w:r>
        <w:rPr>
          <w:rFonts w:ascii="Arial" w:cs="Arial" w:eastAsia="Arial" w:hAnsi="Arial"/>
          <w:sz w:val="14"/>
          <w:szCs w:val="14"/>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Provisions in our by-laws could limit our stockholders’ ability to obtain a favorable judicial forum for disputes with us or our directors, officers or employees.</w:t>
      </w:r>
    </w:p>
    <w:p>
      <w:pPr>
        <w:spacing w:after="0" w:line="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Our Third Amended and Restated By-Laws provide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actions or suits brought to enforce any liability or duty created by the Securities Act, the Exchange Act, or any other claim for which the federal courts have exclusive jurisdiction. If any action that is required under our by-laws to be brought against us in Delaware is filed by a stockholder in a court other than a court located within Delaware, the stockholder shall be deemed to have consented to (i) the personal jurisdiction of the state and federal courts located within Delaware in connection with any action brought in any such court to enforce our Delaware forum selection provision and (ii) having service of process made upon the stockholder in any such enforcement action by service upon that stockholder's counsel, as agent for the stockholder. In addition, our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these provisions.</w:t>
      </w:r>
    </w:p>
    <w:p>
      <w:pPr>
        <w:spacing w:after="0" w:line="5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Under the Securities Act, federal and state courts have concurrent jurisdiction over all suits brought to enforce any duty or liability created by the Securities Act. We believe the forum selection provisions in our by-laws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11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attract or maintain securities analysts to publish research on our business or if they publish or convey negative evaluations of our business, the price of our stock could decline.</w:t>
      </w:r>
    </w:p>
    <w:p>
      <w:pPr>
        <w:spacing w:after="0" w:line="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As of the date of this report, to our knowledge, five analysts cover our company. If one or more of these analysts cease coverage or fail to regularly publish reports on our business, we could lose visibility in the financial markets, which in turn could cause our common stock price or trading volume to decline.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1C. CYBERSECURITY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Strategy</w:t>
      </w:r>
    </w:p>
    <w:p>
      <w:pPr>
        <w:spacing w:after="0" w:line="14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As is the case for other companies in our industry, we may be the target of cyberattacks and other cyber incidents and, therefore, cybersecurity is an important element of our overall enterprise risk management, or ERM, program. Our management performs a semi-annual assessment of enterprise-wide risks to help assess, identify, and manage existing and emerging risks for our company, including cybersecurity risks. Through our ERM program we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assess the characteristics and circumstances of the evolving business environment at the time and seek to identify the potential impacts to our company of a particular risk.</w:t>
      </w:r>
    </w:p>
    <w:p>
      <w:pPr>
        <w:spacing w:after="0" w:line="14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Primary responsibility for assessing, identifying, and managing our cybersecurity risks rests with our management. To assist our management with such responsibility, we engage and consult with an external third party information technology consultant who reports to our Chief Accounting Officer. We also perform an annual cybersecurity assessment designed to help improve the systems and processes we have implemented designed to safeguard our information assets and operational integrity from cyber threats, protect employee information from unauthorized access or attack, as well as secure our networks and systems. Network and information systems and other technologies, including those related to our network management, are important to our business activities. As a result, we have multiple layers of security designed to detect and deter cybersecurity incidents. As part of our overall ERM program, we monitor and test our safeguards and train our employees on these safeguards, in certain instances with the assistance of our external third party information technology consultant. Personnel at all levels and departments are made aware of our cybersecurity policies through trainings. We also maintain an incident response plan designed to respond to, mitigate and remediate cybersecurity incidents according to a defined set of severity ratings based on the potential impact to our business, information technology systems, network or data, including data held or information technology services provided by third-party vendors or other service providers.</w:t>
      </w:r>
    </w:p>
    <w:p>
      <w:pPr>
        <w:spacing w:after="0" w:line="11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As of the date of filing this report, we do not believe there are any risks from cybersecurity threats that have materially affected or are reasonably likely to materially affect us or our business strategy, results of operations or financial condition.</w:t>
      </w:r>
    </w:p>
    <w:p>
      <w:pPr>
        <w:spacing w:after="0" w:line="88" w:lineRule="exact"/>
        <w:rPr>
          <w:sz w:val="20"/>
          <w:szCs w:val="20"/>
          <w:color w:val="auto"/>
        </w:rPr>
      </w:pPr>
    </w:p>
    <w:p>
      <w:pPr>
        <w:ind w:right="1800" w:firstLine="509"/>
        <w:spacing w:after="0" w:line="458" w:lineRule="auto"/>
        <w:rPr>
          <w:sz w:val="20"/>
          <w:szCs w:val="20"/>
          <w:color w:val="auto"/>
        </w:rPr>
      </w:pPr>
      <w:r>
        <w:rPr>
          <w:rFonts w:ascii="Arial" w:cs="Arial" w:eastAsia="Arial" w:hAnsi="Arial"/>
          <w:sz w:val="14"/>
          <w:szCs w:val="14"/>
          <w:color w:val="auto"/>
        </w:rPr>
        <w:t xml:space="preserve">For additional information regarding risks from cybersecurity threats, please refer to Item 1A, “Risk Factors,” in this annual report on Form 10-K. </w:t>
      </w:r>
      <w:r>
        <w:rPr>
          <w:rFonts w:ascii="Arial" w:cs="Arial" w:eastAsia="Arial" w:hAnsi="Arial"/>
          <w:sz w:val="14"/>
          <w:szCs w:val="14"/>
          <w:b w:val="1"/>
          <w:bCs w:val="1"/>
          <w:color w:val="auto"/>
        </w:rPr>
        <w:t>Governance</w:t>
      </w:r>
    </w:p>
    <w:p>
      <w:pPr>
        <w:spacing w:after="0" w:line="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board of directors administers its cybersecurity risk oversight function through its audit committee. The audit committee is responsible for overseeing our policies, practices and assessments with respect to cybersecurity, and provides periodic updates to our board of directors. The audit committee receives periodic updates from management and our external third party information technology consultant regarding the effectiveness of the systems and processes we have implemented designed to safeguard our information assets and operational integrity from cyber threats, protect employee information from unauthorized access or attack, as well as secure our networks and systems, and regarding other cybersecurity matters, including the results from cybersecurity systems testing and any recent cybersecurity incidents and related responses. Our audit committee is also notified between such updates as soon as practicable regarding significant new cybersecurity threats or incidents. The audit committee also receives a report on cybersecurity matters and related risk exposures at least semi-annually from our Chief Accounting Officer. The chair of our audit committee has a National Association of Corporate Directors Carnegie Mellon University CERT Certification in Cybersecurity Oversight.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lease real property to support our business. We believe that the real property we lease is in good operating condition, meets our current needs and that we will be able to renew our lease when needed on acceptable terms or find alternative facilities. See Note 11 "Leased Properties" to the accompanying consolidated financial statements for more information about our real property leases.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5" w:name="page116"/>
    <w:bookmarkEnd w:id="115"/>
    <w:p>
      <w:pPr>
        <w:ind w:left="5400"/>
        <w:spacing w:after="0"/>
        <w:rPr>
          <w:sz w:val="20"/>
          <w:szCs w:val="20"/>
          <w:color w:val="auto"/>
        </w:rPr>
      </w:pPr>
      <w:r>
        <w:rPr>
          <w:rFonts w:ascii="Arial" w:cs="Arial" w:eastAsia="Arial" w:hAnsi="Arial"/>
          <w:sz w:val="14"/>
          <w:szCs w:val="14"/>
          <w:b w:val="1"/>
          <w:bCs w:val="1"/>
          <w:color w:val="auto"/>
        </w:rPr>
        <w:t>PART II</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listed on the Nasdaq Capital Market under the symbol “DARE.”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Common Stock</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28, 2025, we had approximately 34 stockholders of record.</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number of stockholders of record is based upon the actual number of holders registered on our books at such date. A substantially greater number of holders of our common stock are "street name" or beneficial holders, whose shares are held by banks, brokers and other financial institutions.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did not sell any unregistered securities during the period covered by this report that were not previously reported in a Quarterly Report on Form 10-Q or Current Report on Form 8-K.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59"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I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4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a biopharmaceutical company driven by a mission to challenge the status quo, making women's health a priority. We exist to accelerate innovation in women’s health and we believe that innovation does not have to start from scratch. With growing awareness around menopause, sexual health, and vaginal health, the conversation is shifting, but access to real, evidence-based solutions still lags behind. We continuously hear from healthcare providers, researchers, and women themselves about the urgent need for access to evidence-based treatment options. Our goal is to fulfill that need by bringing to market as soon as practicable innovative evidence-based treatment solutions that address decades of unmet needs in women’s health and enhance outcomes and convenience, primarily in the areas of contraception, sexual health, pelvic pain, fertility, infectious disease, vaginal health and menopause - areas in women's health that we believe represent compelling and meaningful market opportunities. The needed medical treatment solutions we aim to bring to market will primarily be available only with a physician’s prescription – either as an FDA-approved product or as a compounded drug under Section 503B of the FDCA. We may also bring to market consumer health products that can be obtained without a physician’s prescription. As discussed in more detail below, we are taking action to utilize 503B compounding to bring our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16" w:name="page117"/>
    <w:bookmarkEnd w:id="116"/>
    <w:p>
      <w:pPr>
        <w:jc w:val="both"/>
        <w:spacing w:after="0" w:line="290" w:lineRule="auto"/>
        <w:rPr>
          <w:sz w:val="20"/>
          <w:szCs w:val="20"/>
          <w:color w:val="auto"/>
        </w:rPr>
      </w:pPr>
      <w:r>
        <w:rPr>
          <w:rFonts w:ascii="Arial" w:cs="Arial" w:eastAsia="Arial" w:hAnsi="Arial"/>
          <w:sz w:val="14"/>
          <w:szCs w:val="14"/>
          <w:color w:val="auto"/>
        </w:rPr>
        <w:t>proprietary Sildenafil Cream formulation to market, and we are targeting to make it available in the fourth quarter of 2025. See “—Recent Events—Bringing Sildenafil Cream to Market under Section 503B.”</w:t>
      </w:r>
    </w:p>
    <w:p>
      <w:pPr>
        <w:spacing w:after="0" w:line="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first FDA-approved product to emerge from our portfolio is XACIATO. We achieved FDA approval of XACIATO three years after acquiring rights to the program. In 2022, we entered into an agreement with Organon, whereby Organon licensed exclusive worldwide rights to develop, manufacture and commercialize XACIATO. Organon commenced U.S. marketing of XACIATO in the fourth quarter of 2023 and, in January 2024, Organon announced that XACIATO was available nationwide. As discussed below, to provide funding for the development of the product candidates in our pipeline, in April 2024, we entered into an agreement with XOMA whereby we sold our rights to all royalty and potential milestone payments based on net sales of XACIATO under our agreement with Organon, net of our obligations to certain third parties, until XOMA receives a specified return on its investment, after which we will share equally in the royalty and milestone payments earned on net sales of XACIATO from Organon.</w:t>
      </w:r>
    </w:p>
    <w:p>
      <w:pPr>
        <w:spacing w:after="0" w:line="1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Our product pipeline includes diverse programs that target unmet needs in women's health in the areas of contraception, sexual health, pelvic pain, fertility, infectious disease, vaginal health and menopause, and aim to expand treatment options, enhance outcomes and improve ease of use for women. We are primarily focused on progressing the development of our existing portfolio of product candidates. However, we also explore opportunities to expand our portfolio and commercial offerings by leveraging assets to which we hold rights or obtaining rights to new assets, with continued focus solely on women's health.</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current portfolio includes five product candidates in advanced clinical development (Phase 2-ready to Phase 3):</w:t>
      </w:r>
    </w:p>
    <w:p>
      <w:pPr>
        <w:spacing w:after="0" w:line="94" w:lineRule="exact"/>
        <w:rPr>
          <w:sz w:val="20"/>
          <w:szCs w:val="20"/>
          <w:color w:val="auto"/>
        </w:rPr>
      </w:pPr>
    </w:p>
    <w:p>
      <w:pPr>
        <w:ind w:left="1020" w:hanging="251"/>
        <w:spacing w:after="0"/>
        <w:tabs>
          <w:tab w:leader="none" w:pos="102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Ovaprene®</w:t>
      </w:r>
      <w:r>
        <w:rPr>
          <w:rFonts w:ascii="Arial" w:cs="Arial" w:eastAsia="Arial" w:hAnsi="Arial"/>
          <w:sz w:val="14"/>
          <w:szCs w:val="14"/>
          <w:color w:val="auto"/>
        </w:rPr>
        <w:t>, a hormone-free, monthly intravaginal contraceptive;</w:t>
      </w:r>
    </w:p>
    <w:p>
      <w:pPr>
        <w:spacing w:after="0" w:line="93" w:lineRule="exact"/>
        <w:rPr>
          <w:rFonts w:ascii="Arial" w:cs="Arial" w:eastAsia="Arial" w:hAnsi="Arial"/>
          <w:sz w:val="14"/>
          <w:szCs w:val="14"/>
          <w:b w:val="1"/>
          <w:bCs w:val="1"/>
          <w:color w:val="auto"/>
        </w:rPr>
      </w:pPr>
    </w:p>
    <w:p>
      <w:pPr>
        <w:ind w:left="1020" w:hanging="251"/>
        <w:spacing w:after="0" w:line="290" w:lineRule="auto"/>
        <w:tabs>
          <w:tab w:leader="none" w:pos="1016"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auto"/>
        </w:rPr>
        <w:t>Sildenafil Cream, 3.6%</w:t>
      </w:r>
      <w:r>
        <w:rPr>
          <w:rFonts w:ascii="Arial" w:cs="Arial" w:eastAsia="Arial" w:hAnsi="Arial"/>
          <w:sz w:val="14"/>
          <w:szCs w:val="14"/>
          <w:color w:val="auto"/>
        </w:rPr>
        <w:t>, a proprietary cream formulation of sildenafil for topical administration to the female genitalia on demand for the treatment of female sexual</w:t>
      </w:r>
      <w:r>
        <w:rPr>
          <w:rFonts w:ascii="Arial" w:cs="Arial" w:eastAsia="Arial" w:hAnsi="Arial"/>
          <w:sz w:val="14"/>
          <w:szCs w:val="14"/>
          <w:b w:val="1"/>
          <w:bCs w:val="1"/>
          <w:color w:val="auto"/>
        </w:rPr>
        <w:t xml:space="preserve"> </w:t>
      </w:r>
      <w:r>
        <w:rPr>
          <w:rFonts w:ascii="Arial" w:cs="Arial" w:eastAsia="Arial" w:hAnsi="Arial"/>
          <w:sz w:val="14"/>
          <w:szCs w:val="14"/>
          <w:color w:val="auto"/>
        </w:rPr>
        <w:t>arousal disorder (FSAD);</w:t>
      </w:r>
    </w:p>
    <w:p>
      <w:pPr>
        <w:spacing w:after="0" w:line="35" w:lineRule="exact"/>
        <w:rPr>
          <w:rFonts w:ascii="Arial" w:cs="Arial" w:eastAsia="Arial" w:hAnsi="Arial"/>
          <w:sz w:val="14"/>
          <w:szCs w:val="14"/>
          <w:color w:val="auto"/>
        </w:rPr>
      </w:pPr>
    </w:p>
    <w:p>
      <w:pPr>
        <w:ind w:left="1020" w:right="800" w:hanging="251"/>
        <w:spacing w:after="0" w:line="290" w:lineRule="auto"/>
        <w:tabs>
          <w:tab w:leader="none" w:pos="1016"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auto"/>
        </w:rPr>
        <w:t>DARE-HRT1</w:t>
      </w:r>
      <w:r>
        <w:rPr>
          <w:rFonts w:ascii="Arial" w:cs="Arial" w:eastAsia="Arial" w:hAnsi="Arial"/>
          <w:sz w:val="14"/>
          <w:szCs w:val="14"/>
          <w:color w:val="auto"/>
        </w:rPr>
        <w:t>, an intravaginal ring designed to deliver combination menopausal hormone therapy, bio-identical 17β-estradiol and progesterone together,</w:t>
      </w:r>
      <w:r>
        <w:rPr>
          <w:rFonts w:ascii="Arial" w:cs="Arial" w:eastAsia="Arial" w:hAnsi="Arial"/>
          <w:sz w:val="14"/>
          <w:szCs w:val="14"/>
          <w:b w:val="1"/>
          <w:bCs w:val="1"/>
          <w:color w:val="auto"/>
        </w:rPr>
        <w:t xml:space="preserve"> </w:t>
      </w:r>
      <w:r>
        <w:rPr>
          <w:rFonts w:ascii="Arial" w:cs="Arial" w:eastAsia="Arial" w:hAnsi="Arial"/>
          <w:sz w:val="14"/>
          <w:szCs w:val="14"/>
          <w:color w:val="auto"/>
        </w:rPr>
        <w:t>continuously over a 28-day period, for the treatment of moderate-to-severe VMS, also known as hot flashes;</w:t>
      </w:r>
    </w:p>
    <w:p>
      <w:pPr>
        <w:spacing w:after="0" w:line="88" w:lineRule="exact"/>
        <w:rPr>
          <w:rFonts w:ascii="Arial" w:cs="Arial" w:eastAsia="Arial" w:hAnsi="Arial"/>
          <w:sz w:val="14"/>
          <w:szCs w:val="14"/>
          <w:color w:val="auto"/>
        </w:rPr>
      </w:pPr>
    </w:p>
    <w:p>
      <w:pPr>
        <w:ind w:left="1020" w:hanging="251"/>
        <w:spacing w:after="0" w:line="290" w:lineRule="auto"/>
        <w:tabs>
          <w:tab w:leader="none" w:pos="1016"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DARE-VVA1</w:t>
      </w:r>
      <w:r>
        <w:rPr>
          <w:rFonts w:ascii="Arial" w:cs="Arial" w:eastAsia="Arial" w:hAnsi="Arial"/>
          <w:sz w:val="14"/>
          <w:szCs w:val="14"/>
          <w:color w:val="auto"/>
        </w:rPr>
        <w:t>, a proprietary formulation of tamoxifen for intravaginal administration being developed as a hormone-free alternative to estrogen-based therapies for</w:t>
      </w:r>
      <w:r>
        <w:rPr>
          <w:rFonts w:ascii="Arial" w:cs="Arial" w:eastAsia="Arial" w:hAnsi="Arial"/>
          <w:sz w:val="14"/>
          <w:szCs w:val="14"/>
          <w:b w:val="1"/>
          <w:bCs w:val="1"/>
          <w:color w:val="auto"/>
        </w:rPr>
        <w:t xml:space="preserve"> </w:t>
      </w:r>
      <w:r>
        <w:rPr>
          <w:rFonts w:ascii="Arial" w:cs="Arial" w:eastAsia="Arial" w:hAnsi="Arial"/>
          <w:sz w:val="14"/>
          <w:szCs w:val="14"/>
          <w:color w:val="auto"/>
        </w:rPr>
        <w:t>the treatment of moderate-to-severe dyspareunia, or pain during sexual intercourse, a symptom of GSM (formerly called VVA); and</w:t>
      </w:r>
    </w:p>
    <w:p>
      <w:pPr>
        <w:spacing w:after="0" w:line="98" w:lineRule="exact"/>
        <w:rPr>
          <w:rFonts w:ascii="Arial" w:cs="Arial" w:eastAsia="Arial" w:hAnsi="Arial"/>
          <w:sz w:val="14"/>
          <w:szCs w:val="14"/>
          <w:b w:val="1"/>
          <w:bCs w:val="1"/>
          <w:color w:val="auto"/>
        </w:rPr>
      </w:pPr>
    </w:p>
    <w:p>
      <w:pPr>
        <w:ind w:left="1020" w:hanging="251"/>
        <w:spacing w:after="0" w:line="290" w:lineRule="auto"/>
        <w:tabs>
          <w:tab w:leader="none" w:pos="1016"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DARE-HPV</w:t>
      </w:r>
      <w:r>
        <w:rPr>
          <w:rFonts w:ascii="Arial" w:cs="Arial" w:eastAsia="Arial" w:hAnsi="Arial"/>
          <w:sz w:val="14"/>
          <w:szCs w:val="14"/>
          <w:color w:val="auto"/>
        </w:rPr>
        <w:t>, a proprietary, fixed-dose formulation of lopinavir and ritonavir in a soft gel vaginal insert, which we plan to develop for the treatment of genital HPV</w:t>
      </w:r>
      <w:r>
        <w:rPr>
          <w:rFonts w:ascii="Arial" w:cs="Arial" w:eastAsia="Arial" w:hAnsi="Arial"/>
          <w:sz w:val="14"/>
          <w:szCs w:val="14"/>
          <w:b w:val="1"/>
          <w:bCs w:val="1"/>
          <w:color w:val="auto"/>
        </w:rPr>
        <w:t xml:space="preserve"> </w:t>
      </w:r>
      <w:r>
        <w:rPr>
          <w:rFonts w:ascii="Arial" w:cs="Arial" w:eastAsia="Arial" w:hAnsi="Arial"/>
          <w:sz w:val="14"/>
          <w:szCs w:val="14"/>
          <w:color w:val="auto"/>
        </w:rPr>
        <w:t>infection in women, treatment of CIN (also known as cervical dysplasia), and other HPV-related pathologies.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portfolio also includes six product candidates in Phase 1 clinical development or that we believe are Phase 1-ready:</w:t>
      </w:r>
    </w:p>
    <w:p>
      <w:pPr>
        <w:spacing w:after="0" w:line="147" w:lineRule="exact"/>
        <w:rPr>
          <w:sz w:val="20"/>
          <w:szCs w:val="20"/>
          <w:color w:val="auto"/>
        </w:rPr>
      </w:pPr>
    </w:p>
    <w:p>
      <w:pPr>
        <w:ind w:left="1020" w:hanging="251"/>
        <w:spacing w:after="0" w:line="290" w:lineRule="auto"/>
        <w:tabs>
          <w:tab w:leader="none" w:pos="1016"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DARE-PDM1, </w:t>
      </w:r>
      <w:r>
        <w:rPr>
          <w:rFonts w:ascii="Arial" w:cs="Arial" w:eastAsia="Arial" w:hAnsi="Arial"/>
          <w:sz w:val="14"/>
          <w:szCs w:val="14"/>
          <w:color w:val="auto"/>
        </w:rPr>
        <w:t>a proprietary hydrogel formulation of diclofenac, a nonsteroidal anti-inflammatory drug, for vaginal administration as a treatment for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dysmenorrhea;</w:t>
      </w:r>
    </w:p>
    <w:p>
      <w:pPr>
        <w:spacing w:after="0" w:line="98" w:lineRule="exact"/>
        <w:rPr>
          <w:rFonts w:ascii="Arial" w:cs="Arial" w:eastAsia="Arial" w:hAnsi="Arial"/>
          <w:sz w:val="14"/>
          <w:szCs w:val="14"/>
          <w:b w:val="1"/>
          <w:bCs w:val="1"/>
          <w:color w:val="auto"/>
        </w:rPr>
      </w:pPr>
    </w:p>
    <w:p>
      <w:pPr>
        <w:ind w:left="1020" w:hanging="251"/>
        <w:spacing w:after="0" w:line="265" w:lineRule="auto"/>
        <w:tabs>
          <w:tab w:leader="none" w:pos="1016"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Casea S</w:t>
      </w:r>
      <w:r>
        <w:rPr>
          <w:rFonts w:ascii="Arial" w:cs="Arial" w:eastAsia="Arial" w:hAnsi="Arial"/>
          <w:sz w:val="14"/>
          <w:szCs w:val="14"/>
          <w:color w:val="auto"/>
        </w:rPr>
        <w:t>, an investigational biodegradable contraceptive implant designed to control release of etonogestrel for a set period of time (18-24 months) before</w:t>
      </w:r>
      <w:r>
        <w:rPr>
          <w:rFonts w:ascii="Arial" w:cs="Arial" w:eastAsia="Arial" w:hAnsi="Arial"/>
          <w:sz w:val="14"/>
          <w:szCs w:val="14"/>
          <w:b w:val="1"/>
          <w:bCs w:val="1"/>
          <w:color w:val="auto"/>
        </w:rPr>
        <w:t xml:space="preserve"> </w:t>
      </w:r>
      <w:r>
        <w:rPr>
          <w:rFonts w:ascii="Arial" w:cs="Arial" w:eastAsia="Arial" w:hAnsi="Arial"/>
          <w:sz w:val="14"/>
          <w:szCs w:val="14"/>
          <w:color w:val="auto"/>
        </w:rPr>
        <w:t>dissolving;</w:t>
      </w:r>
    </w:p>
    <w:p>
      <w:pPr>
        <w:spacing w:after="0" w:line="299" w:lineRule="exact"/>
        <w:rPr>
          <w:rFonts w:ascii="Arial" w:cs="Arial" w:eastAsia="Arial" w:hAnsi="Arial"/>
          <w:sz w:val="14"/>
          <w:szCs w:val="14"/>
          <w:color w:val="auto"/>
        </w:rPr>
      </w:pPr>
    </w:p>
    <w:p>
      <w:pPr>
        <w:ind w:left="1020" w:hanging="251"/>
        <w:spacing w:after="0"/>
        <w:tabs>
          <w:tab w:leader="none" w:pos="102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DARE-204 </w:t>
      </w:r>
      <w:r>
        <w:rPr>
          <w:rFonts w:ascii="Arial" w:cs="Arial" w:eastAsia="Arial" w:hAnsi="Arial"/>
          <w:sz w:val="14"/>
          <w:szCs w:val="14"/>
          <w:color w:val="auto"/>
        </w:rPr>
        <w:t>and</w:t>
      </w:r>
      <w:r>
        <w:rPr>
          <w:rFonts w:ascii="Arial" w:cs="Arial" w:eastAsia="Arial" w:hAnsi="Arial"/>
          <w:sz w:val="14"/>
          <w:szCs w:val="14"/>
          <w:b w:val="1"/>
          <w:bCs w:val="1"/>
          <w:color w:val="auto"/>
        </w:rPr>
        <w:t xml:space="preserve"> DARE-214</w:t>
      </w:r>
      <w:r>
        <w:rPr>
          <w:rFonts w:ascii="Arial" w:cs="Arial" w:eastAsia="Arial" w:hAnsi="Arial"/>
          <w:sz w:val="14"/>
          <w:szCs w:val="14"/>
          <w:color w:val="auto"/>
        </w:rPr>
        <w:t>, injectable formulations of etonogestrel designed to provide contraception over 6-month and 12-month periods, respectively;</w:t>
      </w:r>
    </w:p>
    <w:p>
      <w:pPr>
        <w:spacing w:after="0" w:line="146" w:lineRule="exact"/>
        <w:rPr>
          <w:rFonts w:ascii="Arial" w:cs="Arial" w:eastAsia="Arial" w:hAnsi="Arial"/>
          <w:sz w:val="14"/>
          <w:szCs w:val="14"/>
          <w:b w:val="1"/>
          <w:bCs w:val="1"/>
          <w:color w:val="auto"/>
        </w:rPr>
      </w:pPr>
    </w:p>
    <w:p>
      <w:pPr>
        <w:ind w:left="1020" w:hanging="251"/>
        <w:spacing w:after="0" w:line="290" w:lineRule="auto"/>
        <w:tabs>
          <w:tab w:leader="none" w:pos="1016"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DARE-FRT1</w:t>
      </w:r>
      <w:r>
        <w:rPr>
          <w:rFonts w:ascii="Arial" w:cs="Arial" w:eastAsia="Arial" w:hAnsi="Arial"/>
          <w:sz w:val="14"/>
          <w:szCs w:val="14"/>
          <w:color w:val="auto"/>
        </w:rPr>
        <w:t>, an intravaginal ring designed to deliver bio-identical progesterone continuously for up to 14 days for luteal phase support as part of an 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fertilization treatment plan; and</w:t>
      </w:r>
    </w:p>
    <w:p>
      <w:pPr>
        <w:spacing w:after="0" w:line="98" w:lineRule="exact"/>
        <w:rPr>
          <w:rFonts w:ascii="Arial" w:cs="Arial" w:eastAsia="Arial" w:hAnsi="Arial"/>
          <w:sz w:val="14"/>
          <w:szCs w:val="14"/>
          <w:b w:val="1"/>
          <w:bCs w:val="1"/>
          <w:color w:val="auto"/>
        </w:rPr>
      </w:pPr>
    </w:p>
    <w:p>
      <w:pPr>
        <w:ind w:left="1020" w:hanging="251"/>
        <w:spacing w:after="0"/>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DARE-PTB1</w:t>
      </w:r>
      <w:r>
        <w:rPr>
          <w:rFonts w:ascii="Arial" w:cs="Arial" w:eastAsia="Arial" w:hAnsi="Arial"/>
          <w:sz w:val="14"/>
          <w:szCs w:val="14"/>
          <w:color w:val="auto"/>
        </w:rPr>
        <w:t>, an intravaginal ring designed to deliver bio-identical progesterone continuously for up to 14 days for the prevention of preterm birth.</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our portfolio includes the following preclinical stage programs:</w:t>
      </w:r>
    </w:p>
    <w:p>
      <w:pPr>
        <w:spacing w:after="0" w:line="94" w:lineRule="exact"/>
        <w:rPr>
          <w:sz w:val="20"/>
          <w:szCs w:val="20"/>
          <w:color w:val="auto"/>
        </w:rPr>
      </w:pPr>
    </w:p>
    <w:p>
      <w:pPr>
        <w:ind w:left="1020" w:hanging="251"/>
        <w:spacing w:after="0" w:line="290" w:lineRule="auto"/>
        <w:tabs>
          <w:tab w:leader="none" w:pos="1016"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DARE-LARC1</w:t>
      </w:r>
      <w:r>
        <w:rPr>
          <w:rFonts w:ascii="Arial" w:cs="Arial" w:eastAsia="Arial" w:hAnsi="Arial"/>
          <w:sz w:val="14"/>
          <w:szCs w:val="14"/>
          <w:color w:val="auto"/>
        </w:rPr>
        <w:t>, a contraceptive implant delivering levonorgestrel with a woman-centered design that has the potential to be a long-acting, yet convenient and user-controlled contraceptive option;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7" w:name="page118"/>
    <w:bookmarkEnd w:id="117"/>
    <w:p>
      <w:pPr>
        <w:ind w:left="1020" w:hanging="251"/>
        <w:spacing w:after="0"/>
        <w:tabs>
          <w:tab w:leader="none" w:pos="102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DARE-RH1</w:t>
      </w:r>
      <w:r>
        <w:rPr>
          <w:rFonts w:ascii="Arial" w:cs="Arial" w:eastAsia="Arial" w:hAnsi="Arial"/>
          <w:sz w:val="14"/>
          <w:szCs w:val="14"/>
          <w:color w:val="auto"/>
        </w:rPr>
        <w:t>, a novel approach to non-hormonal contraception for both men and women by targeting the CatSper ion channel; and</w:t>
      </w:r>
    </w:p>
    <w:p>
      <w:pPr>
        <w:spacing w:after="0" w:line="157" w:lineRule="exact"/>
        <w:rPr>
          <w:rFonts w:ascii="Arial" w:cs="Arial" w:eastAsia="Arial" w:hAnsi="Arial"/>
          <w:sz w:val="14"/>
          <w:szCs w:val="14"/>
          <w:b w:val="1"/>
          <w:bCs w:val="1"/>
          <w:color w:val="auto"/>
        </w:rPr>
      </w:pPr>
    </w:p>
    <w:p>
      <w:pPr>
        <w:ind w:left="520" w:right="1660" w:firstLine="249"/>
        <w:spacing w:after="0" w:line="458" w:lineRule="auto"/>
        <w:tabs>
          <w:tab w:leader="none" w:pos="1026"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DARE-PTB2</w:t>
      </w:r>
      <w:r>
        <w:rPr>
          <w:rFonts w:ascii="Arial" w:cs="Arial" w:eastAsia="Arial" w:hAnsi="Arial"/>
          <w:sz w:val="14"/>
          <w:szCs w:val="14"/>
          <w:color w:val="auto"/>
        </w:rPr>
        <w:t>, a novel approach for the prevention and treatment of idiopathic preterm birth through inhibition of a stress response protein.</w:t>
      </w:r>
      <w:r>
        <w:rPr>
          <w:rFonts w:ascii="Arial" w:cs="Arial" w:eastAsia="Arial" w:hAnsi="Arial"/>
          <w:sz w:val="14"/>
          <w:szCs w:val="14"/>
          <w:b w:val="1"/>
          <w:bCs w:val="1"/>
          <w:color w:val="auto"/>
        </w:rPr>
        <w:t xml:space="preserve"> </w:t>
      </w:r>
      <w:r>
        <w:rPr>
          <w:rFonts w:ascii="Arial" w:cs="Arial" w:eastAsia="Arial" w:hAnsi="Arial"/>
          <w:sz w:val="14"/>
          <w:szCs w:val="14"/>
          <w:color w:val="auto"/>
        </w:rPr>
        <w:t>See ITEM 1. "BUSINESS," in Part I of this report for additional information regarding our product candidates.</w:t>
      </w:r>
    </w:p>
    <w:p>
      <w:pPr>
        <w:spacing w:after="0" w:line="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primary operations consist of research and development activities to advance our portfolio of product candidates through late-stage clinical development and/or regulatory approval. During 2025, we are also taking action to bring our proprietary Sildenafil Cream formulation to market under Section 503B of the FDCA. Until we secure additional capital to fund our operating needs, we will focus our resources primarily on advancement of Ovaprene. In addition, we expect to incur significant research and development expenses for the DARE-LARC1 and DARE-HPV programs, but we also expect such expenses will be supported by non-dilutive funding, with respect to DARE-LARC1, through at least 2026, and with respect to DARE-HPV, through October 2026. See Note 15, "Grant Awards" to the accompanying consolidated financial statements for additional information.</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As discussed below, we will need to raise substantial additional capital to continue to fund our operations and execute our current business strategy. Our business is subject to a number of risks common to biopharmaceutical companies (see ITEM 1A. RISK FACTORS in Part I of this report)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Events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Bringing Sildenafil Cream to Market under Section 503B</w:t>
      </w:r>
    </w:p>
    <w:p>
      <w:pPr>
        <w:spacing w:after="0" w:line="1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are taking action to bring our proprietary Sildenafil Cream formulation to market under Section 503B of the FDCA, and we expect to begin recording revenue from sales therefrom, in the fourth quarter of 2025. See ITEM 1. “BUSINESS–503B Compounding” in Part I of this report for additional information.</w:t>
      </w:r>
    </w:p>
    <w:p>
      <w:pPr>
        <w:spacing w:after="0" w:line="12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Bringing our proprietary Sildenafil Cream formulation to market under Section 503B is part of our dual-path approach to bring some of our proprietary formulations to market as soon as practicable because we believe women should not have to wait for a needed solution while we continue to pursue FDA approval of our product candidates. In parallel, we will continue to pursue FDA approval of Sildenafil Cream as a treatment for FSAD. Bringing our proprietary Sildenafil Cream formulation to market via 503B compounding will not impact the regulatory process or commercial opportunity for an FDA-approved Sildenafil Cream product. Rather, if successful, 503B compounding will be a source of revenue from existing assets that is non-dilutive to our stockholders.</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To bring our proprietary Sildenafil Cream formulation to market under Section 503B, among other things, we will need to successfully identify and enter into satisfactory arrangements with one or more 503B-registered outsourcing facilities, and we intend to focus our resources on provider-to-provider education about disease state and our proprietary Sildenafil Cream formulation, leveraging online resources, including web-based ordering platforms and collaborations with telehealth platforms and providers. We anticipate needing to invest no more than $1.0 million to support a 503B-registered outsourcing facility with technology-transfer activities specific to our Sildenafil Cream formulation, activate an awareness campaign, and facilitate access to our proprietary Sildenafil Cream formulation as an option for providers and women. We are targeting the second quarter of 2025 to provide an update on the strategic partnerships to achieve these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Noncompliance with Nasdaq’s Minimum Market Value of Listed Securities Requirement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August 12, 2024, we received a letter from The Nasdaq Stock Market LLC, or Nasdaq, notifying us that we do not meet the requirement in Nasdaq Listing Rule 5550(b)</w:t>
      </w:r>
    </w:p>
    <w:p>
      <w:pPr>
        <w:spacing w:after="0" w:line="23" w:lineRule="exact"/>
        <w:rPr>
          <w:sz w:val="20"/>
          <w:szCs w:val="20"/>
          <w:color w:val="auto"/>
        </w:rPr>
      </w:pPr>
    </w:p>
    <w:p>
      <w:pPr>
        <w:ind w:firstLine="5"/>
        <w:spacing w:after="0" w:line="269" w:lineRule="auto"/>
        <w:tabs>
          <w:tab w:leader="none" w:pos="236"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continued listing on The Nasdaq Capital Market. Nasdaq Listing Rule 5550(b)(2) requires a company listed on Nasdaq to maintain a minimum market value of listed securities of $35.0 million, which we refer to as the Minimum MVLS Rule. We were provided an initial period of 180</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calendar days, or until February 10, 2025, to regain compliance with the Minimum MVLS Rule.</w:t>
      </w:r>
    </w:p>
    <w:p>
      <w:pPr>
        <w:spacing w:after="0" w:line="98"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4"/>
          <w:szCs w:val="14"/>
          <w:color w:val="auto"/>
        </w:rPr>
        <w:t>On February 13</w:t>
      </w:r>
      <w:r>
        <w:rPr>
          <w:rFonts w:ascii="Arial" w:cs="Arial" w:eastAsia="Arial" w:hAnsi="Arial"/>
          <w:sz w:val="16"/>
          <w:szCs w:val="16"/>
          <w:color w:val="auto"/>
        </w:rPr>
        <w:t>,</w:t>
      </w:r>
      <w:r>
        <w:rPr>
          <w:rFonts w:ascii="Arial" w:cs="Arial" w:eastAsia="Arial" w:hAnsi="Arial"/>
          <w:sz w:val="14"/>
          <w:szCs w:val="14"/>
          <w:color w:val="auto"/>
        </w:rPr>
        <w:t xml:space="preserve"> 2025, Nasdaq’s Listing Qualifications Department notified us that because the we did not regain compliance with the Minimum MVLS Rule by February 10, 2025, our common stock is subject to delisting from Nasdaq unless we timely requests a hearing before the Nasdaq Hearing Panel, or the Panel.</w:t>
      </w:r>
    </w:p>
    <w:p>
      <w:pPr>
        <w:spacing w:after="0" w:line="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On February 20, 2025, we requested a hearing before the Panel, which request stayed the delisting of our common stock pending the decision of the Panel following the hearing and the expiration of any extension period that may be granted by the Panel. The hearing occurred on March 25, 2025. Pursuant to published Nasdaq guidance, the Panel typically issues its decision within 30 days of the hearing.</w:t>
      </w:r>
    </w:p>
    <w:p>
      <w:pPr>
        <w:spacing w:after="0" w:line="4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There can be no assurance that the Panel will grant us any extension period within which to regain compliance with the Minimum MVLS Rule, or if any extension period is granted, that we will regain compliance with the Minimum MVLS Rule within such extension period, or that we will be successful in otherwise maintaining the listing of our common stock on The Nasdaq Capital Market. See the risk factor titled, </w:t>
      </w:r>
      <w:r>
        <w:rPr>
          <w:rFonts w:ascii="Arial" w:cs="Arial" w:eastAsia="Arial" w:hAnsi="Arial"/>
          <w:sz w:val="14"/>
          <w:szCs w:val="14"/>
          <w:i w:val="1"/>
          <w:iCs w:val="1"/>
          <w:color w:val="auto"/>
        </w:rPr>
        <w:t>If we fail to regain and maintain compliance with the continued listing requirements of The Nasdaq Capital Market,</w:t>
      </w:r>
      <w:r>
        <w:rPr>
          <w:rFonts w:ascii="Arial" w:cs="Arial" w:eastAsia="Arial" w:hAnsi="Arial"/>
          <w:sz w:val="14"/>
          <w:szCs w:val="14"/>
          <w:color w:val="auto"/>
        </w:rPr>
        <w:t xml:space="preserve"> </w:t>
      </w:r>
      <w:r>
        <w:rPr>
          <w:rFonts w:ascii="Arial" w:cs="Arial" w:eastAsia="Arial" w:hAnsi="Arial"/>
          <w:sz w:val="14"/>
          <w:szCs w:val="14"/>
          <w:i w:val="1"/>
          <w:iCs w:val="1"/>
          <w:color w:val="auto"/>
        </w:rPr>
        <w:t>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w:t>
      </w:r>
      <w:r>
        <w:rPr>
          <w:rFonts w:ascii="Arial" w:cs="Arial" w:eastAsia="Arial" w:hAnsi="Arial"/>
          <w:sz w:val="14"/>
          <w:szCs w:val="14"/>
          <w:color w:val="auto"/>
        </w:rPr>
        <w:t>, under "Risks Related to Our Securities" in ITEM 1A</w:t>
      </w:r>
      <w:r>
        <w:rPr>
          <w:rFonts w:ascii="Arial" w:cs="Arial" w:eastAsia="Arial" w:hAnsi="Arial"/>
          <w:sz w:val="14"/>
          <w:szCs w:val="14"/>
          <w:i w:val="1"/>
          <w:iCs w:val="1"/>
          <w:color w:val="auto"/>
        </w:rPr>
        <w:t>. RISK FACTORS of this report</w:t>
      </w:r>
      <w:r>
        <w:rPr>
          <w:rFonts w:ascii="Arial" w:cs="Arial" w:eastAsia="Arial" w:hAnsi="Arial"/>
          <w:sz w:val="14"/>
          <w:szCs w:val="14"/>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NICHD Performance under the CRADA for the Pivotal Phase 3 Study of Ovaprene</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See ITEM 1. “BUSINESS– Our Pipeline: Clinical-Stage Programs– Ovaprene®– Pivotal Phase 3 Clinical Study” in Part I of this report for a discussion of the impact of executive orders and other actions taken by the new U.S. presidential administration in the first quarter of 2025 on the Phase 3 clinical study of Ovaprene and NICHD’s ability to carry out its responsibilities under the CRADA.</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Theramex Co-Development and Licensing Agreement</w:t>
      </w:r>
    </w:p>
    <w:p>
      <w:pPr>
        <w:spacing w:after="0" w:line="1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See ITEM 1. “BUSINESS– Strategic Agreements for Pipeline Development– Theramex Co-Development and License Agreement” in Part I of this report for a discussion of the agreement we entered into with Theramex in February 2025.</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Grant Funding Installment to Support DARE-LARC1</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December 2024, we received a payment of $2.5 million as the latest installment under a grant to advance the development of our investigational contraceptive DARE-LARC1 in nonclinical proof-of-principle studies and other IND-enabling work to allow for the submission of an IND application with the FDA, approval of which will be required to commence testing in humans. Under the terms of the grant agreement, we may receive a total of up to approximately $49.0 million to support nonclinical development of DARE-LARC1. As of the filing date of this report, we had received a cumulative total of approximately $31.8 million of such total potential amount under the grant agreement. Additional payments are conditioned on the program meeting specified development and reporting milestones. See Note 15, "Grant Awards- Other Non-Dilutive Grant Funding- 2021 DARE-LARC1 Grant Agreement" to the accompanying consolidated financial statements for additional information regarding the grant agreement.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i w:val="1"/>
          <w:iCs w:val="1"/>
          <w:color w:val="auto"/>
        </w:rPr>
        <w:t>Non-Dilutive Funding Awards for DARE-HPV</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December 2024, we received a notice of award from the National Institute of Allergy and Infectious Diseases (NIAID), a component of the NIH, that we were awarded a $1.0 million grant in support of non -clinical activities for the development of DARE-HPV for an initial project year of December 2024 through November 2025, and that an additional $1.0 million was recommended for a subsequent year, subject to the availability of funds and satisfactory progress of the project, as determined by NIAID.</w:t>
      </w:r>
    </w:p>
    <w:p>
      <w:pPr>
        <w:spacing w:after="0" w:line="10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October 2024, we entered into a subaward agreement with National Collegiate Inventors and Innovators Alliance, Inc. d/b/a VentureWell under which we are entitled to receive up to $10.0 million in milestone-based payments subject to our achievement of specified research activities and objectives relating to advancement of our DARE-HPV program, including commencement of a Phase 2 clinical study to evaluate the safety and preliminary efficacy of DARE-HPV for the clearance of high-risk HPV infection in women, over an approximately 24-month period ending in October 2026. We anticipate that more than half of the award amount will become payable to us during the first 12 months of the performance period under the subaward agreement. To date, we have received payments totaling $2.5 million. The subaward agreement was the result of our selection as an awardee by an agency within the HHS.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Agreement to Support the Ovaprene Phase 3 Study and Identification &amp; Development of a New Non-Hormonal Contraceptive Candidate</w:t>
      </w:r>
    </w:p>
    <w:p>
      <w:pPr>
        <w:spacing w:after="0" w:line="15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November 2024, we entered into a grant agreement with the Foundation, under which we were awarded a new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We received an initial payment under the grant agreement of approximately $5.4 million in November 2024. Additional payments are contingent upon our achievement of specified development and reporting milestones during the term of the grant agreement, which extends through October 2026. See Note 15, "Grant Awards--Other Non-Dilutive Grant Funding--2024 Contraceptive Product Candidate Grant Agreement" to the accompanying financial statements for additional information regarding the grant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Line</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October 2024, we entered into a purchase agreement and registration rights agreement with Lincoln Park Capital Fund, LLC, or Lincoln Park. Under the terms and subject to the conditions of the purchase agreement,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over the 24-month period commencing on November 27, 2024, which we refer to as the Commencement Date.</w:t>
      </w:r>
    </w:p>
    <w:p>
      <w:pPr>
        <w:spacing w:after="0" w:line="5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From time to time after the Commencement Date, at our sole discretion, on any business day selected by us on which the closing sale price of our common stock is not below $0.50 per share, we may direct Lincoln Park to purchase up to 30,000 shares of our common stock (or up to 35,000 and 40,000 shares if the closing sale price of our common stock on the day on which we initiate a purchase is not below $5.00 or $7.50, respectively, subject to customary adjustments for stock splits and similar transactions) at a purchase price equal to the lower of (i) the lowest sale price of our common stock on the business day on which we initiate the purchase and (ii) the average of the three lowest closing sale prices of our common stock during the 10-business day period immediately preceding the business day on which we initiate the purchase. However, Lincoln Park’s maximum commitment in any single purchase may not exceed $500,000. In addition, we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we stipulate in our notice to Lincoln Park initiating these purchases.</w:t>
      </w:r>
    </w:p>
    <w:p>
      <w:pPr>
        <w:spacing w:after="0" w:line="5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addition, under applicable Nasdaq rules, we may not issue or sell to Lincoln Park under the purchase agreement more than 1,711,172 shares of our common stock, which we refer to as the Exchange Cap, unless (i) we obtain stockholder approval to issue shares in excess of the Exchange Cap or (ii) the average price of all applicable sales of our common stock to Lincoln Park under the equity line agreement equals or exceeds $3.59 per share (which represents the lower of (A) the official closing price per share of our common stock on Nasdaq immediately preceding the signing of the purchase agreement and (B) the average official closing price of our common stock on Nasdaq for the five consecutive trading days ending on the trading day immediately preceding the date of the purchase agreement). We may also not sell shares to Lincoln Park under the purchase agreement if it would result in Lincoln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4"/>
          <w:szCs w:val="14"/>
          <w:color w:val="auto"/>
        </w:rPr>
        <w:t>Park beneficially owning more than 4.99% of our then outstanding shares of common stock, which limitation we refer to as the beneficial ownership cap. Lincoln Park, upon written notice to us, may increase the beneficial ownership cap to up to 9.99%. Any increase in the beneficial ownership cap will not be effective until the 61st day after such written notice is delivered to us.</w:t>
      </w:r>
    </w:p>
    <w:p>
      <w:pPr>
        <w:spacing w:after="0" w:line="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connection with entering into the purchase agreement, we issued 137,614 shares of our common stock to Lincoln Park in consideration for its commitment to purchase shares thereunder.</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Government Policy and Funding and Regulatory Uncertainty</w:t>
      </w:r>
    </w:p>
    <w:p>
      <w:pPr>
        <w:spacing w:after="0" w:line="14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There may be significant future effects on the women's health sector and the pharmaceutical and biopharmaceutical industries as a result of federal policy and regulatory changes under the new U.S. presidential administration, including in areas relating to regulatory framework and oversight, research and development funding, drug pricing reform, global trade policy and tariffs, and others. We continue to monitor these developments, which could result in new opportunities as well as challenges. The potential effects of these changes on our business could be significant. Our business strategy has included seeking non-dilutive sources of funding and collaborations to support product development, and we have received federal government grants and awards in support of several of our development programs. Our pivotal Phase 3 study of Ovaprene and our DARE-HPV program are being significantly supported by federal government funding. Our pivotal Phase 3 study of Ovaprene is being conducted, in part, under our CRADA with NICHD, and advancement of our DARE-HPV program is being supported by federal government funding under our October 2024 subaward agreement with VentureWell and a December 2024 grant award from NIAID. Our subaward agreement will automatically terminate if the prime agreement from which the federal government funding flows is terminated and may be terminated for convenience by VentureWell if the prime agreement is materially changed in a way that would materially adversely affect VentureWell financially and, if so terminated, we would be paid only for milestones achieved up to the date of termination. As discussed in ITEM 1. "BUSINESS– Our Pipeline: Clinical-Stage Programs– Ovaprene®– Pivotal Phase 3 Clinical Study" in Part I of this report, executive orders and other actions taken by the U.S. presidential administration in the first quarter of 2025 have negatively impacted the Phase 3 study and NICHD's ability to carry out its responsibilities under the CRADA, and future developments, including relating to executive orders issued in January 2025, could have a material adverse impact on the study. Given the high level of uncertainty regarding federal policy and enforcement and regulatory changes under the new U.S. presidential administration and that circumstances are rapidly evolving, including as a result of legal challenges to federal government actions, we are not able to reasonably predict the potential impact on our business at this time.</w:t>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Stock Split</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July 1, 2024, we effected a 1-for-12 reverse split of our issued common stock. At the effective time of the reverse stock split, every 12 shares of our common stock was automatically reclassified and combined into one share of our common stock. No fractional shares were issued as a result of the reverse stock split. Stockholders who would have otherwise been entitled to receive a fractional share instead automatically had their fractional interests rounded up to the next whole share. All common stock share and per share data presented in this report for prior periods have been retroactively adjusted to reflect the impact of the reverse stock split, without giving effect to whole shares issued in lieu of fractional shares. See Notes 2 and 9 to the accompanying consolidated financial statements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Overview</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revenue reflects payments earned under our license agreement with Organon to commercialize XACIATO. Pursuant to our traditional royalty purchase agreement with XOMA, from and after April 1, 2024, all of the royalties and potential milestone payments we would otherwise have the right to receive under our license agreement with Organon based on net sales of XACIATO will be paid to XOMA, net of payments made under our exclusive license agreement with third-party licensors TriLogic Pharma, LLC and MilanaPharm LLC and under our royalty interest financing agreement with UiE. Accordingly, from and after April 1, 2024, any revenue we recognize under our license agreement with Organon based on net sales of XACIATO will be payable to UiE and recognized as non-cash royalty revenue.</w:t>
      </w:r>
    </w:p>
    <w:p>
      <w:pPr>
        <w:spacing w:after="0" w:line="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the future, we may generate revenue from license fees, milestone payments, and research and development payments in connection with strategic collaborations, as well as product sales of future products, if any. Our ability to generate such revenue will depend on the extent to which clinical development of our product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21" w:name="page122"/>
    <w:bookmarkEnd w:id="121"/>
    <w:p>
      <w:pPr>
        <w:jc w:val="both"/>
        <w:spacing w:after="0" w:line="271" w:lineRule="auto"/>
        <w:rPr>
          <w:sz w:val="20"/>
          <w:szCs w:val="20"/>
          <w:color w:val="auto"/>
        </w:rPr>
      </w:pPr>
      <w:r>
        <w:rPr>
          <w:rFonts w:ascii="Arial" w:cs="Arial" w:eastAsia="Arial" w:hAnsi="Arial"/>
          <w:sz w:val="14"/>
          <w:szCs w:val="14"/>
          <w:color w:val="auto"/>
        </w:rPr>
        <w:t>candidates is successful and we or a strategic collaborator receive regulatory approvals to market such product candidates, as well as the eventual commercial success of the approved products. If we fail to complete the development of our product candidates in a timely manner, or to receive regulatory approval for such product candidates, our ability to generate future revenue and our results of operations would be materially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majority of our operating expenses during a fiscal year are research and development, or R&amp;D, expenses, a significant portion of which, excluding those funded by non-dilutive grants, are associated with the clinical development for our product candidates that have reached the human clinical study development phase. We expect our R&amp;D expenses will continue to represent the majority of our operating expenses for at least the next twelve months. R&amp;D expenses consist primarily of:</w:t>
      </w:r>
    </w:p>
    <w:p>
      <w:pPr>
        <w:spacing w:after="0" w:line="102" w:lineRule="exact"/>
        <w:rPr>
          <w:sz w:val="20"/>
          <w:szCs w:val="20"/>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direct program costs, including:</w:t>
      </w:r>
    </w:p>
    <w:p>
      <w:pPr>
        <w:spacing w:after="0" w:line="93" w:lineRule="exact"/>
        <w:rPr>
          <w:rFonts w:ascii="Arial" w:cs="Arial" w:eastAsia="Arial" w:hAnsi="Arial"/>
          <w:sz w:val="14"/>
          <w:szCs w:val="14"/>
          <w:color w:val="auto"/>
        </w:rPr>
      </w:pPr>
    </w:p>
    <w:p>
      <w:pPr>
        <w:ind w:left="760" w:hanging="310"/>
        <w:spacing w:after="0" w:line="290" w:lineRule="auto"/>
        <w:tabs>
          <w:tab w:leader="none" w:pos="757" w:val="left"/>
        </w:tabs>
        <w:numPr>
          <w:ilvl w:val="1"/>
          <w:numId w:val="54"/>
        </w:numPr>
        <w:rPr>
          <w:rFonts w:ascii="Arial" w:cs="Arial" w:eastAsia="Arial" w:hAnsi="Arial"/>
          <w:sz w:val="14"/>
          <w:szCs w:val="14"/>
          <w:color w:val="auto"/>
        </w:rPr>
      </w:pPr>
      <w:r>
        <w:rPr>
          <w:rFonts w:ascii="Arial" w:cs="Arial" w:eastAsia="Arial" w:hAnsi="Arial"/>
          <w:sz w:val="14"/>
          <w:szCs w:val="14"/>
          <w:color w:val="auto"/>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spacing w:after="0" w:line="35" w:lineRule="exact"/>
        <w:rPr>
          <w:rFonts w:ascii="Arial" w:cs="Arial" w:eastAsia="Arial" w:hAnsi="Arial"/>
          <w:sz w:val="14"/>
          <w:szCs w:val="14"/>
          <w:color w:val="auto"/>
        </w:rPr>
      </w:pPr>
    </w:p>
    <w:p>
      <w:pPr>
        <w:ind w:left="760" w:hanging="310"/>
        <w:spacing w:after="0"/>
        <w:tabs>
          <w:tab w:leader="none" w:pos="7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contract manufacturing expenses, primarily for the production of materials for use in our clinical trials and nonclinical studies,</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transaction costs related to acquisitions of companies, technologies and related intellectual property, and other assets, and</w:t>
      </w:r>
    </w:p>
    <w:p>
      <w:pPr>
        <w:spacing w:after="0" w:line="51" w:lineRule="exact"/>
        <w:rPr>
          <w:rFonts w:ascii="Arial" w:cs="Arial" w:eastAsia="Arial" w:hAnsi="Arial"/>
          <w:sz w:val="14"/>
          <w:szCs w:val="14"/>
          <w:color w:val="auto"/>
        </w:rPr>
      </w:pPr>
    </w:p>
    <w:p>
      <w:pPr>
        <w:ind w:left="760" w:hanging="310"/>
        <w:spacing w:after="0" w:line="290" w:lineRule="auto"/>
        <w:tabs>
          <w:tab w:leader="none" w:pos="778" w:val="left"/>
        </w:tabs>
        <w:numPr>
          <w:ilvl w:val="1"/>
          <w:numId w:val="54"/>
        </w:numPr>
        <w:rPr>
          <w:rFonts w:ascii="Arial" w:cs="Arial" w:eastAsia="Arial" w:hAnsi="Arial"/>
          <w:sz w:val="14"/>
          <w:szCs w:val="14"/>
          <w:color w:val="auto"/>
        </w:rPr>
      </w:pPr>
      <w:r>
        <w:rPr>
          <w:rFonts w:ascii="Arial" w:cs="Arial" w:eastAsia="Arial" w:hAnsi="Arial"/>
          <w:sz w:val="14"/>
          <w:szCs w:val="14"/>
          <w:color w:val="auto"/>
        </w:rPr>
        <w:t>milestone payments due to third parties under acquisition and in-licensing arrangements based on our product candidates' achievement of R&amp;D and regulatory milestones specified therein, and</w:t>
      </w:r>
    </w:p>
    <w:p>
      <w:pPr>
        <w:spacing w:after="0" w:line="88"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indirect costs, including:</w:t>
      </w:r>
    </w:p>
    <w:p>
      <w:pPr>
        <w:spacing w:after="0" w:line="93" w:lineRule="exact"/>
        <w:rPr>
          <w:rFonts w:ascii="Arial" w:cs="Arial" w:eastAsia="Arial" w:hAnsi="Arial"/>
          <w:sz w:val="14"/>
          <w:szCs w:val="14"/>
          <w:color w:val="auto"/>
        </w:rPr>
      </w:pPr>
    </w:p>
    <w:p>
      <w:pPr>
        <w:ind w:left="760" w:hanging="310"/>
        <w:spacing w:after="0"/>
        <w:tabs>
          <w:tab w:leader="none" w:pos="7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personnel-related costs, including salaries, bonuses, benefits, payroll taxes, and stock-based compensation expenses for employees engaged in R&amp;D functions,</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costs of services performed by third parties, including consulting services,</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facilities-related costs, including rent and maintenance costs, and insurance, depreciation, supplies, and miscellaneous expenses, and</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costs related to travel, conference participation, service contracts, information technology, dues and subscriptions.</w:t>
      </w:r>
    </w:p>
    <w:p>
      <w:pPr>
        <w:spacing w:after="0" w:line="1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spacing w:after="0" w:line="10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At any one time, we are working on multiple programs at various stages of development. We anticipate that we will make determinations as to which product candidates to pursue and how much funding to direct to each development program on an ongoing basis based on our cash resources and in response to the results of ongoing and future clinical trials and preclinical studies, regulatory developments, and our ongoing assessments as to the commercial potential of each product candidate. We generally track direct R&amp;D costs on a specific basis and will present direct costs for our key development programs on a program-by-program basis. We plan to present direct costs for all other programs on a consolidated basis generally by stage of development. Specifically, we will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auto"/>
        </w:rPr>
        <w:t>opportunities to acquire or in-license other product candidates and technologies, which may result in higher R&amp;D expenses due to, among other factors, milestone payments.</w:t>
      </w:r>
    </w:p>
    <w:p>
      <w:pPr>
        <w:spacing w:after="0" w:line="1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Until the first commercial sale of XACIATO, we recognized contract manufacturing expenses associated with producing commercial supplies of XACIATO and costs of regulatory affairs activities related to XACIATO as R&amp;D expenses. Following the first commercial sale of XACIATO, and during the interim period when we were the NDA holder of XACIATO and provided commercial supplies of XACIATO to Organon, those expenses were recognized as general and administrative expenses.</w:t>
      </w:r>
    </w:p>
    <w:p>
      <w:pPr>
        <w:spacing w:after="0" w:line="10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recognize the Australian Research and Development Tax Incentive Program, or the Tax Incentive, as a reduction of R&amp;D expenses (contra-R&amp;D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spacing w:after="0" w:line="10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our statements of operations as a reduction to R&amp;D expenses (contra-R&amp;D expense). For more information, see Note 2, "Basis of Presentation and Summary of Significant Accounting Policies – Grant Funding" to the accompanying consolidated financial statements. For the years ended December 31, 2024 and 2023, we recognized contra-research and development expense of approximately $8.8 million and $9.3 million, respectively.</w:t>
      </w:r>
    </w:p>
    <w:p>
      <w:pPr>
        <w:spacing w:after="0" w:line="11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 Expenses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License fee expenses consist of up-front license fees and annual license fees due under our in-licensing arrangements.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General and administrative expenses consist of personnel costs, facility expenses, expenses for outside professional services, including legal, audit and accounting services, commercial-readiness expenses,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results of operations and cash flows is discussed in Note 2 to our audited financial statements included elsewhere in this Annual Report on Form 10-K.</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5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Management’s discussion and analysis of financial condition and results of operations is based on our consolidated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our financial statements.</w:t>
      </w:r>
    </w:p>
    <w:p>
      <w:pPr>
        <w:spacing w:after="0" w:line="11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4"/>
          <w:szCs w:val="14"/>
          <w:color w:val="auto"/>
        </w:rPr>
        <w:t>While our significant account policies are described in more detail in Note 2 to our consolidated financial statements included herein, we believe that the following accounting policies are most important to the portrayal of our financial condition and results of operations and require management's most difficult, subjective and complex judgments.</w:t>
      </w:r>
    </w:p>
    <w:p>
      <w:pPr>
        <w:spacing w:after="0" w:line="173" w:lineRule="exact"/>
        <w:rPr>
          <w:sz w:val="20"/>
          <w:szCs w:val="20"/>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Revenue Recognition;</w:t>
      </w:r>
    </w:p>
    <w:p>
      <w:pPr>
        <w:spacing w:after="0" w:line="51" w:lineRule="exact"/>
        <w:rPr>
          <w:rFonts w:ascii="Arial" w:cs="Arial" w:eastAsia="Arial" w:hAnsi="Arial"/>
          <w:sz w:val="14"/>
          <w:szCs w:val="14"/>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Stock-Based Compensation;</w:t>
      </w:r>
    </w:p>
    <w:p>
      <w:pPr>
        <w:spacing w:after="0" w:line="51" w:lineRule="exact"/>
        <w:rPr>
          <w:rFonts w:ascii="Arial" w:cs="Arial" w:eastAsia="Arial" w:hAnsi="Arial"/>
          <w:sz w:val="14"/>
          <w:szCs w:val="14"/>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Sale of Future Payments;</w:t>
      </w:r>
    </w:p>
    <w:p>
      <w:pPr>
        <w:spacing w:after="0" w:line="51" w:lineRule="exact"/>
        <w:rPr>
          <w:rFonts w:ascii="Arial" w:cs="Arial" w:eastAsia="Arial" w:hAnsi="Arial"/>
          <w:sz w:val="14"/>
          <w:szCs w:val="14"/>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Grant Funding; and</w:t>
      </w:r>
    </w:p>
    <w:p>
      <w:pPr>
        <w:spacing w:after="0" w:line="51" w:lineRule="exact"/>
        <w:rPr>
          <w:rFonts w:ascii="Arial" w:cs="Arial" w:eastAsia="Arial" w:hAnsi="Arial"/>
          <w:sz w:val="14"/>
          <w:szCs w:val="14"/>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Clinical Trial Expense Accruals.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Under ASC Topic 606, or ASC 606, we recognize revenue when promised goods or services are transferred to customers in an amount that reflects the consideration to which we expect to be entitled in exchange for those goods or services. To determine revenue recognition for contracts with customers, we perform five steps: (i) identify the contract(s) with a customer; (ii) identify the performance obligations in the contract; (iii) determine the transaction price; (iv) allocate the transaction price to the performance obligations in the contract; and (v) recognize revenue when (or as) we satisfy our performance obligations. At contract inception, we assess the goods or services agreed upon within each contract, assess whether each good or service is distinct, and determines those that are performance obligations. We then recognize as revenue the amount of the transaction price allocated to the respective performance obligation when (or as) the performance obligation is satisfied.</w:t>
      </w:r>
    </w:p>
    <w:p>
      <w:pPr>
        <w:spacing w:after="0" w:line="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 contract with multiple performance obligations,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We evaluate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Collaboration Revenues</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We enter into collaboration and licensing agreements under which we out-license certain rights to our products or product candidates to third</w:t>
      </w:r>
      <w:r>
        <w:rPr>
          <w:rFonts w:ascii="Arial" w:cs="Arial" w:eastAsia="Arial" w:hAnsi="Arial"/>
          <w:sz w:val="14"/>
          <w:szCs w:val="14"/>
          <w:i w:val="1"/>
          <w:iCs w:val="1"/>
          <w:color w:val="auto"/>
        </w:rPr>
        <w:t xml:space="preserve"> </w:t>
      </w:r>
      <w:r>
        <w:rPr>
          <w:rFonts w:ascii="Arial" w:cs="Arial" w:eastAsia="Arial" w:hAnsi="Arial"/>
          <w:sz w:val="14"/>
          <w:szCs w:val="14"/>
          <w:color w:val="auto"/>
        </w:rPr>
        <w:t>parties. The terms of these arrangements typically include payment of one or more of the following to us: non-refundable, up-front license fees; development, regulatory and/or commercial milestone payments; and royalties on net sales of licensed products. To date, we have not recognized any collaboration revenues.</w:t>
      </w:r>
    </w:p>
    <w:p>
      <w:pPr>
        <w:spacing w:after="0" w:line="8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 xml:space="preserve">License Fee Revenue. </w:t>
      </w:r>
      <w:r>
        <w:rPr>
          <w:rFonts w:ascii="Arial" w:cs="Arial" w:eastAsia="Arial" w:hAnsi="Arial"/>
          <w:sz w:val="14"/>
          <w:szCs w:val="14"/>
          <w:color w:val="auto"/>
        </w:rPr>
        <w:t>If the license to our intellectual property is determined to be distinct from the other performance obligations identified in a contract, we recognize</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from non-refundable, upfront fees allocated to the license when the license is transferred to the customer and the customer is able to use and benefit from the license. For licenses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 To date, we have recognized $11.0 million in license fee revenue, all from payments received under our license agreement with Organon to commercialize XACIATO.</w:t>
      </w:r>
    </w:p>
    <w:p>
      <w:pPr>
        <w:spacing w:after="0" w:line="8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i w:val="1"/>
          <w:iCs w:val="1"/>
          <w:color w:val="auto"/>
        </w:rPr>
        <w:t xml:space="preserve">Milestones. </w:t>
      </w:r>
      <w:r>
        <w:rPr>
          <w:rFonts w:ascii="Arial" w:cs="Arial" w:eastAsia="Arial" w:hAnsi="Arial"/>
          <w:sz w:val="14"/>
          <w:szCs w:val="14"/>
          <w:color w:val="auto"/>
        </w:rPr>
        <w:t>At the inception of each arrangement in which we are a licensor and that includes developmental, regulatory or commercial milestones, we evaluate whether</w:t>
      </w:r>
      <w:r>
        <w:rPr>
          <w:rFonts w:ascii="Arial" w:cs="Arial" w:eastAsia="Arial" w:hAnsi="Arial"/>
          <w:sz w:val="14"/>
          <w:szCs w:val="14"/>
          <w:i w:val="1"/>
          <w:iCs w:val="1"/>
          <w:color w:val="auto"/>
        </w:rPr>
        <w:t xml:space="preserve"> </w:t>
      </w:r>
      <w:r>
        <w:rPr>
          <w:rFonts w:ascii="Arial" w:cs="Arial" w:eastAsia="Arial" w:hAnsi="Arial"/>
          <w:sz w:val="14"/>
          <w:szCs w:val="14"/>
          <w:color w:val="auto"/>
        </w:rPr>
        <w:t>achieving the milestones is considered probable and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24" w:name="page125"/>
    <w:bookmarkEnd w:id="124"/>
    <w:p>
      <w:pPr>
        <w:jc w:val="both"/>
        <w:spacing w:after="0" w:line="265" w:lineRule="auto"/>
        <w:rPr>
          <w:sz w:val="20"/>
          <w:szCs w:val="20"/>
          <w:color w:val="auto"/>
        </w:rPr>
      </w:pPr>
      <w:r>
        <w:rPr>
          <w:rFonts w:ascii="Arial" w:cs="Arial" w:eastAsia="Arial" w:hAnsi="Arial"/>
          <w:sz w:val="14"/>
          <w:szCs w:val="14"/>
          <w:color w:val="auto"/>
        </w:rPr>
        <w:t>estimate the amount to be included in the transaction price using the most likely amount method. If it is probable that a significant revenue reversal would not occur, the associated milestone value is included in the transaction price. Milestone payments not within our control, such as where achievement of the specified milestone depends on activities of a third party or regulatory approval, are not considered probable of being achieved until the specified milestone occurs. To date, we have recognized $1.8 million of milestone revenue, which represents the $1.8 million milestone payment we received under our license agreement with Organon in connection with the first commercial sale of XACIATO.</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Royalties. </w:t>
      </w:r>
      <w:r>
        <w:rPr>
          <w:rFonts w:ascii="Arial" w:cs="Arial" w:eastAsia="Arial" w:hAnsi="Arial"/>
          <w:sz w:val="14"/>
          <w:szCs w:val="14"/>
          <w:color w:val="auto"/>
        </w:rPr>
        <w:t>For arrangements that include sales-based royalties, including milestone payments based on the level of sales, and for which the license is deemed to be the</w:t>
      </w:r>
      <w:r>
        <w:rPr>
          <w:rFonts w:ascii="Arial" w:cs="Arial" w:eastAsia="Arial" w:hAnsi="Arial"/>
          <w:sz w:val="14"/>
          <w:szCs w:val="14"/>
          <w:i w:val="1"/>
          <w:iCs w:val="1"/>
          <w:color w:val="auto"/>
        </w:rPr>
        <w:t xml:space="preserve"> </w:t>
      </w:r>
      <w:r>
        <w:rPr>
          <w:rFonts w:ascii="Arial" w:cs="Arial" w:eastAsia="Arial" w:hAnsi="Arial"/>
          <w:sz w:val="14"/>
          <w:szCs w:val="14"/>
          <w:color w:val="auto"/>
        </w:rPr>
        <w:t>predominant item to which the royalties relate, we recognize revenue at the later of (i) when the related sales occur, or (ii) when the performance obligation to which some or all of the royalty has been allocated has been satisfied (or partially satisfied). To date, we have recognized approximately $18,000 of royalty revenue.</w:t>
      </w:r>
    </w:p>
    <w:p>
      <w:pPr>
        <w:spacing w:after="0" w:line="8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Product Supply. </w:t>
      </w:r>
      <w:r>
        <w:rPr>
          <w:rFonts w:ascii="Arial" w:cs="Arial" w:eastAsia="Arial" w:hAnsi="Arial"/>
          <w:sz w:val="14"/>
          <w:szCs w:val="14"/>
          <w:color w:val="auto"/>
        </w:rPr>
        <w:t>Arrangements that include a promise for future supply of product for commercial supply at the licensee’s discretion are generally considered as options. We</w:t>
      </w:r>
      <w:r>
        <w:rPr>
          <w:rFonts w:ascii="Arial" w:cs="Arial" w:eastAsia="Arial" w:hAnsi="Arial"/>
          <w:sz w:val="14"/>
          <w:szCs w:val="14"/>
          <w:i w:val="1"/>
          <w:iCs w:val="1"/>
          <w:color w:val="auto"/>
        </w:rPr>
        <w:t xml:space="preserve"> </w:t>
      </w:r>
      <w:r>
        <w:rPr>
          <w:rFonts w:ascii="Arial" w:cs="Arial" w:eastAsia="Arial" w:hAnsi="Arial"/>
          <w:sz w:val="14"/>
          <w:szCs w:val="14"/>
          <w:color w:val="auto"/>
        </w:rPr>
        <w:t>assess if these options provide a material right to the licensee and if so, they are accounted for as separate performance obligations. We evaluate whether we are the principal or agent in the arrangement based on the degree we control the specified product at any time before transfer to the customer. If we are in the capacity of a principal, revenues are recognized on a gross basis. If we are in the capacity of an agent, revenues are recognized on a net basis. To date, we have recognized approximately $205,000 in revenue (and $201,000 in other expense attributed to the cost of revenue) associated with our XACIATO product supply arrangement, which is recorded in other income in our consolidated statements of operations and comprehensive loss. In connection with the transfer of the NDA for XACIATO to Organon in December 2023, that arrangement was terminated and we will not recognize product supply revenue associated with that arrangement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compensation cost for all stock-based awards is measured at the grant date, based on the fair value of the award (determined using a Black-Scholes option pricing model), and is recognized as an expense over the requisite service period (generally the vesting period of the award). Determining the fair value of stock-based awards at the grant date requires significant estimates and judgments, including estimating the market price volatility of our common stock, future stock option exercise behavior and requisite service periods. Due to our limited history of stock option exercises, we applied the simplified method prescribed by SEC Staff Accounting Bulletin 110, Share-Based Payment: Certain Assumptions Used in Valuation Methods - Expected Term, to estimate expected life.</w:t>
      </w:r>
    </w:p>
    <w:p>
      <w:pPr>
        <w:spacing w:after="0" w:line="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Stock options or stock awards with performance conditions issued to non-employees who are not directors are measured on the grant date and recognized when the performance is complete. Refer to Note 10 to our consolidated financial statements included in this report for more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Future Payments</w:t>
      </w:r>
    </w:p>
    <w:p>
      <w:pPr>
        <w:spacing w:after="0" w:line="12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 xml:space="preserve">On April 29, 2024, we entered into and closed a traditional royalty purchase agreement and a synthetic royalty purchase agreement with XOMA (US) LLC (“XOMA”) pursuant to which we sold our right, title and interest in the following to XOMA (i) all future net royalty and potential net milestone payments we would otherwise receive from Organon based on net sales of XACIATO, (ii) a portion of future net sales of Ovaprene and a portion of a potential future milestone payment we may receive under our license agreement with Bayer related to Ovaprene, and (iii) a portion of future net sales of Sildenafil Cream. We received $22.0 million from XOMA in connection with entering into the royalty purchase agreements. Under the terms of the royalty purchase agreements, if XOMA receives total payments under the royalty purchase agreements equal to an amount that exceeds $ 88.0 million, XOMA will pay $11.0 million to us for each successive $22.0 million XOMA receives under the royalty purchase agreements. If we earn any such payments, they will be accounted for as variable consideration under ASC 606,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and will be recorded as income when such payments are received.</w:t>
      </w:r>
    </w:p>
    <w:p>
      <w:pPr>
        <w:spacing w:after="0" w:line="7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evaluated the expected cash flows to XOMA from royalties and milestone payments expected to be earned on XACIATO, Ovaprene and Sildenafil Cream over the period that we expect it will take for XOMA to receive total payments of $ 88.0 million under the royalty purchase agreements, and determined to allocate the $22.0 million we received from XOMA in connection with entering into the royalty purchase agreements, net of transaction costs of approximately $1.6 million, to the traditional royalty purchase agreement for XACIATO, and none of it to the synthetic royalty purchase agreement for Ovaprene and Sildenafil Cream. Until such time that we are certain of commercialization, the cash flows to XOMA from royalties and milestone payments expected to be earned on Ovaprene and Sildenafil Cream are expected to be de minimis over the period that we expect it will take for XOMA to</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receive total payments of $88.0 million under the royalty purchase agreements because, unlike XACIATO, Ovaprene and Sildenafil Cream are not commercial assets at this time.</w:t>
      </w:r>
    </w:p>
    <w:p>
      <w:pPr>
        <w:spacing w:after="0" w:line="11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determined that the traditional royalty purchase agreement represents a complete sale of a nonfinancial asset (our right, title and interest in and to future payments related to commercial sales of XACIATO) for which XOMA bears all benefit and for which we have no obligations or involvement going forward, and therefore should be accounted for within the scope of Accounting Standards Codification ("</w:t>
      </w:r>
      <w:r>
        <w:rPr>
          <w:rFonts w:ascii="Arial" w:cs="Arial" w:eastAsia="Arial" w:hAnsi="Arial"/>
          <w:sz w:val="14"/>
          <w:szCs w:val="14"/>
          <w:i w:val="1"/>
          <w:iCs w:val="1"/>
          <w:color w:val="auto"/>
        </w:rPr>
        <w:t>ASC") 610-20, Other Income - Gains and Losses from the Derecognition of Nonfinancial Assets</w:t>
      </w:r>
      <w:r>
        <w:rPr>
          <w:rFonts w:ascii="Arial" w:cs="Arial" w:eastAsia="Arial" w:hAnsi="Arial"/>
          <w:sz w:val="14"/>
          <w:szCs w:val="14"/>
          <w:color w:val="auto"/>
        </w:rPr>
        <w:t>. The $22.0 million net of transaction costs of approximately $1.6 million was recorded as other income on our consolidated statements of operations and comprehensive loss.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Funding</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receive certain research and development funding under grants issued by the U.S. government and a not-for-profit foundation. In accordance with a policy we adopted in 2018, we recognize grant funding in the statements of operations as a reduction to R&amp;D expense, or contra R&amp;D, as the related costs are incurred to meet those obligations over the grant period. Grant funding payments received in advance of research and development expenses incurred are recorded as deferred grant funding liability in our consolidated balance sheets. For the years ended December 31, 2024 and December 31, 2023, there were no material adjustments to our prior period estimates of grant funded research and development expenses. Refer to Note 15 to our consolidated financial statements included in this report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 Expense Accruals</w:t>
      </w:r>
    </w:p>
    <w:p>
      <w:pPr>
        <w:spacing w:after="0" w:line="1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estimate expenses resulting from our obligations under contracts with vendors, CROs and consultants and under clinical site agreements in connection with conducting clinical trials. The financial terms of these contracts vary and may result in payment flows that do not match the periods over which materials or services are provided.</w:t>
      </w:r>
    </w:p>
    <w:p>
      <w:pPr>
        <w:spacing w:after="0" w:line="8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record clinical trial expenses in the period in which services are performed and efforts are expended. We accrue for these expenses according to the progress of the trial as measured by patient progression and the timing of various aspects of the trial. We estimate accruals through financial models taking into account discussion with applicable personnel and outside service providers as to the progress of trials. During the course of a clinical trial, we may adjust our clinical accruals if actual results differ from our estimates. We estimate accrued expenses as of each balance sheet date based on the facts and circumstances known at that time. Our clinical trial accruals are dependent upon accurate reporting by CROs and other third-party vendors. Although we do not expect our estimates to differ materially from amounts actually incurred, our understanding of the status and timing of services performed relative to the actual status and timing of services performed may vary and may result in reporting amounts that are too high or too low for any particular period. For the years ended December 31, 2024 and December 31, 2023 there were no material adjustments to our prior period estimates of accrued expenses for clinical trials.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December 31, 2024 and 2023</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following table summarizes our consolidated results of operations for the years ended December 31, 2024 and 2023, and the change in the applicable line item in terms of dollars and percentage:</w:t>
      </w:r>
    </w:p>
    <w:p>
      <w:pPr>
        <w:spacing w:after="0" w:line="83" w:lineRule="exact"/>
        <w:rPr>
          <w:sz w:val="20"/>
          <w:szCs w:val="20"/>
          <w:color w:val="auto"/>
        </w:rPr>
      </w:pPr>
    </w:p>
    <w:tbl>
      <w:tblPr>
        <w:tblLayout w:type="fixed"/>
        <w:tblInd w:w="196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1"/>
                <w:szCs w:val="11"/>
                <w:b w:val="1"/>
                <w:bCs w:val="1"/>
                <w:color w:val="auto"/>
              </w:rPr>
              <w:t>Years Ended</w:t>
            </w:r>
          </w:p>
        </w:tc>
        <w:tc>
          <w:tcPr>
            <w:tcW w:w="120" w:type="dxa"/>
            <w:vAlign w:val="bottom"/>
          </w:tcPr>
          <w:p>
            <w:pPr>
              <w:spacing w:after="0"/>
              <w:rPr>
                <w:sz w:val="10"/>
                <w:szCs w:val="10"/>
                <w:color w:val="auto"/>
              </w:rPr>
            </w:pPr>
          </w:p>
        </w:tc>
        <w:tc>
          <w:tcPr>
            <w:tcW w:w="1280" w:type="dxa"/>
            <w:vAlign w:val="bottom"/>
            <w:gridSpan w:val="3"/>
            <w:vMerge w:val="restart"/>
          </w:tcPr>
          <w:p>
            <w:pPr>
              <w:ind w:left="70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00" w:type="dxa"/>
            <w:vAlign w:val="bottom"/>
          </w:tcPr>
          <w:p>
            <w:pPr>
              <w:ind w:left="180"/>
              <w:spacing w:after="0"/>
              <w:rPr>
                <w:sz w:val="20"/>
                <w:szCs w:val="20"/>
                <w:color w:val="auto"/>
              </w:rPr>
            </w:pPr>
            <w:r>
              <w:rPr>
                <w:rFonts w:ascii="Arial" w:cs="Arial" w:eastAsia="Arial" w:hAnsi="Arial"/>
                <w:sz w:val="14"/>
                <w:szCs w:val="14"/>
                <w:color w:val="auto"/>
              </w:rPr>
              <w:t>License fee revenue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Milestone revenue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2"/>
        </w:trPr>
        <w:tc>
          <w:tcPr>
            <w:tcW w:w="2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Royalty revenue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2,807,885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(2,798,101)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9,156,061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12,109,691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(2,953,630)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2"/>
        </w:trPr>
        <w:tc>
          <w:tcPr>
            <w:tcW w:w="2900" w:type="dxa"/>
            <w:vAlign w:val="bottom"/>
          </w:tcPr>
          <w:p>
            <w:pPr>
              <w:ind w:left="16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14,205,208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21,538,074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(7,332,866)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License fee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23,461,269</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33,747,765</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(10,286,496)</w:t>
            </w:r>
          </w:p>
        </w:tc>
        <w:tc>
          <w:tcPr>
            <w:tcW w:w="1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(23,451,485)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(30,939,880)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7,488,395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6"/>
        </w:trPr>
        <w:tc>
          <w:tcPr>
            <w:tcW w:w="2900" w:type="dxa"/>
            <w:vAlign w:val="bottom"/>
          </w:tcPr>
          <w:p>
            <w:pPr>
              <w:ind w:left="10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 of royalty and milestone rights, net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20,379,376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12"/>
        </w:trPr>
        <w:tc>
          <w:tcPr>
            <w:tcW w:w="29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 (expense), net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(981,490)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778,489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(1,759,979)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(4,053,599)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(30,161,391)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26,107,792</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Revenues for the years ended December 31, 2024 and 2023 related to our license agreement with Organon to commercialize XACIATO. For 2023, we recognized $1.0 million in license fee revenue upon execution of the amendment to the license agreement in July 2023, $1.8 million in milestone revenue in connection with the first commercial sale of XACIATO, and approximately $7,900 in royalties from net sales of XACIATO in the fourth quarter.</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decrease of approximately $3.0 million in general and administrative expenses from 2023 to 2024 was primarily attributable to decreases in (i) commercial-readiness expenses of approximately $1.6 million, (ii) personnel costs of approximately $0.6 million due to reduced headcount, (iii) stock-based compensation expense of approximately $0.3 million, (iv) a one-time fraud loss in the first quarter of 2023 of approximately $0.2 million, net of proceeds we received under an insurance policy, related to criminal fraud commonly referred to as "business email compromise fraud" to which we were subject, and (v) professional services expenses of approximately $0.2 million.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R&amp;D expenses for the periods indicated, together with the changes in those items in terms of dollars and percentage: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27" w:name="page128"/>
    <w:bookmarkEnd w:id="127"/>
    <w:tbl>
      <w:tblPr>
        <w:tblLayout w:type="fixed"/>
        <w:tblInd w:w="2020" w:type="dxa"/>
        <w:tblCellMar>
          <w:top w:w="0" w:type="dxa"/>
          <w:left w:w="0" w:type="dxa"/>
          <w:bottom w:w="0" w:type="dxa"/>
          <w:right w:w="0" w:type="dxa"/>
        </w:tblCellMar>
      </w:tblPr>
      <w:tr>
        <w:trPr>
          <w:trHeight w:val="126"/>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1"/>
                <w:szCs w:val="11"/>
                <w:b w:val="1"/>
                <w:bCs w:val="1"/>
                <w:color w:val="auto"/>
              </w:rPr>
              <w:t>Years Ended</w:t>
            </w:r>
          </w:p>
        </w:tc>
        <w:tc>
          <w:tcPr>
            <w:tcW w:w="140" w:type="dxa"/>
            <w:vAlign w:val="bottom"/>
          </w:tcPr>
          <w:p>
            <w:pPr>
              <w:spacing w:after="0"/>
              <w:rPr>
                <w:sz w:val="10"/>
                <w:szCs w:val="10"/>
                <w:color w:val="auto"/>
              </w:rPr>
            </w:pPr>
          </w:p>
        </w:tc>
        <w:tc>
          <w:tcPr>
            <w:tcW w:w="1100" w:type="dxa"/>
            <w:vAlign w:val="bottom"/>
            <w:gridSpan w:val="3"/>
            <w:vMerge w:val="restart"/>
          </w:tcPr>
          <w:p>
            <w:pPr>
              <w:ind w:left="540"/>
              <w:spacing w:after="0"/>
              <w:rPr>
                <w:sz w:val="20"/>
                <w:szCs w:val="20"/>
                <w:color w:val="auto"/>
              </w:rPr>
            </w:pPr>
            <w:r>
              <w:rPr>
                <w:rFonts w:ascii="Arial" w:cs="Arial" w:eastAsia="Arial" w:hAnsi="Arial"/>
                <w:sz w:val="11"/>
                <w:szCs w:val="11"/>
                <w:b w:val="1"/>
                <w:bCs w:val="1"/>
                <w:color w:val="auto"/>
              </w:rPr>
              <w:t>Change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Direct program costs:</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60"/>
              <w:spacing w:after="0"/>
              <w:rPr>
                <w:sz w:val="20"/>
                <w:szCs w:val="20"/>
                <w:color w:val="auto"/>
              </w:rPr>
            </w:pPr>
            <w:r>
              <w:rPr>
                <w:rFonts w:ascii="Arial" w:cs="Arial" w:eastAsia="Arial" w:hAnsi="Arial"/>
                <w:sz w:val="14"/>
                <w:szCs w:val="14"/>
                <w:color w:val="auto"/>
              </w:rPr>
              <w:t xml:space="preserve">Ovaprene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8,518,495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3,762,611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4,755,884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Sildenafil Cream, 3.6%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2,361,052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2"/>
        </w:trPr>
        <w:tc>
          <w:tcPr>
            <w:tcW w:w="3280" w:type="dxa"/>
            <w:vAlign w:val="bottom"/>
          </w:tcPr>
          <w:p>
            <w:pPr>
              <w:ind w:left="260"/>
              <w:spacing w:after="0"/>
              <w:rPr>
                <w:sz w:val="20"/>
                <w:szCs w:val="20"/>
                <w:color w:val="auto"/>
              </w:rPr>
            </w:pPr>
            <w:r>
              <w:rPr>
                <w:rFonts w:ascii="Arial" w:cs="Arial" w:eastAsia="Arial" w:hAnsi="Arial"/>
                <w:sz w:val="14"/>
                <w:szCs w:val="14"/>
                <w:color w:val="auto"/>
              </w:rPr>
              <w:t>Other advanced clinical stage programs</w:t>
            </w:r>
          </w:p>
        </w:tc>
        <w:tc>
          <w:tcPr>
            <w:tcW w:w="1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1,321,888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3,498,955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(2,177,067)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Phase 1 and Phase 1-ready clinical stage</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761,721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2,912,857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(2,151,136)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ind w:left="260"/>
              <w:spacing w:after="0" w:line="187" w:lineRule="exact"/>
              <w:rPr>
                <w:sz w:val="20"/>
                <w:szCs w:val="20"/>
                <w:color w:val="auto"/>
              </w:rPr>
            </w:pPr>
            <w:r>
              <w:rPr>
                <w:rFonts w:ascii="Arial" w:cs="Arial" w:eastAsia="Arial" w:hAnsi="Arial"/>
                <w:sz w:val="14"/>
                <w:szCs w:val="14"/>
                <w:color w:val="auto"/>
              </w:rPr>
              <w:t xml:space="preserve">programs </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60"/>
              <w:spacing w:after="0"/>
              <w:rPr>
                <w:sz w:val="20"/>
                <w:szCs w:val="20"/>
                <w:color w:val="auto"/>
              </w:rPr>
            </w:pPr>
            <w:r>
              <w:rPr>
                <w:rFonts w:ascii="Arial" w:cs="Arial" w:eastAsia="Arial" w:hAnsi="Arial"/>
                <w:sz w:val="14"/>
                <w:szCs w:val="14"/>
                <w:color w:val="auto"/>
              </w:rPr>
              <w:t xml:space="preserve">Preclinical stage programs </w:t>
            </w:r>
            <w:r>
              <w:rPr>
                <w:rFonts w:ascii="Arial" w:cs="Arial" w:eastAsia="Arial" w:hAnsi="Arial"/>
                <w:sz w:val="18"/>
                <w:szCs w:val="18"/>
                <w:color w:val="auto"/>
                <w:vertAlign w:val="superscript"/>
              </w:rPr>
              <w:t>(1)</w:t>
            </w:r>
          </w:p>
        </w:tc>
        <w:tc>
          <w:tcPr>
            <w:tcW w:w="1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4,233,762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7,432,439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(3,198,677)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development programs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27,542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2"/>
        </w:trPr>
        <w:tc>
          <w:tcPr>
            <w:tcW w:w="3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 xml:space="preserve">Contra R&amp;D expenses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(7,685,533)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(8,965,347)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1,279,814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direct program costs</w:t>
            </w: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9,538,927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16,577,485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(7,038,558)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20"/>
                <w:szCs w:val="20"/>
                <w:color w:val="auto"/>
              </w:rPr>
            </w:pPr>
            <w:r>
              <w:rPr>
                <w:rFonts w:ascii="Arial" w:cs="Arial" w:eastAsia="Arial" w:hAnsi="Arial"/>
                <w:sz w:val="14"/>
                <w:szCs w:val="14"/>
                <w:b w:val="1"/>
                <w:bCs w:val="1"/>
                <w:color w:val="auto"/>
              </w:rPr>
              <w:t>Indirect costs: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Personnel-related (including stock</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5,611,057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5,566,016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45,041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60"/>
              <w:spacing w:after="0"/>
              <w:rPr>
                <w:sz w:val="20"/>
                <w:szCs w:val="20"/>
                <w:color w:val="auto"/>
              </w:rPr>
            </w:pPr>
            <w:r>
              <w:rPr>
                <w:rFonts w:ascii="Arial" w:cs="Arial" w:eastAsia="Arial" w:hAnsi="Arial"/>
                <w:sz w:val="14"/>
                <w:szCs w:val="14"/>
                <w:color w:val="auto"/>
              </w:rPr>
              <w:t>Outside services (including consulting)</w:t>
            </w:r>
          </w:p>
        </w:tc>
        <w:tc>
          <w:tcPr>
            <w:tcW w:w="1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Facilities-related (including depreciation)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78,168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2"/>
        </w:trPr>
        <w:tc>
          <w:tcPr>
            <w:tcW w:w="3280" w:type="dxa"/>
            <w:vAlign w:val="bottom"/>
          </w:tcPr>
          <w:p>
            <w:pPr>
              <w:ind w:left="260"/>
              <w:spacing w:after="0"/>
              <w:rPr>
                <w:sz w:val="20"/>
                <w:szCs w:val="20"/>
                <w:color w:val="auto"/>
              </w:rPr>
            </w:pPr>
            <w:r>
              <w:rPr>
                <w:rFonts w:ascii="Arial" w:cs="Arial" w:eastAsia="Arial" w:hAnsi="Arial"/>
                <w:sz w:val="14"/>
                <w:szCs w:val="14"/>
                <w:color w:val="auto"/>
              </w:rPr>
              <w:t>Other indirect R&amp;D costs</w:t>
            </w:r>
          </w:p>
        </w:tc>
        <w:tc>
          <w:tcPr>
            <w:tcW w:w="1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176,061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259,936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Contra R&amp;D expenses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(1,199,548)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(989,716)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indirect R&amp;D costs</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4,666,281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4,960,589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(294,308)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R&amp;D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14,205,208</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21,538,074</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(7,332,866)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2540" w:right="2080" w:hanging="256"/>
        <w:spacing w:after="0" w:line="233" w:lineRule="auto"/>
        <w:tabs>
          <w:tab w:leader="none" w:pos="2532"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The applicable program(s) receive grant funding and/or the Tax Incentive. The amount of R&amp;D expense for the period indicated is shown on a gross basis (i.e., without deducting the amount of contra R&amp;D expense for the applicable program(s). See footnote (2) below.</w:t>
      </w:r>
    </w:p>
    <w:p>
      <w:pPr>
        <w:spacing w:after="0" w:line="40" w:lineRule="exact"/>
        <w:rPr>
          <w:rFonts w:ascii="Arial" w:cs="Arial" w:eastAsia="Arial" w:hAnsi="Arial"/>
          <w:sz w:val="14"/>
          <w:szCs w:val="14"/>
          <w:i w:val="1"/>
          <w:iCs w:val="1"/>
          <w:color w:val="auto"/>
        </w:rPr>
      </w:pPr>
    </w:p>
    <w:p>
      <w:pPr>
        <w:ind w:left="2540" w:right="2100" w:hanging="256"/>
        <w:spacing w:after="0" w:line="226" w:lineRule="auto"/>
        <w:tabs>
          <w:tab w:leader="none" w:pos="2532"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These contra R&amp;D expenses were recognized as follows for the years ended December 31, 2024 and 2023: (a) Ovaprene, $0.2 million, and $0, respectively; (b) Other advanced clinical stage programs, $0 and $0.1 million, respectively, (c) Phase 1 and Phase 1-ready clinical stage programs, $1.3 million and $0.9 million, respectively; and (d) Preclinical stage programs, $6.2 million and $7.9 million, respectively.</w:t>
      </w:r>
    </w:p>
    <w:p>
      <w:pPr>
        <w:spacing w:after="0" w:line="200" w:lineRule="exact"/>
        <w:rPr>
          <w:sz w:val="20"/>
          <w:szCs w:val="20"/>
          <w:color w:val="auto"/>
        </w:rPr>
      </w:pPr>
    </w:p>
    <w:p>
      <w:pPr>
        <w:spacing w:after="0" w:line="274"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The decrease of approximately $7.3 million in R&amp;D expenses from 2023 to 2024 was primarily attributable to a decrease in costs related to development activities for Sildenafil Cream as a result of the completion of the Phase 2b RESPOND clinical study completed in June 2023, partially offset by increases in costs related to our ongoing pivotal Phase 3 clinical trial of Ovaprene and manufacturing and regulatory affairs activities for Ovaprene. Contra-R&amp;D expenses for the years ended December 31, 2024 and 2023 primarily offset direct program costs for DARE-LARC1, one of our preclinical stage programs.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 expenses</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For each of the years ended December 31, 2024 and December 31, 2023 we accrued or paid $100,000 of the annual license maintenance fee payable under our license agreement related to DARE-HRT1. For further discussion of this annual license maintenance fee, see Note 3 "Strategic Agreements—Strategic Agreements for Pipeline Development" to the accompanying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Sale of royalty and milestone rights, net</w:t>
      </w:r>
    </w:p>
    <w:p>
      <w:pPr>
        <w:spacing w:after="0" w:line="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$20.4 million of other net income for 2024 represents the $22.0 million payment to us in April 2024 under the Royalty Purchase Agreements, net of approximately $1.6 million in transaction costs.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Other income (expense), net</w:t>
      </w:r>
    </w:p>
    <w:p>
      <w:pPr>
        <w:spacing w:after="0" w:line="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decrease of $1.8 million in other income (expense) for 2024 as compared to 2023 was primarily due to a loss on the disposal of a fixed asset of $0.6 million, interest expense related to the Royalty Interest Agreement in 2024 of approximately $0.8 million, and decreased interest earned on cash balances in 2024.</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 of Operations and Future Funding Requirements</w:t>
      </w:r>
    </w:p>
    <w:p>
      <w:pPr>
        <w:spacing w:after="0" w:line="12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At December 31, 2024, we had an accumulated deficit of approximately $175.3 million, cash and cash equivalents of approximately $15.7 million, and a working capital deficit of approximately $3.2 million. We will need additional capital to fund our operating needs into the third quarter of 2025 and to meet our current obligations as they become due. All of our cash and cash equivalents at December 31, 2024 represented funds received under grant agreements that generally may be applied solely toward direct costs of carrying out the respective projects under those grant agreements.</w:t>
      </w:r>
    </w:p>
    <w:p>
      <w:pPr>
        <w:spacing w:after="0" w:line="10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We prepared the accompanying consolidated financial statements on a going concern basis, which assumes that we will realize our assets and satisfy our liabilities in the normal course of business. We have a history of losses from operations and we expect significant losses from operations, net losses, and negative cash flows from operations for at least the next several years as we continue to develop and seek to bring to market our product candidates. We are dependent on securing substantial additional capital from one or more third-party sources to satisfy our working capital needs and other liquidity requirements over at least the next 12 months from the date of issuance of the accompanying consolidated financial statements. These circumstances raise substantial doubt about our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We are in ongoing discussions with potential third-party sources of additional capital, and we will continue to evaluate and may pursue a variety of capital raising options, including sales of equity (including sales of our common stock under our equity line arrangement and in ATM offerings (see “—Capital Resources,” below)), debt financings, government or other grant funding, collaborations, structured financings, and strategic alliances or other similar types of arrangements. However, our ability to raise additional capital will depend on a variety of factors, many aspects of which are not entirely within our control, and there can be no assurance that capital will be available when needed or that, if available, it will be obtained on terms favorable to us and our stockholders. Raising additional capital may cause substantial dilution to our stockholders, restrict our operations or require us to relinquish rights in our technologies or product candidates and their future revenue streams. See the risk factors under “Risks Related to Our Financial Position and Capital Needs” in ITEM 1A. RISK FACTORS of this report.</w:t>
      </w:r>
    </w:p>
    <w:p>
      <w:pPr>
        <w:spacing w:after="0" w:line="11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highlight w:val="lightGray"/>
        </w:rPr>
        <w:t xml:space="preserve">If </w:t>
      </w:r>
      <w:r>
        <w:rPr>
          <w:rFonts w:ascii="Arial" w:cs="Arial" w:eastAsia="Arial" w:hAnsi="Arial"/>
          <w:sz w:val="14"/>
          <w:szCs w:val="14"/>
          <w:color w:val="auto"/>
        </w:rPr>
        <w:t>we cannot raise capital when needed, on favorable terms or at all, we will not be able to continue development of our product candidates, will need to reevaluate our</w:t>
      </w:r>
      <w:r>
        <w:rPr>
          <w:rFonts w:ascii="Arial" w:cs="Arial" w:eastAsia="Arial" w:hAnsi="Arial"/>
          <w:sz w:val="14"/>
          <w:szCs w:val="14"/>
          <w:color w:val="auto"/>
          <w:highlight w:val="lightGray"/>
        </w:rPr>
        <w:t xml:space="preserve"> </w:t>
      </w:r>
      <w:r>
        <w:rPr>
          <w:rFonts w:ascii="Arial" w:cs="Arial" w:eastAsia="Arial" w:hAnsi="Arial"/>
          <w:sz w:val="14"/>
          <w:szCs w:val="14"/>
          <w:color w:val="auto"/>
        </w:rPr>
        <w:t>planned operations and may need to delay, scale back or eliminate some or all of our product candidate programs, reduce expenses, file for bankruptcy, reorganize, merge with another entity, or cease operations. For example, in recent years, due to our limited capital resources, we have focused our resources primarily on the advancement of Ovaprene and Sildenafil Cream, unless a program has been supported by grant or other non-dilutive funding, and we have delayed R&amp;D activities for other programs.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 majority of our operating expenses during a fiscal year are R&amp;D expenses. Our R&amp;D expenses for 2025, until we secure additional capital to fund our operating needs, will be primarily associated with our ongoing pivotal Phase 3 clinical study of Ovaprene. However, we plan to continue to advance preclinical development of DARE-LARC1, the costs of which are being supported by grant funding, and, with the support of funding under our October 2024 subaward agreement and the December 2024 NIAID grant award, to advance development of DARE-HPV toward a Phase 2 clinical study. Assuming we are able to raise the necessary capital to continue our operations, we anticipate our R&amp;D expenses and our general and administrative expenses for 2025 will be similar to the amount of such expenses for 2024.</w:t>
      </w:r>
    </w:p>
    <w:p>
      <w:pPr>
        <w:spacing w:after="0" w:line="10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expect our operating expenses for the foreseeable future to continue to be R&amp;D expenses and general and administrative expenses consistent with the nature of such expenses described above under “Financial Overview.” Our future expenses could also include significant costs related to commercialization of our product candidates, if approved, depending on the type, nature and terms of commercial collaborations we establish, and in particular, if we determine to engage in commercialization activities directly as opposed to through a third-party collaborator. Our future capital requirements are difficult to predict because they will depend on many factors that are highly variable and difficult to predict, including, but not limited to, those discussed under “Risks Related to Our Financial Position and Capital Needs” in ITEM 1A. RISK FACTORS of this report. We cannot accurately determine the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color w:val="auto"/>
        </w:rPr>
        <w:t>duration and completion costs of our development programs, or if, when and to what extent we will generate revenue from any products we develop.</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Resources</w:t>
      </w:r>
    </w:p>
    <w:p>
      <w:pPr>
        <w:spacing w:after="0" w:line="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spacing w:after="0" w:line="8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have a sales agreement with Stifel, Nicolaus &amp; Company, Incorporated, or Stifel, to sell shares of our common stock from time to time through an ATM offering under which Stifel acts as our agent. During 2024, we sold 109,655 shares of our common stock under the sales agreement for net proceeds of approximately $0.5 million. Shares of our common stock sold under the sales agreement will be offered and sold under our shelf registration statement on Form S-3 (File No. 333-278380), declared effective by the SEC on May 10, 2024, the base prospectus included therein and the prospectus supplement thereto dated May 10, 2024 relating to the offering of up to $18.1 million of shares of our common stock, and any subsequent prospectus supplement related to the offering of shares of our common stock under the sales agreement.</w:t>
      </w:r>
    </w:p>
    <w:p>
      <w:pPr>
        <w:spacing w:after="0" w:line="11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have a purchase agreement with Lincoln Park under which, subject to the conditions thereof,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over the 24-month period commencing on November 27, 2024. We did not sell any shares of our common stock under this purchase agreement during 2024. See “—Recent Events—Equity Line,” above.</w:t>
      </w:r>
    </w:p>
    <w:p>
      <w:pPr>
        <w:spacing w:after="0" w:line="10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As discussed above, we are seeking to bring our proprietary Sildenafil Cream formulation to market under Section 503B of the FDCA, and we expect to begin recording revenue from sales therefrom, in the fourth quarter of 2025, however, we do not expect the amount of such revenue, if any, to be material during 2025.</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Our royalty purchase agreements with XOMA may be a source of future capital; however, whether we receive any future payments from XOMA will depend on whether XOMA first receives total payments under those agreements equal to an amount that exceeds $88.0 million, which may not occur and will depend, in part, on the commercial success of XACIATO, which is outside of our control.</w:t>
      </w:r>
    </w:p>
    <w:p>
      <w:pPr>
        <w:spacing w:after="0" w:line="11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Our license agreement with Bayer regarding the further development and commercialization of Ovaprene in the U.S., if approved, may be a future source of capital; however, whether we receive any future payments from Bayer will depend on whether Bayer, in its sole discretion, exercises its right to make the license effective by paying us $20.0 million after we complete the ongoing pivotal Phase 3 clinical study of Ovaprene, which we do not expect to be completed in 2025. In addition, a portion of that potential $20.0 million payment from Bayer would be payable to XOMA as discussed under “—Contractual Obligations and Other Commitments—Royalty Purchase Agreements with XOMA,” below.</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Grant Funding</w:t>
      </w:r>
    </w:p>
    <w:p>
      <w:pPr>
        <w:spacing w:after="0" w:line="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have received substantial funding under grant agreements with the Foundation, and we generally receive grant funds before we incur the eligible expenses. Under the terms of such grant agreements, the funds we receive may be applied solely toward direct costs of carrying out the respective projects under those grant agreements, other than approximately 10% of such funds, which may be applied toward general overhead and administration expenses that support our entire operations. Funds received that have not been spent are recorded both as cash and cash equivalents and as a deferred grant funding liability in our consolidated balance sheets. Funds received that have been spent but not yet expensed in accordance with GAAP are also recorded as part deferred grant funding liability in our consolidated balance sheets. As of December 31, 2024, our deferred grant funding liability was approximately $16.6 million, substantially all of which consisted of unspent funds for the DARE-LARC1 program and the Ovaprene Phase 3 clinical study. For more information about these grant agreements, see Note 2, "Basis of Presentation and Summary of Significant Accounting Policies—Grant Funding," and Note 15, "Grant Awards-Other Non-Dilutive Grant Funding" to the accompanying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a summary of our cash flows for the periods indicated:</w:t>
      </w:r>
    </w:p>
    <w:p>
      <w:pPr>
        <w:spacing w:after="0" w:line="113" w:lineRule="exact"/>
        <w:rPr>
          <w:sz w:val="20"/>
          <w:szCs w:val="20"/>
          <w:color w:val="auto"/>
        </w:rPr>
      </w:pPr>
    </w:p>
    <w:p>
      <w:pPr>
        <w:ind w:left="9380"/>
        <w:spacing w:after="0"/>
        <w:rPr>
          <w:sz w:val="20"/>
          <w:szCs w:val="20"/>
          <w:color w:val="auto"/>
        </w:rPr>
      </w:pPr>
      <w:r>
        <w:rPr>
          <w:rFonts w:ascii="Arial" w:cs="Arial" w:eastAsia="Arial" w:hAnsi="Arial"/>
          <w:sz w:val="11"/>
          <w:szCs w:val="11"/>
          <w:b w:val="1"/>
          <w:bCs w:val="1"/>
          <w:color w:val="auto"/>
        </w:rPr>
        <w:t>Years Ended</w:t>
      </w:r>
    </w:p>
    <w:p>
      <w:pPr>
        <w:ind w:left="936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814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2023</w:t>
            </w:r>
          </w:p>
        </w:tc>
      </w:tr>
      <w:tr>
        <w:trPr>
          <w:trHeight w:val="171"/>
        </w:trPr>
        <w:tc>
          <w:tcPr>
            <w:tcW w:w="8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5,394,247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(38,856,654)</w:t>
            </w:r>
          </w:p>
        </w:tc>
      </w:tr>
      <w:tr>
        <w:trPr>
          <w:trHeight w:val="180"/>
        </w:trPr>
        <w:tc>
          <w:tcPr>
            <w:tcW w:w="8140" w:type="dxa"/>
            <w:vAlign w:val="bottom"/>
          </w:tcPr>
          <w:p>
            <w:pPr>
              <w:ind w:left="1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(573,046)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(629,430)</w:t>
            </w:r>
          </w:p>
        </w:tc>
      </w:tr>
      <w:tr>
        <w:trPr>
          <w:trHeight w:val="180"/>
        </w:trPr>
        <w:tc>
          <w:tcPr>
            <w:tcW w:w="8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433,830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15,637,120</w:t>
            </w:r>
          </w:p>
        </w:tc>
      </w:tr>
      <w:tr>
        <w:trPr>
          <w:trHeight w:val="180"/>
        </w:trPr>
        <w:tc>
          <w:tcPr>
            <w:tcW w:w="8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(67,913)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(9,585)</w:t>
            </w:r>
          </w:p>
        </w:tc>
      </w:tr>
      <w:tr>
        <w:trPr>
          <w:trHeight w:val="196"/>
        </w:trPr>
        <w:tc>
          <w:tcPr>
            <w:tcW w:w="8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5,187,119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(23,858,549)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operating activities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Cash used in operating activities during the year ended December 31, 2024 included the net loss of $4.1 million, decreased by non-cash stock-based compensation expense of approximately $2.2 million. Components providing operating cash were a decrease in prepaid expenses of approximately $ 3.6 million, an increase in deferred grant funding of approximately $2.8 million, a decrease in other receivables of approximately $0.7 million, an increase in interest payable of approximately $0.5 million related to the Royalty Interest Financing Agreement, an increase in accrued expenses of $ 0.2 million, and a decrease in deposits of $0.4 million. Components reducing operating cash were a decrease in accounts payable of approximately $1.9 million and a decrease in other non-current assets of approximately $34,000.</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Cash used in operating activities during the year ended December 31, 2023 included the net loss of $30.2 million, decreased by non-cash stock-based compensation expense of approximately $ 2.5 million. Components providing operating cash were an increase in accounts payable of approximately $1.4 million, a decrease in other receivables of approximately $0.8 million, and a decrease in prepaid expenses of approximately $0.5 million. Components reducing operating cash were a decrease in accrued expenses of approximately $8.3 million, a decrease in deferred grant funding of approximately $4.6 million, an increase in deposits of $1.2 million primarily related to deposits paid for the construction of capital equipment, and a decrease in other non-current assets of approximately $10,000.</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investing activities</w:t>
      </w:r>
    </w:p>
    <w:p>
      <w:pPr>
        <w:spacing w:after="0" w:line="1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Net cash used in investing activities during the years ended December 31, 2024 and December 31, 2023 was related to purchases of property and equipment of approximately $573,000 and $629,000,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financing activities</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Net cash provided by financing activities during the year ended December 31, 2024 was approximately $0.4 million and primarily consisted of proceeds from (i) the sale of our common stock under our ATM sales agreement and (ii) the financing of certain director and officer and other liability insurance premiums, partially offset by payments on the insurance financing payable.</w:t>
      </w:r>
    </w:p>
    <w:p>
      <w:pPr>
        <w:spacing w:after="0" w:line="11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Net cash provided by financing activities during the year ended December 31, 2023 was approximately $15.6 million and consisted of proceeds from (i) the sale of our common stock and warrants in the registered direct offering completed in September 2023 of approximately $7.0 million, (ii) the sale of future royalties of approximately $4.7 million, net, (iii) the sales of our common stock under our ATM sales agreement of approximately $2.3 million, net, (iv) the exercise of warrants of approximately $1.3 million, and (v) the financing of certain director and officer and other liability insurance premiums of approximately $0.6 million net of payments made of approximately $0.3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and Royalty Agreements</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have assembled our product pipeline primarily through acquisitions, in-license agreements, and other collaborations. We agreed to make royalty and milestone payments, and in some cases annual license fee payments, under the license and development agreements related to XACIATO, Ovaprene, and Sildenafil Cream and under other agreements related to our other clinical and preclinical candidates.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outside of our control. During 2025, based on our current expectations regarding the progress of development of our product candidates and sales of XACIATO, we expect approximately $0.1 million of such payments to upstream licensors to become payable.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Agreements</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For information regarding our grant agreements with the Foundation, see "--Deferred Grant Funding," above, Note 2, "Basis of Presentation and Summary of Significant Accounting Policies—Grant Funding" and Note 15, "Grant Awards-Other Non-Dilutive Grant Funding" to the accompanying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Royalty Purchase Agreements with XOMA</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April 2024, we entered into a traditional royalty purchase agreement and a synthetic royalty purchase agreement with XOMA (which, together, we refer to as the Royalty Purchase Agreements) pursuant to which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(such net amount we refer to as the Purchased Receivables); (b) a portion of a potential future $20.0 million payment from Bayer under our license agreement relating to Ovaprene and a portion of future net sales of Ovaprene; and (c) a portion of future net sales of Sildenafil Cream (such amounts described in the foregoing clauses (b) and</w:t>
      </w:r>
    </w:p>
    <w:p>
      <w:pPr>
        <w:spacing w:after="0" w:line="1" w:lineRule="exact"/>
        <w:rPr>
          <w:sz w:val="20"/>
          <w:szCs w:val="20"/>
          <w:color w:val="auto"/>
        </w:rPr>
      </w:pPr>
    </w:p>
    <w:p>
      <w:pPr>
        <w:jc w:val="both"/>
        <w:ind w:firstLine="5"/>
        <w:spacing w:after="0" w:line="261" w:lineRule="auto"/>
        <w:tabs>
          <w:tab w:leader="none" w:pos="21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collectively refer to as the Revenue Participation Right). We received $22.0 million from XOMA in connection with entering into the Royalty Purchase Agreements. If XOMA receives total payments equal to an amount that exceeds $88.0 million, XOMA will pay $11.0 million to us for each successive $22.0 million XOMA receives under the Royalty Purchase Agreements.</w:t>
      </w:r>
    </w:p>
    <w:p>
      <w:pPr>
        <w:spacing w:after="0" w:line="10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We cannot elect to receive any additional funding from UiE under our royalty interest financing agreement with UiE without XOMA’s prior written consent.</w:t>
      </w:r>
    </w:p>
    <w:p>
      <w:pPr>
        <w:spacing w:after="0" w:line="10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connection with the synthetic royalty purchase agreement, we granted to XOMA a security interest in certain product assets related to Ovaprene and Sildenafil Cream. The Royalty Purchase Agreements include covenants that limit or restrict our ability to incur indebtedness or liens related to the Purchased Receivables, the Revenue Participation Right, and certain product assets related to Ovaprene and Sildenafil Cream (except pursuant to a suitable intercreditor agreement).</w:t>
      </w:r>
    </w:p>
    <w:p>
      <w:pPr>
        <w:spacing w:after="0" w:line="11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For more information regarding our contractual obligations to XOMA, see ITEM 1. “BUSINESS— Royalty Monetization Transactions— Traditional and Synthetic Royalty Purchase Agreements with XOMA” in Part I of this report and Note 13 “Royalty Purchase Agreements” to the accompanying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Royalty Interest Financing Agreement</w:t>
      </w:r>
    </w:p>
    <w:p>
      <w:pPr>
        <w:spacing w:after="0" w:line="36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December 2023, we entered into a royalty interest financing agreement with UiE pursuant to which we sold an interest in the royalty and milestone payments we are entitled to receive in respect of net sales of XACIATO under our license agreement with Organon and received a payment of $5.0 million from UiE. We have not elected to receive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32" w:name="page133"/>
    <w:bookmarkEnd w:id="132"/>
    <w:p>
      <w:pPr>
        <w:jc w:val="both"/>
        <w:spacing w:after="0" w:line="265" w:lineRule="auto"/>
        <w:rPr>
          <w:sz w:val="20"/>
          <w:szCs w:val="20"/>
          <w:color w:val="auto"/>
        </w:rPr>
      </w:pPr>
      <w:r>
        <w:rPr>
          <w:rFonts w:ascii="Arial" w:cs="Arial" w:eastAsia="Arial" w:hAnsi="Arial"/>
          <w:sz w:val="14"/>
          <w:szCs w:val="14"/>
          <w:color w:val="auto"/>
        </w:rPr>
        <w:t>any of the up to $7.0 million in potential additional payments from UiE under the agreement, and we cannot do so without XOMA’s prior written consent.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As described above, XOMA, at its sole cost and discretion, may repay in full and retire all of our payment obligations to UiE under the royalty interest financing agreement.</w:t>
      </w:r>
    </w:p>
    <w:p>
      <w:pPr>
        <w:spacing w:after="0" w:line="10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For more information regarding our contractual obligations to UiE, see ITEM 1. “BUSINESS— Royalty Monetization Transactions— Royalty Interest Financing Agreement” in Part I of this report and Note 12 “Royalty Interest Financing” to the accompanying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Contractual Obligations</w:t>
      </w:r>
    </w:p>
    <w:p>
      <w:pPr>
        <w:spacing w:after="0" w:line="1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2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For descriptions of additional contractual obligations and commitments, see Note 14 “Commitments and Contingencies” to the accompanying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applicable SEC rules.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SEC rules and regulations, as a smaller reporting company we are not required to provide the information required by this item.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consolidated financial statements required to be included in this Item 8 are set forth in a separate section of this report commencing on page F-1.</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December 31, 2024 at the reasonable assurance level.</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Rule 13a-15(f) of the Exchange Act). Our internal control over financial reporting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33" w:name="page134"/>
    <w:bookmarkEnd w:id="133"/>
    <w:p>
      <w:pPr>
        <w:jc w:val="both"/>
        <w:spacing w:after="0" w:line="265" w:lineRule="auto"/>
        <w:rPr>
          <w:sz w:val="20"/>
          <w:szCs w:val="20"/>
          <w:color w:val="auto"/>
        </w:rPr>
      </w:pPr>
      <w:r>
        <w:rPr>
          <w:rFonts w:ascii="Arial" w:cs="Arial" w:eastAsia="Arial" w:hAnsi="Arial"/>
          <w:sz w:val="14"/>
          <w:szCs w:val="14"/>
          <w:color w:val="auto"/>
        </w:rPr>
        <w:t>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2024 to provide reasonable assurance regarding the reliability of financial reporting and the preparation of financial statements in accordance with generally accepted accounting principles in the United States.</w:t>
      </w:r>
    </w:p>
    <w:p>
      <w:pPr>
        <w:spacing w:after="0" w:line="5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There was no change in our internal control over financial reporting identified in connection with the evaluation required by Rules 13a-15(d) and 15d-15(d) of the Exchange Act that occurred during the fourth quarter ended December 31, 2024 that has materially affected, or is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57" w:lineRule="exact"/>
        <w:rPr>
          <w:sz w:val="20"/>
          <w:szCs w:val="20"/>
          <w:color w:val="auto"/>
        </w:rPr>
      </w:pPr>
    </w:p>
    <w:p>
      <w:pPr>
        <w:ind w:left="720" w:hanging="206"/>
        <w:spacing w:after="0"/>
        <w:tabs>
          <w:tab w:leader="none" w:pos="7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None.</w:t>
      </w:r>
    </w:p>
    <w:p>
      <w:pPr>
        <w:spacing w:after="0" w:line="146" w:lineRule="exact"/>
        <w:rPr>
          <w:rFonts w:ascii="Arial" w:cs="Arial" w:eastAsia="Arial" w:hAnsi="Arial"/>
          <w:sz w:val="14"/>
          <w:szCs w:val="14"/>
          <w:color w:val="auto"/>
        </w:rPr>
      </w:pPr>
    </w:p>
    <w:p>
      <w:pPr>
        <w:jc w:val="both"/>
        <w:ind w:firstLine="514"/>
        <w:spacing w:after="0" w:line="271" w:lineRule="auto"/>
        <w:tabs>
          <w:tab w:leader="none" w:pos="741" w:val="left"/>
        </w:tabs>
        <w:numPr>
          <w:ilvl w:val="0"/>
          <w:numId w:val="58"/>
        </w:numPr>
        <w:rPr>
          <w:rFonts w:ascii="Arial" w:cs="Arial" w:eastAsia="Arial" w:hAnsi="Arial"/>
          <w:sz w:val="14"/>
          <w:szCs w:val="14"/>
          <w:color w:val="auto"/>
        </w:rPr>
      </w:pPr>
      <w:r>
        <w:rPr>
          <w:rFonts w:ascii="Arial" w:cs="Arial" w:eastAsia="Arial" w:hAnsi="Arial"/>
          <w:sz w:val="14"/>
          <w:szCs w:val="14"/>
          <w:color w:val="auto"/>
        </w:rPr>
        <w:t>During the period from October 1, 2024 to December 31, 2024,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34" w:name="page135"/>
    <w:bookmarkEnd w:id="134"/>
    <w:p>
      <w:pPr>
        <w:ind w:left="5380"/>
        <w:spacing w:after="0"/>
        <w:rPr>
          <w:sz w:val="20"/>
          <w:szCs w:val="20"/>
          <w:color w:val="auto"/>
        </w:rPr>
      </w:pPr>
      <w:r>
        <w:rPr>
          <w:rFonts w:ascii="Arial" w:cs="Arial" w:eastAsia="Arial" w:hAnsi="Arial"/>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9" w:lineRule="exact"/>
        <w:rPr>
          <w:sz w:val="20"/>
          <w:szCs w:val="20"/>
          <w:color w:val="auto"/>
        </w:rPr>
      </w:pPr>
    </w:p>
    <w:p>
      <w:pPr>
        <w:ind w:right="859" w:firstLine="509"/>
        <w:spacing w:after="0" w:line="490" w:lineRule="auto"/>
        <w:rPr>
          <w:sz w:val="20"/>
          <w:szCs w:val="20"/>
          <w:color w:val="auto"/>
        </w:rPr>
      </w:pPr>
      <w:r>
        <w:rPr>
          <w:rFonts w:ascii="Arial" w:cs="Arial" w:eastAsia="Arial" w:hAnsi="Arial"/>
          <w:sz w:val="14"/>
          <w:szCs w:val="14"/>
          <w:color w:val="auto"/>
        </w:rPr>
        <w:t xml:space="preserve">The information required by this item will be included in the Company's 2025 Proxy Statement and is incorporated in this report by reference. </w:t>
      </w:r>
      <w:r>
        <w:rPr>
          <w:rFonts w:ascii="Arial" w:cs="Arial" w:eastAsia="Arial" w:hAnsi="Arial"/>
          <w:sz w:val="14"/>
          <w:szCs w:val="14"/>
          <w:b w:val="1"/>
          <w:bCs w:val="1"/>
          <w:color w:val="auto"/>
        </w:rPr>
        <w:t>ITEM 11. EXECUTIVE COMPENSATION</w:t>
      </w:r>
    </w:p>
    <w:p>
      <w:pPr>
        <w:ind w:right="859" w:firstLine="509"/>
        <w:spacing w:after="0" w:line="482" w:lineRule="auto"/>
        <w:rPr>
          <w:sz w:val="20"/>
          <w:szCs w:val="20"/>
          <w:color w:val="auto"/>
        </w:rPr>
      </w:pPr>
      <w:r>
        <w:rPr>
          <w:rFonts w:ascii="Arial" w:cs="Arial" w:eastAsia="Arial" w:hAnsi="Arial"/>
          <w:sz w:val="14"/>
          <w:szCs w:val="14"/>
          <w:color w:val="auto"/>
        </w:rPr>
        <w:t xml:space="preserve">The information required by this item will be included in the Company's 2025 Proxy Statement and is incorporated in this report by reference. </w:t>
      </w:r>
      <w:r>
        <w:rPr>
          <w:rFonts w:ascii="Arial" w:cs="Arial" w:eastAsia="Arial" w:hAnsi="Arial"/>
          <w:sz w:val="14"/>
          <w:szCs w:val="14"/>
          <w:b w:val="1"/>
          <w:bCs w:val="1"/>
          <w:color w:val="auto"/>
        </w:rPr>
        <w:t>ITEM 12. SECURITY OWNERSHIP OF CERTAIN BENEFICIAL OWNERS AND MANAGEMENT AND RELATED STOCKHOLDER MATTERS</w:t>
      </w:r>
    </w:p>
    <w:p>
      <w:pPr>
        <w:spacing w:after="0" w:line="1" w:lineRule="exact"/>
        <w:rPr>
          <w:sz w:val="20"/>
          <w:szCs w:val="20"/>
          <w:color w:val="auto"/>
        </w:rPr>
      </w:pPr>
    </w:p>
    <w:p>
      <w:pPr>
        <w:ind w:right="859" w:firstLine="509"/>
        <w:spacing w:after="0" w:line="482" w:lineRule="auto"/>
        <w:rPr>
          <w:sz w:val="20"/>
          <w:szCs w:val="20"/>
          <w:color w:val="auto"/>
        </w:rPr>
      </w:pPr>
      <w:r>
        <w:rPr>
          <w:rFonts w:ascii="Arial" w:cs="Arial" w:eastAsia="Arial" w:hAnsi="Arial"/>
          <w:sz w:val="14"/>
          <w:szCs w:val="14"/>
          <w:color w:val="auto"/>
        </w:rPr>
        <w:t xml:space="preserve">The information required by this item will be included in the Company's 2025 Proxy Statement and is incorporated in this report by reference. </w:t>
      </w:r>
      <w:r>
        <w:rPr>
          <w:rFonts w:ascii="Arial" w:cs="Arial" w:eastAsia="Arial" w:hAnsi="Arial"/>
          <w:sz w:val="14"/>
          <w:szCs w:val="14"/>
          <w:b w:val="1"/>
          <w:bCs w:val="1"/>
          <w:color w:val="auto"/>
        </w:rPr>
        <w:t>ITEM 13. CERTAIN RELATIONSHIPS AND RELATED TRANSACTIONS, AND DIRECTOR INDEPENDENCE</w:t>
      </w:r>
    </w:p>
    <w:p>
      <w:pPr>
        <w:spacing w:after="0" w:line="1" w:lineRule="exact"/>
        <w:rPr>
          <w:sz w:val="20"/>
          <w:szCs w:val="20"/>
          <w:color w:val="auto"/>
        </w:rPr>
      </w:pPr>
    </w:p>
    <w:p>
      <w:pPr>
        <w:ind w:right="859" w:firstLine="509"/>
        <w:spacing w:after="0" w:line="490" w:lineRule="auto"/>
        <w:rPr>
          <w:sz w:val="20"/>
          <w:szCs w:val="20"/>
          <w:color w:val="auto"/>
        </w:rPr>
      </w:pPr>
      <w:r>
        <w:rPr>
          <w:rFonts w:ascii="Arial" w:cs="Arial" w:eastAsia="Arial" w:hAnsi="Arial"/>
          <w:sz w:val="14"/>
          <w:szCs w:val="14"/>
          <w:color w:val="auto"/>
        </w:rPr>
        <w:t xml:space="preserve">The information required by this item will be included in the Company's 2025 Proxy Statement and is incorporated in this report by reference. </w:t>
      </w:r>
      <w:r>
        <w:rPr>
          <w:rFonts w:ascii="Arial" w:cs="Arial" w:eastAsia="Arial" w:hAnsi="Arial"/>
          <w:sz w:val="14"/>
          <w:szCs w:val="14"/>
          <w:b w:val="1"/>
          <w:bCs w:val="1"/>
          <w:color w:val="auto"/>
        </w:rPr>
        <w:t>ITEM 14. PRINCIPAL ACCOUNTANT FEES AND SERVICES</w:t>
      </w:r>
    </w:p>
    <w:p>
      <w:pPr>
        <w:ind w:left="520"/>
        <w:spacing w:after="0"/>
        <w:rPr>
          <w:sz w:val="20"/>
          <w:szCs w:val="20"/>
          <w:color w:val="auto"/>
        </w:rPr>
      </w:pPr>
      <w:r>
        <w:rPr>
          <w:rFonts w:ascii="Arial" w:cs="Arial" w:eastAsia="Arial" w:hAnsi="Arial"/>
          <w:sz w:val="14"/>
          <w:szCs w:val="14"/>
          <w:color w:val="auto"/>
        </w:rPr>
        <w:t>The information required by this item will be included in the Company's 2025 Proxy Statement and is incorporated in this report by reference.</w:t>
      </w:r>
    </w:p>
    <w:p>
      <w:pPr>
        <w:spacing w:after="0" w:line="34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634"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4"/>
          <w:szCs w:val="14"/>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47" w:lineRule="exact"/>
        <w:rPr>
          <w:sz w:val="20"/>
          <w:szCs w:val="20"/>
          <w:color w:val="auto"/>
        </w:rPr>
      </w:pPr>
    </w:p>
    <w:p>
      <w:pPr>
        <w:ind w:left="720" w:hanging="206"/>
        <w:spacing w:after="0"/>
        <w:tabs>
          <w:tab w:leader="none" w:pos="72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annual report on Form 10-K:</w:t>
      </w:r>
    </w:p>
    <w:p>
      <w:pPr>
        <w:spacing w:after="0" w:line="146" w:lineRule="exact"/>
        <w:rPr>
          <w:rFonts w:ascii="Arial" w:cs="Arial" w:eastAsia="Arial" w:hAnsi="Arial"/>
          <w:sz w:val="14"/>
          <w:szCs w:val="14"/>
          <w:color w:val="auto"/>
        </w:rPr>
      </w:pPr>
    </w:p>
    <w:p>
      <w:pPr>
        <w:ind w:left="220" w:hanging="215"/>
        <w:spacing w:after="0"/>
        <w:tabs>
          <w:tab w:leader="none" w:pos="22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“Index to Consolidated Financial Statements” on page F-1.</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Schedules</w:t>
      </w:r>
    </w:p>
    <w:p>
      <w:pPr>
        <w:spacing w:after="0" w:line="147"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Exhibits</w:t>
      </w:r>
    </w:p>
    <w:p>
      <w:pPr>
        <w:spacing w:after="0" w:line="147"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Exhibits not filed or furnished herewith are incorporated by reference to exhibits previously filed with the SEC, as reflected in the table below. We will furnish a copy of any exhibit to stockholders, without charge upon written request to Daré Bioscience, Inc., 3655 Nobel Drive, Suite 260, San Diego, CA 92122, or by calling 858-926-7655.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129"/>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220" w:type="dxa"/>
            <w:vAlign w:val="bottom"/>
            <w:vMerge w:val="continue"/>
          </w:tcPr>
          <w:p>
            <w:pPr>
              <w:spacing w:after="0"/>
              <w:rPr>
                <w:sz w:val="10"/>
                <w:szCs w:val="10"/>
                <w:color w:val="auto"/>
              </w:rPr>
            </w:pPr>
          </w:p>
        </w:tc>
        <w:tc>
          <w:tcPr>
            <w:tcW w:w="352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Filing Date</w:t>
            </w: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 No.</w:t>
            </w:r>
          </w:p>
        </w:tc>
        <w:tc>
          <w:tcPr>
            <w:tcW w:w="17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220" w:type="dxa"/>
            <w:vAlign w:val="bottom"/>
          </w:tcPr>
          <w:p>
            <w:pPr>
              <w:jc w:val="center"/>
              <w:ind w:right="129"/>
              <w:spacing w:after="0"/>
              <w:rPr>
                <w:sz w:val="20"/>
                <w:szCs w:val="20"/>
                <w:color w:val="auto"/>
              </w:rPr>
            </w:pPr>
            <w:r>
              <w:rPr>
                <w:rFonts w:ascii="Arial" w:cs="Arial" w:eastAsia="Arial" w:hAnsi="Arial"/>
                <w:sz w:val="14"/>
                <w:szCs w:val="14"/>
                <w:b w:val="1"/>
                <w:bCs w:val="1"/>
                <w:color w:val="auto"/>
              </w:rPr>
              <w:t>Number</w:t>
            </w:r>
          </w:p>
        </w:tc>
        <w:tc>
          <w:tcPr>
            <w:tcW w:w="3520" w:type="dxa"/>
            <w:vAlign w:val="bottom"/>
            <w:gridSpan w:val="20"/>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tcBorders>
              <w:top w:val="single" w:sz="8" w:color="auto"/>
              <w:bottom w:val="single" w:sz="8" w:color="auto"/>
            </w:tcBorders>
            <w:gridSpan w:val="21"/>
          </w:tcPr>
          <w:p>
            <w:pPr>
              <w:ind w:left="20"/>
              <w:spacing w:after="0"/>
              <w:rPr>
                <w:sz w:val="20"/>
                <w:szCs w:val="20"/>
                <w:color w:val="auto"/>
              </w:rPr>
            </w:pPr>
            <w:r>
              <w:rPr>
                <w:rFonts w:ascii="Arial" w:cs="Arial" w:eastAsia="Arial" w:hAnsi="Arial"/>
                <w:sz w:val="14"/>
                <w:szCs w:val="14"/>
                <w:i w:val="1"/>
                <w:iCs w:val="1"/>
                <w:color w:val="auto"/>
              </w:rPr>
              <w:t>PLANS OF ACQUISITION</w:t>
            </w:r>
          </w:p>
        </w:tc>
        <w:tc>
          <w:tcPr>
            <w:tcW w:w="6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20" w:type="dxa"/>
            <w:vAlign w:val="bottom"/>
          </w:tcPr>
          <w:p>
            <w:pPr>
              <w:jc w:val="center"/>
              <w:ind w:right="109"/>
              <w:spacing w:after="0" w:line="139" w:lineRule="exact"/>
              <w:rPr>
                <w:sz w:val="20"/>
                <w:szCs w:val="20"/>
                <w:color w:val="auto"/>
              </w:rPr>
            </w:pPr>
            <w:r>
              <w:rPr>
                <w:rFonts w:ascii="Arial" w:cs="Arial" w:eastAsia="Arial" w:hAnsi="Arial"/>
                <w:sz w:val="14"/>
                <w:szCs w:val="14"/>
                <w:color w:val="auto"/>
              </w:rPr>
              <w:t>2.1§</w:t>
            </w:r>
          </w:p>
        </w:tc>
        <w:tc>
          <w:tcPr>
            <w:tcW w:w="3520" w:type="dxa"/>
            <w:vAlign w:val="bottom"/>
            <w:gridSpan w:val="20"/>
          </w:tcPr>
          <w:p>
            <w:pPr>
              <w:spacing w:after="0" w:line="139" w:lineRule="exact"/>
              <w:rPr>
                <w:rFonts w:ascii="Arial" w:cs="Arial" w:eastAsia="Arial" w:hAnsi="Arial"/>
                <w:sz w:val="14"/>
                <w:szCs w:val="14"/>
                <w:color w:val="0000FF"/>
              </w:rPr>
            </w:pPr>
            <w:hyperlink r:id="rId149">
              <w:r>
                <w:rPr>
                  <w:rFonts w:ascii="Arial" w:cs="Arial" w:eastAsia="Arial" w:hAnsi="Arial"/>
                  <w:sz w:val="14"/>
                  <w:szCs w:val="14"/>
                  <w:color w:val="0000FF"/>
                </w:rPr>
                <w:t>Agreement and Plan of Merger, dated as of April 30,</w:t>
              </w:r>
            </w:hyperlink>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6"/>
              </w:rPr>
              <w:t>10-Q</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w w:val="99"/>
              </w:rPr>
              <w:t>8/13/2018</w:t>
            </w:r>
          </w:p>
        </w:tc>
        <w:tc>
          <w:tcPr>
            <w:tcW w:w="1260" w:type="dxa"/>
            <w:vAlign w:val="bottom"/>
          </w:tcPr>
          <w:p>
            <w:pPr>
              <w:jc w:val="center"/>
              <w:spacing w:after="0" w:line="139" w:lineRule="exact"/>
              <w:rPr>
                <w:sz w:val="20"/>
                <w:szCs w:val="20"/>
                <w:color w:val="auto"/>
              </w:rPr>
            </w:pPr>
            <w:r>
              <w:rPr>
                <w:rFonts w:ascii="Arial" w:cs="Arial" w:eastAsia="Arial" w:hAnsi="Arial"/>
                <w:sz w:val="14"/>
                <w:szCs w:val="14"/>
                <w:color w:val="auto"/>
              </w:rPr>
              <w:t>10.10</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06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2018, by and among Daré Bioscience, Inc., Daré</w:t>
              </w:r>
            </w:hyperlink>
          </w:p>
        </w:tc>
        <w:tc>
          <w:tcPr>
            <w:tcW w:w="22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520" w:type="dxa"/>
            <w:vAlign w:val="bottom"/>
            <w:gridSpan w:val="20"/>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Merger Sub, Inc., Pear Tree Pharmaceuticals, Inc.,</w:t>
              </w:r>
            </w:hyperlink>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320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and Fred Mermelstein and Stephen C. Rocamboli,</w:t>
              </w:r>
            </w:hyperlink>
          </w:p>
        </w:tc>
        <w:tc>
          <w:tcPr>
            <w:tcW w:w="320" w:type="dxa"/>
            <w:vAlign w:val="bottom"/>
            <w:gridSpan w:val="8"/>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as</w:t>
              </w:r>
            </w:hyperlink>
          </w:p>
        </w:tc>
        <w:tc>
          <w:tcPr>
            <w:tcW w:w="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3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Holders' Representatives</w:t>
              </w:r>
            </w:hyperlink>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2.2+</w:t>
            </w:r>
          </w:p>
        </w:tc>
        <w:tc>
          <w:tcPr>
            <w:tcW w:w="3520" w:type="dxa"/>
            <w:vAlign w:val="bottom"/>
            <w:gridSpan w:val="20"/>
          </w:tcPr>
          <w:p>
            <w:pPr>
              <w:spacing w:after="0"/>
              <w:rPr>
                <w:rFonts w:ascii="Arial" w:cs="Arial" w:eastAsia="Arial" w:hAnsi="Arial"/>
                <w:sz w:val="14"/>
                <w:szCs w:val="14"/>
                <w:color w:val="0000FF"/>
              </w:rPr>
            </w:pPr>
            <w:hyperlink r:id="rId150">
              <w:r>
                <w:rPr>
                  <w:rFonts w:ascii="Arial" w:cs="Arial" w:eastAsia="Arial" w:hAnsi="Arial"/>
                  <w:sz w:val="14"/>
                  <w:szCs w:val="14"/>
                  <w:color w:val="0000FF"/>
                </w:rPr>
                <w:t>Agreement and Plan of Merger, dated November 10,</w:t>
              </w:r>
            </w:hyperlink>
          </w:p>
        </w:tc>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11/12/2019</w:t>
            </w:r>
          </w:p>
        </w:tc>
        <w:tc>
          <w:tcPr>
            <w:tcW w:w="1260" w:type="dxa"/>
            <w:vAlign w:val="bottom"/>
          </w:tcPr>
          <w:p>
            <w:pPr>
              <w:jc w:val="center"/>
              <w:spacing w:after="0"/>
              <w:rPr>
                <w:sz w:val="20"/>
                <w:szCs w:val="20"/>
                <w:color w:val="auto"/>
              </w:rPr>
            </w:pPr>
            <w:r>
              <w:rPr>
                <w:rFonts w:ascii="Arial" w:cs="Arial" w:eastAsia="Arial" w:hAnsi="Arial"/>
                <w:sz w:val="14"/>
                <w:szCs w:val="14"/>
                <w:color w:val="auto"/>
              </w:rPr>
              <w:t>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3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2019, Dare Bioscience, Inc., MC Merger Sub, Inc.,</w:t>
              </w:r>
            </w:hyperlink>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1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Microchips Biotech, Inc., and Shareholder</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Pr>
          <w:p>
            <w:pPr>
              <w:spacing w:after="0"/>
              <w:rPr>
                <w:sz w:val="11"/>
                <w:szCs w:val="11"/>
                <w:color w:val="auto"/>
              </w:rPr>
            </w:pPr>
          </w:p>
        </w:tc>
        <w:tc>
          <w:tcPr>
            <w:tcW w:w="3520" w:type="dxa"/>
            <w:vAlign w:val="bottom"/>
            <w:gridSpan w:val="20"/>
          </w:tcPr>
          <w:p>
            <w:pPr>
              <w:spacing w:after="0" w:line="129" w:lineRule="exact"/>
              <w:rPr>
                <w:rFonts w:ascii="Arial" w:cs="Arial" w:eastAsia="Arial" w:hAnsi="Arial"/>
                <w:sz w:val="14"/>
                <w:szCs w:val="14"/>
                <w:color w:val="0000FF"/>
              </w:rPr>
            </w:pPr>
            <w:hyperlink r:id="rId150">
              <w:r>
                <w:rPr>
                  <w:rFonts w:ascii="Arial" w:cs="Arial" w:eastAsia="Arial" w:hAnsi="Arial"/>
                  <w:sz w:val="14"/>
                  <w:szCs w:val="14"/>
                  <w:color w:val="0000FF"/>
                </w:rPr>
                <w:t>Representative Services LLC, as the stockholders'</w:t>
              </w:r>
            </w:hyperlink>
          </w:p>
        </w:tc>
        <w:tc>
          <w:tcPr>
            <w:tcW w:w="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18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representative</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Borders>
              <w:bottom w:val="single" w:sz="8" w:color="auto"/>
            </w:tcBorders>
            <w:gridSpan w:val="21"/>
          </w:tcPr>
          <w:p>
            <w:pPr>
              <w:ind w:left="20"/>
              <w:spacing w:after="0"/>
              <w:rPr>
                <w:sz w:val="20"/>
                <w:szCs w:val="20"/>
                <w:color w:val="auto"/>
              </w:rPr>
            </w:pPr>
            <w:r>
              <w:rPr>
                <w:rFonts w:ascii="Arial" w:cs="Arial" w:eastAsia="Arial" w:hAnsi="Arial"/>
                <w:sz w:val="14"/>
                <w:szCs w:val="14"/>
                <w:i w:val="1"/>
                <w:iCs w:val="1"/>
                <w:color w:val="auto"/>
              </w:rPr>
              <w:t>ARTICLES OF INCORPORATION AND BYLAWS</w:t>
            </w: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20" w:type="dxa"/>
            <w:vAlign w:val="bottom"/>
          </w:tcPr>
          <w:p>
            <w:pPr>
              <w:jc w:val="center"/>
              <w:ind w:right="129"/>
              <w:spacing w:after="0" w:line="139" w:lineRule="exact"/>
              <w:rPr>
                <w:sz w:val="20"/>
                <w:szCs w:val="20"/>
                <w:color w:val="auto"/>
              </w:rPr>
            </w:pPr>
            <w:r>
              <w:rPr>
                <w:rFonts w:ascii="Arial" w:cs="Arial" w:eastAsia="Arial" w:hAnsi="Arial"/>
                <w:sz w:val="14"/>
                <w:szCs w:val="14"/>
                <w:color w:val="auto"/>
              </w:rPr>
              <w:t>3.1(a)</w:t>
            </w:r>
          </w:p>
        </w:tc>
        <w:tc>
          <w:tcPr>
            <w:tcW w:w="3520" w:type="dxa"/>
            <w:vAlign w:val="bottom"/>
            <w:gridSpan w:val="20"/>
          </w:tcPr>
          <w:p>
            <w:pPr>
              <w:spacing w:after="0" w:line="139" w:lineRule="exact"/>
              <w:rPr>
                <w:rFonts w:ascii="Arial" w:cs="Arial" w:eastAsia="Arial" w:hAnsi="Arial"/>
                <w:sz w:val="14"/>
                <w:szCs w:val="14"/>
                <w:color w:val="0000FF"/>
              </w:rPr>
            </w:pPr>
            <w:hyperlink r:id="rId151">
              <w:r>
                <w:rPr>
                  <w:rFonts w:ascii="Arial" w:cs="Arial" w:eastAsia="Arial" w:hAnsi="Arial"/>
                  <w:sz w:val="14"/>
                  <w:szCs w:val="14"/>
                  <w:color w:val="0000FF"/>
                </w:rPr>
                <w:t>Restated Certificate of Incorporation, as amended to</w:t>
              </w:r>
            </w:hyperlink>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6"/>
              </w:rPr>
              <w:t>10-Q</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w w:val="99"/>
              </w:rPr>
              <w:t>08/12/2024</w:t>
            </w:r>
          </w:p>
        </w:tc>
        <w:tc>
          <w:tcPr>
            <w:tcW w:w="1260" w:type="dxa"/>
            <w:vAlign w:val="bottom"/>
          </w:tcPr>
          <w:p>
            <w:pPr>
              <w:jc w:val="center"/>
              <w:spacing w:after="0" w:line="139" w:lineRule="exact"/>
              <w:rPr>
                <w:sz w:val="20"/>
                <w:szCs w:val="20"/>
                <w:color w:val="auto"/>
              </w:rPr>
            </w:pPr>
            <w:r>
              <w:rPr>
                <w:rFonts w:ascii="Arial" w:cs="Arial" w:eastAsia="Arial" w:hAnsi="Arial"/>
                <w:sz w:val="14"/>
                <w:szCs w:val="14"/>
                <w:color w:val="auto"/>
              </w:rPr>
              <w:t>3.1</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30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51">
              <w:r>
                <w:rPr>
                  <w:rFonts w:ascii="Arial" w:cs="Arial" w:eastAsia="Arial" w:hAnsi="Arial"/>
                  <w:sz w:val="13"/>
                  <w:szCs w:val="13"/>
                  <w:color w:val="0000FF"/>
                </w:rPr>
                <w:t>date</w:t>
              </w:r>
            </w:hyperlink>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3.1(b)</w:t>
            </w:r>
          </w:p>
        </w:tc>
        <w:tc>
          <w:tcPr>
            <w:tcW w:w="2720" w:type="dxa"/>
            <w:vAlign w:val="bottom"/>
            <w:tcBorders>
              <w:bottom w:val="single" w:sz="8" w:color="0000FF"/>
            </w:tcBorders>
            <w:gridSpan w:val="8"/>
          </w:tcPr>
          <w:p>
            <w:pPr>
              <w:spacing w:after="0"/>
              <w:rPr>
                <w:rFonts w:ascii="Arial" w:cs="Arial" w:eastAsia="Arial" w:hAnsi="Arial"/>
                <w:sz w:val="14"/>
                <w:szCs w:val="14"/>
                <w:color w:val="0000FF"/>
              </w:rPr>
            </w:pPr>
            <w:hyperlink r:id="rId152">
              <w:r>
                <w:rPr>
                  <w:rFonts w:ascii="Arial" w:cs="Arial" w:eastAsia="Arial" w:hAnsi="Arial"/>
                  <w:sz w:val="14"/>
                  <w:szCs w:val="14"/>
                  <w:color w:val="0000FF"/>
                </w:rPr>
                <w:t>Certificate of Correction of the Certificate of</w:t>
              </w:r>
            </w:hyperlink>
          </w:p>
        </w:tc>
        <w:tc>
          <w:tcPr>
            <w:tcW w:w="80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06/27/2024</w:t>
            </w:r>
          </w:p>
        </w:tc>
        <w:tc>
          <w:tcPr>
            <w:tcW w:w="1260" w:type="dxa"/>
            <w:vAlign w:val="bottom"/>
          </w:tcPr>
          <w:p>
            <w:pPr>
              <w:jc w:val="center"/>
              <w:spacing w:after="0"/>
              <w:rPr>
                <w:sz w:val="20"/>
                <w:szCs w:val="20"/>
                <w:color w:val="auto"/>
              </w:rPr>
            </w:pPr>
            <w:r>
              <w:rPr>
                <w:rFonts w:ascii="Arial" w:cs="Arial" w:eastAsia="Arial" w:hAnsi="Arial"/>
                <w:sz w:val="14"/>
                <w:szCs w:val="14"/>
                <w:color w:val="auto"/>
              </w:rPr>
              <w:t>3.2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520" w:type="dxa"/>
            <w:vAlign w:val="bottom"/>
            <w:gridSpan w:val="20"/>
          </w:tcPr>
          <w:p>
            <w:pPr>
              <w:spacing w:after="0" w:line="118" w:lineRule="exact"/>
              <w:rPr>
                <w:rFonts w:ascii="Arial" w:cs="Arial" w:eastAsia="Arial" w:hAnsi="Arial"/>
                <w:sz w:val="13"/>
                <w:szCs w:val="13"/>
                <w:color w:val="0000FF"/>
              </w:rPr>
            </w:pPr>
            <w:hyperlink r:id="rId152">
              <w:r>
                <w:rPr>
                  <w:rFonts w:ascii="Arial" w:cs="Arial" w:eastAsia="Arial" w:hAnsi="Arial"/>
                  <w:sz w:val="13"/>
                  <w:szCs w:val="13"/>
                  <w:color w:val="0000FF"/>
                </w:rPr>
                <w:t>Amendment of Restated Certificate of Incorporation</w:t>
              </w:r>
            </w:hyperlink>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3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52">
              <w:r>
                <w:rPr>
                  <w:rFonts w:ascii="Arial" w:cs="Arial" w:eastAsia="Arial" w:hAnsi="Arial"/>
                  <w:sz w:val="13"/>
                  <w:szCs w:val="13"/>
                  <w:color w:val="0000FF"/>
                </w:rPr>
                <w:t>dated June 21, 2024</w:t>
              </w:r>
            </w:hyperlink>
          </w:p>
        </w:tc>
        <w:tc>
          <w:tcPr>
            <w:tcW w:w="1940" w:type="dxa"/>
            <w:vAlign w:val="bottom"/>
            <w:tcBorders>
              <w:top w:val="single" w:sz="8" w:color="0000FF"/>
            </w:tcBorders>
            <w:gridSpan w:val="10"/>
          </w:tcPr>
          <w:p>
            <w:pPr>
              <w:spacing w:after="0"/>
              <w:rPr>
                <w:sz w:val="10"/>
                <w:szCs w:val="10"/>
                <w:color w:val="auto"/>
              </w:rPr>
            </w:pPr>
          </w:p>
        </w:tc>
        <w:tc>
          <w:tcPr>
            <w:tcW w:w="100" w:type="dxa"/>
            <w:vAlign w:val="bottom"/>
            <w:gridSpan w:val="4"/>
          </w:tcPr>
          <w:p>
            <w:pPr>
              <w:spacing w:after="0"/>
              <w:rPr>
                <w:sz w:val="10"/>
                <w:szCs w:val="10"/>
                <w:color w:val="auto"/>
              </w:rPr>
            </w:pPr>
          </w:p>
        </w:tc>
        <w:tc>
          <w:tcPr>
            <w:tcW w:w="18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3.2</w:t>
            </w:r>
          </w:p>
        </w:tc>
        <w:tc>
          <w:tcPr>
            <w:tcW w:w="3520" w:type="dxa"/>
            <w:vAlign w:val="bottom"/>
            <w:gridSpan w:val="20"/>
          </w:tcPr>
          <w:p>
            <w:pPr>
              <w:spacing w:after="0"/>
              <w:rPr>
                <w:rFonts w:ascii="Arial" w:cs="Arial" w:eastAsia="Arial" w:hAnsi="Arial"/>
                <w:sz w:val="14"/>
                <w:szCs w:val="14"/>
                <w:color w:val="0000FF"/>
              </w:rPr>
            </w:pPr>
            <w:hyperlink r:id="rId153">
              <w:r>
                <w:rPr>
                  <w:rFonts w:ascii="Arial" w:cs="Arial" w:eastAsia="Arial" w:hAnsi="Arial"/>
                  <w:sz w:val="14"/>
                  <w:szCs w:val="14"/>
                  <w:color w:val="0000FF"/>
                </w:rPr>
                <w:t>Third Amended and Restated By-Laws (as amended</w:t>
              </w:r>
            </w:hyperlink>
          </w:p>
        </w:tc>
        <w:tc>
          <w:tcPr>
            <w:tcW w:w="66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5/14/2024</w:t>
            </w:r>
          </w:p>
        </w:tc>
        <w:tc>
          <w:tcPr>
            <w:tcW w:w="1260" w:type="dxa"/>
            <w:vAlign w:val="bottom"/>
          </w:tcPr>
          <w:p>
            <w:pPr>
              <w:jc w:val="center"/>
              <w:spacing w:after="0"/>
              <w:rPr>
                <w:sz w:val="20"/>
                <w:szCs w:val="20"/>
                <w:color w:val="auto"/>
              </w:rPr>
            </w:pPr>
            <w:r>
              <w:rPr>
                <w:rFonts w:ascii="Arial" w:cs="Arial" w:eastAsia="Arial" w:hAnsi="Arial"/>
                <w:sz w:val="14"/>
                <w:szCs w:val="14"/>
                <w:color w:val="auto"/>
              </w:rPr>
              <w:t>3.1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3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53">
              <w:r>
                <w:rPr>
                  <w:rFonts w:ascii="Arial" w:cs="Arial" w:eastAsia="Arial" w:hAnsi="Arial"/>
                  <w:sz w:val="13"/>
                  <w:szCs w:val="13"/>
                  <w:color w:val="0000FF"/>
                </w:rPr>
                <w:t>through January 24, 2023)</w:t>
              </w:r>
            </w:hyperlink>
          </w:p>
        </w:tc>
        <w:tc>
          <w:tcPr>
            <w:tcW w:w="18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740" w:type="dxa"/>
            <w:vAlign w:val="bottom"/>
            <w:tcBorders>
              <w:bottom w:val="single" w:sz="8" w:color="auto"/>
            </w:tcBorders>
            <w:gridSpan w:val="21"/>
          </w:tcPr>
          <w:p>
            <w:pPr>
              <w:ind w:left="20"/>
              <w:spacing w:after="0"/>
              <w:rPr>
                <w:sz w:val="20"/>
                <w:szCs w:val="20"/>
                <w:color w:val="auto"/>
              </w:rPr>
            </w:pPr>
            <w:r>
              <w:rPr>
                <w:rFonts w:ascii="Arial" w:cs="Arial" w:eastAsia="Arial" w:hAnsi="Arial"/>
                <w:sz w:val="14"/>
                <w:szCs w:val="14"/>
                <w:i w:val="1"/>
                <w:iCs w:val="1"/>
                <w:color w:val="auto"/>
              </w:rPr>
              <w:t>INSTRUMENTS DEFINING RIGHTS OF SECURITY HOLDERS</w:t>
            </w:r>
          </w:p>
        </w:tc>
        <w:tc>
          <w:tcPr>
            <w:tcW w:w="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220" w:type="dxa"/>
            <w:vAlign w:val="bottom"/>
          </w:tcPr>
          <w:p>
            <w:pPr>
              <w:jc w:val="center"/>
              <w:ind w:right="109"/>
              <w:spacing w:after="0" w:line="139" w:lineRule="exact"/>
              <w:rPr>
                <w:sz w:val="20"/>
                <w:szCs w:val="20"/>
                <w:color w:val="auto"/>
              </w:rPr>
            </w:pPr>
            <w:r>
              <w:rPr>
                <w:rFonts w:ascii="Arial" w:cs="Arial" w:eastAsia="Arial" w:hAnsi="Arial"/>
                <w:sz w:val="14"/>
                <w:szCs w:val="14"/>
                <w:color w:val="auto"/>
              </w:rPr>
              <w:t>4.1</w:t>
            </w:r>
          </w:p>
        </w:tc>
        <w:tc>
          <w:tcPr>
            <w:tcW w:w="3520" w:type="dxa"/>
            <w:vAlign w:val="bottom"/>
            <w:gridSpan w:val="20"/>
          </w:tcPr>
          <w:p>
            <w:pPr>
              <w:spacing w:after="0" w:line="139" w:lineRule="exact"/>
              <w:rPr>
                <w:rFonts w:ascii="Arial" w:cs="Arial" w:eastAsia="Arial" w:hAnsi="Arial"/>
                <w:sz w:val="14"/>
                <w:szCs w:val="14"/>
                <w:color w:val="0000FF"/>
              </w:rPr>
            </w:pPr>
            <w:hyperlink r:id="rId154">
              <w:r>
                <w:rPr>
                  <w:rFonts w:ascii="Arial" w:cs="Arial" w:eastAsia="Arial" w:hAnsi="Arial"/>
                  <w:sz w:val="14"/>
                  <w:szCs w:val="14"/>
                  <w:color w:val="0000FF"/>
                </w:rPr>
                <w:t>Specimen stock certificate evidencing the shares of</w:t>
              </w:r>
            </w:hyperlink>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rPr>
              <w:t>10-K</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w w:val="99"/>
              </w:rPr>
              <w:t>03/28/2018</w:t>
            </w:r>
          </w:p>
        </w:tc>
        <w:tc>
          <w:tcPr>
            <w:tcW w:w="1260" w:type="dxa"/>
            <w:vAlign w:val="bottom"/>
          </w:tcPr>
          <w:p>
            <w:pPr>
              <w:jc w:val="center"/>
              <w:spacing w:after="0" w:line="139" w:lineRule="exact"/>
              <w:rPr>
                <w:sz w:val="20"/>
                <w:szCs w:val="20"/>
                <w:color w:val="auto"/>
              </w:rPr>
            </w:pPr>
            <w:r>
              <w:rPr>
                <w:rFonts w:ascii="Arial" w:cs="Arial" w:eastAsia="Arial" w:hAnsi="Arial"/>
                <w:sz w:val="14"/>
                <w:szCs w:val="14"/>
                <w:color w:val="auto"/>
              </w:rPr>
              <w:t>4.1</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22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54">
              <w:r>
                <w:rPr>
                  <w:rFonts w:ascii="Arial" w:cs="Arial" w:eastAsia="Arial" w:hAnsi="Arial"/>
                  <w:sz w:val="13"/>
                  <w:szCs w:val="13"/>
                  <w:color w:val="0000FF"/>
                </w:rPr>
                <w:t>common stock</w:t>
              </w:r>
            </w:hyperlink>
          </w:p>
        </w:tc>
        <w:tc>
          <w:tcPr>
            <w:tcW w:w="300" w:type="dxa"/>
            <w:vAlign w:val="bottom"/>
            <w:gridSpan w:val="7"/>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4"/>
        </w:trPr>
        <w:tc>
          <w:tcPr>
            <w:tcW w:w="12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jc w:val="right"/>
              <w:ind w:right="1029"/>
              <w:spacing w:after="0"/>
              <w:rPr>
                <w:sz w:val="20"/>
                <w:szCs w:val="20"/>
                <w:color w:val="auto"/>
              </w:rPr>
            </w:pPr>
            <w:r>
              <w:rPr>
                <w:rFonts w:ascii="Arial" w:cs="Arial" w:eastAsia="Arial" w:hAnsi="Arial"/>
                <w:sz w:val="14"/>
                <w:szCs w:val="14"/>
                <w:color w:val="auto"/>
              </w:rPr>
              <w:t>134</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4.2</w:t>
            </w:r>
          </w:p>
        </w:tc>
        <w:tc>
          <w:tcPr>
            <w:tcW w:w="3520" w:type="dxa"/>
            <w:vAlign w:val="bottom"/>
            <w:gridSpan w:val="26"/>
          </w:tcPr>
          <w:p>
            <w:pPr>
              <w:spacing w:after="0"/>
              <w:rPr>
                <w:rFonts w:ascii="Arial" w:cs="Arial" w:eastAsia="Arial" w:hAnsi="Arial"/>
                <w:sz w:val="14"/>
                <w:szCs w:val="14"/>
                <w:color w:val="0000FF"/>
              </w:rPr>
            </w:pPr>
            <w:hyperlink r:id="rId157">
              <w:r>
                <w:rPr>
                  <w:rFonts w:ascii="Arial" w:cs="Arial" w:eastAsia="Arial" w:hAnsi="Arial"/>
                  <w:sz w:val="14"/>
                  <w:szCs w:val="14"/>
                  <w:color w:val="0000FF"/>
                </w:rPr>
                <w:t>Warrant Agreement to purchase shares of common</w:t>
              </w:r>
            </w:hyperlink>
          </w:p>
        </w:tc>
        <w:tc>
          <w:tcPr>
            <w:tcW w:w="820" w:type="dxa"/>
            <w:vAlign w:val="bottom"/>
          </w:tcPr>
          <w:p>
            <w:pPr>
              <w:jc w:val="center"/>
              <w:ind w:right="9"/>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03/31/2022</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4.2</w:t>
            </w:r>
          </w:p>
        </w:tc>
      </w:tr>
      <w:tr>
        <w:trPr>
          <w:trHeight w:val="118"/>
        </w:trPr>
        <w:tc>
          <w:tcPr>
            <w:tcW w:w="1220" w:type="dxa"/>
            <w:vAlign w:val="bottom"/>
          </w:tcPr>
          <w:p>
            <w:pPr>
              <w:spacing w:after="0"/>
              <w:rPr>
                <w:sz w:val="10"/>
                <w:szCs w:val="10"/>
                <w:color w:val="auto"/>
              </w:rPr>
            </w:pPr>
          </w:p>
        </w:tc>
        <w:tc>
          <w:tcPr>
            <w:tcW w:w="322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57">
              <w:r>
                <w:rPr>
                  <w:rFonts w:ascii="Arial" w:cs="Arial" w:eastAsia="Arial" w:hAnsi="Arial"/>
                  <w:sz w:val="13"/>
                  <w:szCs w:val="13"/>
                  <w:color w:val="0000FF"/>
                </w:rPr>
                <w:t>stock of the registrant with Aquilo Partners, L.P.,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57">
              <w:r>
                <w:rPr>
                  <w:rFonts w:ascii="Arial" w:cs="Arial" w:eastAsia="Arial" w:hAnsi="Arial"/>
                  <w:sz w:val="13"/>
                  <w:szCs w:val="13"/>
                  <w:color w:val="0000FF"/>
                </w:rPr>
                <w:t>entered into as of October 16, 2016.</w:t>
              </w:r>
            </w:hyperlink>
          </w:p>
        </w:tc>
        <w:tc>
          <w:tcPr>
            <w:tcW w:w="72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4.3</w:t>
            </w:r>
          </w:p>
        </w:tc>
        <w:tc>
          <w:tcPr>
            <w:tcW w:w="3520" w:type="dxa"/>
            <w:vAlign w:val="bottom"/>
            <w:gridSpan w:val="26"/>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Form of common stock purchase warrants issued on</w:t>
              </w:r>
            </w:hyperlink>
          </w:p>
        </w:tc>
        <w:tc>
          <w:tcPr>
            <w:tcW w:w="820" w:type="dxa"/>
            <w:vAlign w:val="bottom"/>
          </w:tcPr>
          <w:p>
            <w:pPr>
              <w:jc w:val="center"/>
              <w:ind w:right="9"/>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08/30/2023</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4.1</w:t>
            </w:r>
          </w:p>
        </w:tc>
      </w:tr>
      <w:tr>
        <w:trPr>
          <w:trHeight w:val="118"/>
        </w:trPr>
        <w:tc>
          <w:tcPr>
            <w:tcW w:w="1220" w:type="dxa"/>
            <w:vAlign w:val="bottom"/>
          </w:tcPr>
          <w:p>
            <w:pPr>
              <w:spacing w:after="0"/>
              <w:rPr>
                <w:sz w:val="10"/>
                <w:szCs w:val="10"/>
                <w:color w:val="auto"/>
              </w:rPr>
            </w:pPr>
          </w:p>
        </w:tc>
        <w:tc>
          <w:tcPr>
            <w:tcW w:w="12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158">
              <w:r>
                <w:rPr>
                  <w:rFonts w:ascii="Arial" w:cs="Arial" w:eastAsia="Arial" w:hAnsi="Arial"/>
                  <w:sz w:val="13"/>
                  <w:szCs w:val="13"/>
                  <w:color w:val="0000FF"/>
                </w:rPr>
                <w:t>September 1, 2023</w:t>
              </w:r>
            </w:hyperlink>
          </w:p>
        </w:tc>
        <w:tc>
          <w:tcPr>
            <w:tcW w:w="210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4.4</w:t>
            </w:r>
          </w:p>
        </w:tc>
        <w:tc>
          <w:tcPr>
            <w:tcW w:w="3520" w:type="dxa"/>
            <w:vAlign w:val="bottom"/>
            <w:gridSpan w:val="26"/>
          </w:tcPr>
          <w:p>
            <w:pPr>
              <w:spacing w:after="0"/>
              <w:rPr>
                <w:rFonts w:ascii="Arial" w:cs="Arial" w:eastAsia="Arial" w:hAnsi="Arial"/>
                <w:sz w:val="14"/>
                <w:szCs w:val="14"/>
                <w:color w:val="0000FF"/>
              </w:rPr>
            </w:pPr>
            <w:hyperlink r:id="rId159">
              <w:r>
                <w:rPr>
                  <w:rFonts w:ascii="Arial" w:cs="Arial" w:eastAsia="Arial" w:hAnsi="Arial"/>
                  <w:sz w:val="14"/>
                  <w:szCs w:val="14"/>
                  <w:color w:val="0000FF"/>
                </w:rPr>
                <w:t>Form of common stock purchase warrants issued on</w:t>
              </w:r>
            </w:hyperlink>
          </w:p>
        </w:tc>
        <w:tc>
          <w:tcPr>
            <w:tcW w:w="820" w:type="dxa"/>
            <w:vAlign w:val="bottom"/>
          </w:tcPr>
          <w:p>
            <w:pPr>
              <w:jc w:val="center"/>
              <w:ind w:right="9"/>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03/28/2024</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4.4</w:t>
            </w:r>
          </w:p>
        </w:tc>
      </w:tr>
      <w:tr>
        <w:trPr>
          <w:trHeight w:val="118"/>
        </w:trPr>
        <w:tc>
          <w:tcPr>
            <w:tcW w:w="1220" w:type="dxa"/>
            <w:vAlign w:val="bottom"/>
          </w:tcPr>
          <w:p>
            <w:pPr>
              <w:spacing w:after="0"/>
              <w:rPr>
                <w:sz w:val="10"/>
                <w:szCs w:val="10"/>
                <w:color w:val="auto"/>
              </w:rPr>
            </w:pPr>
          </w:p>
        </w:tc>
        <w:tc>
          <w:tcPr>
            <w:tcW w:w="12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59">
              <w:r>
                <w:rPr>
                  <w:rFonts w:ascii="Arial" w:cs="Arial" w:eastAsia="Arial" w:hAnsi="Arial"/>
                  <w:sz w:val="13"/>
                  <w:szCs w:val="13"/>
                  <w:color w:val="0000FF"/>
                </w:rPr>
                <w:t>December 21, 2023</w:t>
              </w:r>
            </w:hyperlink>
          </w:p>
        </w:tc>
        <w:tc>
          <w:tcPr>
            <w:tcW w:w="206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4.5</w:t>
            </w:r>
          </w:p>
        </w:tc>
        <w:tc>
          <w:tcPr>
            <w:tcW w:w="2540" w:type="dxa"/>
            <w:vAlign w:val="bottom"/>
            <w:tcBorders>
              <w:bottom w:val="single" w:sz="8" w:color="0000FF"/>
            </w:tcBorders>
            <w:gridSpan w:val="5"/>
          </w:tcPr>
          <w:p>
            <w:pPr>
              <w:spacing w:after="0"/>
              <w:rPr>
                <w:rFonts w:ascii="Arial" w:cs="Arial" w:eastAsia="Arial" w:hAnsi="Arial"/>
                <w:sz w:val="14"/>
                <w:szCs w:val="14"/>
                <w:color w:val="0000FF"/>
              </w:rPr>
            </w:pPr>
            <w:hyperlink r:id="rId160">
              <w:r>
                <w:rPr>
                  <w:rFonts w:ascii="Arial" w:cs="Arial" w:eastAsia="Arial" w:hAnsi="Arial"/>
                  <w:sz w:val="14"/>
                  <w:szCs w:val="14"/>
                  <w:color w:val="0000FF"/>
                </w:rPr>
                <w:t>Description of securities of the registrant</w:t>
              </w:r>
            </w:hyperlink>
          </w:p>
        </w:tc>
        <w:tc>
          <w:tcPr>
            <w:tcW w:w="980" w:type="dxa"/>
            <w:vAlign w:val="bottom"/>
            <w:gridSpan w:val="21"/>
          </w:tcPr>
          <w:p>
            <w:pPr>
              <w:spacing w:after="0"/>
              <w:rPr>
                <w:sz w:val="24"/>
                <w:szCs w:val="24"/>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03/27/2020</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4.6</w:t>
            </w:r>
          </w:p>
        </w:tc>
      </w:tr>
      <w:tr>
        <w:trPr>
          <w:trHeight w:val="192"/>
        </w:trPr>
        <w:tc>
          <w:tcPr>
            <w:tcW w:w="4740" w:type="dxa"/>
            <w:vAlign w:val="bottom"/>
            <w:tcBorders>
              <w:bottom w:val="single" w:sz="8" w:color="auto"/>
            </w:tcBorders>
            <w:gridSpan w:val="27"/>
          </w:tcPr>
          <w:p>
            <w:pPr>
              <w:ind w:left="20"/>
              <w:spacing w:after="0"/>
              <w:rPr>
                <w:sz w:val="20"/>
                <w:szCs w:val="20"/>
                <w:color w:val="auto"/>
              </w:rPr>
            </w:pPr>
            <w:r>
              <w:rPr>
                <w:rFonts w:ascii="Arial" w:cs="Arial" w:eastAsia="Arial" w:hAnsi="Arial"/>
                <w:sz w:val="14"/>
                <w:szCs w:val="14"/>
                <w:i w:val="1"/>
                <w:iCs w:val="1"/>
                <w:color w:val="auto"/>
              </w:rPr>
              <w:t>COMMERCIAL AGREEMENTS</w:t>
            </w: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r>
      <w:tr>
        <w:trPr>
          <w:trHeight w:val="139"/>
        </w:trPr>
        <w:tc>
          <w:tcPr>
            <w:tcW w:w="1220" w:type="dxa"/>
            <w:vAlign w:val="bottom"/>
          </w:tcPr>
          <w:p>
            <w:pPr>
              <w:jc w:val="center"/>
              <w:ind w:right="129"/>
              <w:spacing w:after="0" w:line="139" w:lineRule="exact"/>
              <w:rPr>
                <w:sz w:val="20"/>
                <w:szCs w:val="20"/>
                <w:color w:val="auto"/>
              </w:rPr>
            </w:pPr>
            <w:r>
              <w:rPr>
                <w:rFonts w:ascii="Arial" w:cs="Arial" w:eastAsia="Arial" w:hAnsi="Arial"/>
                <w:sz w:val="14"/>
                <w:szCs w:val="14"/>
                <w:color w:val="auto"/>
              </w:rPr>
              <w:t>10.1(a)+</w:t>
            </w:r>
          </w:p>
        </w:tc>
        <w:tc>
          <w:tcPr>
            <w:tcW w:w="3520" w:type="dxa"/>
            <w:vAlign w:val="bottom"/>
            <w:gridSpan w:val="26"/>
          </w:tcPr>
          <w:p>
            <w:pPr>
              <w:spacing w:after="0" w:line="139" w:lineRule="exact"/>
              <w:rPr>
                <w:rFonts w:ascii="Arial" w:cs="Arial" w:eastAsia="Arial" w:hAnsi="Arial"/>
                <w:sz w:val="14"/>
                <w:szCs w:val="14"/>
                <w:color w:val="0000FF"/>
              </w:rPr>
            </w:pPr>
            <w:hyperlink r:id="rId161">
              <w:r>
                <w:rPr>
                  <w:rFonts w:ascii="Arial" w:cs="Arial" w:eastAsia="Arial" w:hAnsi="Arial"/>
                  <w:sz w:val="14"/>
                  <w:szCs w:val="14"/>
                  <w:color w:val="0000FF"/>
                </w:rPr>
                <w:t>Exclusive License Agreement dated March 31, 2022</w:t>
              </w:r>
            </w:hyperlink>
          </w:p>
        </w:tc>
        <w:tc>
          <w:tcPr>
            <w:tcW w:w="820" w:type="dxa"/>
            <w:vAlign w:val="bottom"/>
          </w:tcPr>
          <w:p>
            <w:pPr>
              <w:jc w:val="center"/>
              <w:ind w:right="29"/>
              <w:spacing w:after="0" w:line="139" w:lineRule="exact"/>
              <w:rPr>
                <w:sz w:val="20"/>
                <w:szCs w:val="20"/>
                <w:color w:val="auto"/>
              </w:rPr>
            </w:pPr>
            <w:r>
              <w:rPr>
                <w:rFonts w:ascii="Arial" w:cs="Arial" w:eastAsia="Arial" w:hAnsi="Arial"/>
                <w:sz w:val="14"/>
                <w:szCs w:val="14"/>
                <w:color w:val="auto"/>
              </w:rPr>
              <w:t>10-Q</w:t>
            </w:r>
          </w:p>
        </w:tc>
        <w:tc>
          <w:tcPr>
            <w:tcW w:w="1320" w:type="dxa"/>
            <w:vAlign w:val="bottom"/>
          </w:tcPr>
          <w:p>
            <w:pPr>
              <w:jc w:val="center"/>
              <w:ind w:right="9"/>
              <w:spacing w:after="0" w:line="139" w:lineRule="exact"/>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line="139" w:lineRule="exact"/>
              <w:rPr>
                <w:sz w:val="20"/>
                <w:szCs w:val="20"/>
                <w:color w:val="auto"/>
              </w:rPr>
            </w:pPr>
            <w:r>
              <w:rPr>
                <w:rFonts w:ascii="Arial" w:cs="Arial" w:eastAsia="Arial" w:hAnsi="Arial"/>
                <w:sz w:val="14"/>
                <w:szCs w:val="14"/>
                <w:color w:val="auto"/>
              </w:rPr>
              <w:t>05/12/2022</w:t>
            </w:r>
          </w:p>
        </w:tc>
        <w:tc>
          <w:tcPr>
            <w:tcW w:w="2860" w:type="dxa"/>
            <w:vAlign w:val="bottom"/>
          </w:tcPr>
          <w:p>
            <w:pPr>
              <w:jc w:val="center"/>
              <w:ind w:right="1609"/>
              <w:spacing w:after="0" w:line="139" w:lineRule="exact"/>
              <w:rPr>
                <w:sz w:val="20"/>
                <w:szCs w:val="20"/>
                <w:color w:val="auto"/>
              </w:rPr>
            </w:pPr>
            <w:r>
              <w:rPr>
                <w:rFonts w:ascii="Arial" w:cs="Arial" w:eastAsia="Arial" w:hAnsi="Arial"/>
                <w:sz w:val="14"/>
                <w:szCs w:val="14"/>
                <w:color w:val="auto"/>
                <w:w w:val="95"/>
              </w:rPr>
              <w:t>10.1</w:t>
            </w:r>
          </w:p>
        </w:tc>
      </w:tr>
      <w:tr>
        <w:trPr>
          <w:trHeight w:val="118"/>
        </w:trPr>
        <w:tc>
          <w:tcPr>
            <w:tcW w:w="1220" w:type="dxa"/>
            <w:vAlign w:val="bottom"/>
          </w:tcPr>
          <w:p>
            <w:pPr>
              <w:spacing w:after="0"/>
              <w:rPr>
                <w:sz w:val="10"/>
                <w:szCs w:val="10"/>
                <w:color w:val="auto"/>
              </w:rPr>
            </w:pPr>
          </w:p>
        </w:tc>
        <w:tc>
          <w:tcPr>
            <w:tcW w:w="33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between Organon International GmbH and Dare</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04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Bioscience, Inc., effective as of June 30, 2022</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56"/>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10.1(b)+</w:t>
            </w:r>
          </w:p>
        </w:tc>
        <w:tc>
          <w:tcPr>
            <w:tcW w:w="3520" w:type="dxa"/>
            <w:vAlign w:val="bottom"/>
            <w:gridSpan w:val="26"/>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First Amendment to License Agreement by and</w:t>
              </w:r>
            </w:hyperlink>
          </w:p>
        </w:tc>
        <w:tc>
          <w:tcPr>
            <w:tcW w:w="820" w:type="dxa"/>
            <w:vAlign w:val="bottom"/>
          </w:tcPr>
          <w:p>
            <w:pPr>
              <w:jc w:val="center"/>
              <w:ind w:right="2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w w:val="96"/>
              </w:rPr>
              <w:t>11/09/2023</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10.2</w:t>
            </w:r>
          </w:p>
        </w:tc>
      </w:tr>
      <w:tr>
        <w:trPr>
          <w:trHeight w:val="118"/>
        </w:trPr>
        <w:tc>
          <w:tcPr>
            <w:tcW w:w="1220" w:type="dxa"/>
            <w:vAlign w:val="bottom"/>
          </w:tcPr>
          <w:p>
            <w:pPr>
              <w:spacing w:after="0"/>
              <w:rPr>
                <w:sz w:val="10"/>
                <w:szCs w:val="10"/>
                <w:color w:val="auto"/>
              </w:rPr>
            </w:pPr>
          </w:p>
        </w:tc>
        <w:tc>
          <w:tcPr>
            <w:tcW w:w="29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between Organon International GmbH and Dare</w:t>
              </w:r>
            </w:hyperlink>
          </w:p>
        </w:tc>
        <w:tc>
          <w:tcPr>
            <w:tcW w:w="6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94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Bioscience, Inc. entered into as of July 4, 2023</w:t>
              </w:r>
            </w:hyperlink>
          </w:p>
        </w:tc>
        <w:tc>
          <w:tcPr>
            <w:tcW w:w="100" w:type="dxa"/>
            <w:vAlign w:val="bottom"/>
            <w:tcBorders>
              <w:top w:val="single" w:sz="8" w:color="0000FF"/>
            </w:tcBorders>
            <w:gridSpan w:val="4"/>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56"/>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10.2+</w:t>
            </w:r>
          </w:p>
        </w:tc>
        <w:tc>
          <w:tcPr>
            <w:tcW w:w="3520" w:type="dxa"/>
            <w:vAlign w:val="bottom"/>
            <w:gridSpan w:val="26"/>
          </w:tcPr>
          <w:p>
            <w:pPr>
              <w:spacing w:after="0"/>
              <w:rPr>
                <w:rFonts w:ascii="Arial" w:cs="Arial" w:eastAsia="Arial" w:hAnsi="Arial"/>
                <w:sz w:val="14"/>
                <w:szCs w:val="14"/>
                <w:color w:val="0000FF"/>
              </w:rPr>
            </w:pPr>
            <w:hyperlink r:id="rId163">
              <w:r>
                <w:rPr>
                  <w:rFonts w:ascii="Arial" w:cs="Arial" w:eastAsia="Arial" w:hAnsi="Arial"/>
                  <w:sz w:val="14"/>
                  <w:szCs w:val="14"/>
                  <w:color w:val="0000FF"/>
                </w:rPr>
                <w:t>Consent, Waiver and Stand-By License Agreement,</w:t>
              </w:r>
            </w:hyperlink>
          </w:p>
        </w:tc>
        <w:tc>
          <w:tcPr>
            <w:tcW w:w="820" w:type="dxa"/>
            <w:vAlign w:val="bottom"/>
          </w:tcPr>
          <w:p>
            <w:pPr>
              <w:jc w:val="center"/>
              <w:ind w:right="2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05/12/2022</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10.2</w:t>
            </w:r>
          </w:p>
        </w:tc>
      </w:tr>
      <w:tr>
        <w:trPr>
          <w:trHeight w:val="118"/>
        </w:trPr>
        <w:tc>
          <w:tcPr>
            <w:tcW w:w="1220" w:type="dxa"/>
            <w:vAlign w:val="bottom"/>
          </w:tcPr>
          <w:p>
            <w:pPr>
              <w:spacing w:after="0"/>
              <w:rPr>
                <w:sz w:val="10"/>
                <w:szCs w:val="10"/>
                <w:color w:val="auto"/>
              </w:rPr>
            </w:pPr>
          </w:p>
        </w:tc>
        <w:tc>
          <w:tcPr>
            <w:tcW w:w="32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dated March 30, 2022, by and among TriLogic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90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Pharma, LLC, and MilanaPharm LLC, Dare</w:t>
              </w:r>
            </w:hyperlink>
          </w:p>
        </w:tc>
        <w:tc>
          <w:tcPr>
            <w:tcW w:w="4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272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Bioscience, Inc., and Organon International</w:t>
              </w:r>
            </w:hyperlink>
          </w:p>
        </w:tc>
        <w:tc>
          <w:tcPr>
            <w:tcW w:w="800" w:type="dxa"/>
            <w:vAlign w:val="bottom"/>
            <w:gridSpan w:val="20"/>
          </w:tcPr>
          <w:p>
            <w:pPr>
              <w:ind w:left="40"/>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GmbH.</w:t>
              </w:r>
            </w:hyperlink>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5"/>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10.3Δ</w:t>
            </w:r>
          </w:p>
        </w:tc>
        <w:tc>
          <w:tcPr>
            <w:tcW w:w="3520" w:type="dxa"/>
            <w:vAlign w:val="bottom"/>
            <w:gridSpan w:val="26"/>
          </w:tcPr>
          <w:p>
            <w:pPr>
              <w:spacing w:after="0"/>
              <w:rPr>
                <w:rFonts w:ascii="Arial" w:cs="Arial" w:eastAsia="Arial" w:hAnsi="Arial"/>
                <w:sz w:val="14"/>
                <w:szCs w:val="14"/>
                <w:color w:val="0000FF"/>
              </w:rPr>
            </w:pPr>
            <w:hyperlink r:id="rId164">
              <w:r>
                <w:rPr>
                  <w:rFonts w:ascii="Arial" w:cs="Arial" w:eastAsia="Arial" w:hAnsi="Arial"/>
                  <w:sz w:val="14"/>
                  <w:szCs w:val="14"/>
                  <w:color w:val="0000FF"/>
                </w:rPr>
                <w:t>License and Collaboration Agreement dated February</w:t>
              </w:r>
            </w:hyperlink>
          </w:p>
        </w:tc>
        <w:tc>
          <w:tcPr>
            <w:tcW w:w="820" w:type="dxa"/>
            <w:vAlign w:val="bottom"/>
          </w:tcPr>
          <w:p>
            <w:pPr>
              <w:jc w:val="center"/>
              <w:ind w:right="29"/>
              <w:spacing w:after="0"/>
              <w:rPr>
                <w:sz w:val="20"/>
                <w:szCs w:val="20"/>
                <w:color w:val="auto"/>
              </w:rPr>
            </w:pPr>
            <w:r>
              <w:rPr>
                <w:rFonts w:ascii="Arial" w:cs="Arial" w:eastAsia="Arial" w:hAnsi="Arial"/>
                <w:sz w:val="14"/>
                <w:szCs w:val="14"/>
                <w:color w:val="auto"/>
              </w:rPr>
              <w:t>10-K/A</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04/30/2018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10.1</w:t>
            </w:r>
          </w:p>
        </w:tc>
      </w:tr>
      <w:tr>
        <w:trPr>
          <w:trHeight w:val="118"/>
        </w:trPr>
        <w:tc>
          <w:tcPr>
            <w:tcW w:w="1220" w:type="dxa"/>
            <w:vAlign w:val="bottom"/>
          </w:tcPr>
          <w:p>
            <w:pPr>
              <w:spacing w:after="0"/>
              <w:rPr>
                <w:sz w:val="10"/>
                <w:szCs w:val="10"/>
                <w:color w:val="auto"/>
              </w:rPr>
            </w:pPr>
          </w:p>
        </w:tc>
        <w:tc>
          <w:tcPr>
            <w:tcW w:w="338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11, 2018 between Daré Bioscience, Inc., Strategic</w:t>
              </w:r>
            </w:hyperlink>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20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Science and Technologies-D, LLC and Strategic</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172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9"/>
              </w:rPr>
            </w:pPr>
            <w:hyperlink r:id="rId164">
              <w:r>
                <w:rPr>
                  <w:rFonts w:ascii="Arial" w:cs="Arial" w:eastAsia="Arial" w:hAnsi="Arial"/>
                  <w:sz w:val="14"/>
                  <w:szCs w:val="14"/>
                  <w:color w:val="0000FF"/>
                  <w:w w:val="99"/>
                </w:rPr>
                <w:t>Science Technologies, LLC</w:t>
              </w:r>
            </w:hyperlink>
          </w:p>
        </w:tc>
        <w:tc>
          <w:tcPr>
            <w:tcW w:w="1300" w:type="dxa"/>
            <w:vAlign w:val="bottom"/>
            <w:tcBorders>
              <w:top w:val="single" w:sz="8" w:color="0000FF"/>
            </w:tcBorders>
            <w:gridSpan w:val="9"/>
          </w:tcPr>
          <w:p>
            <w:pPr>
              <w:spacing w:after="0"/>
              <w:rPr>
                <w:sz w:val="11"/>
                <w:szCs w:val="11"/>
                <w:color w:val="auto"/>
              </w:rPr>
            </w:pPr>
          </w:p>
        </w:tc>
        <w:tc>
          <w:tcPr>
            <w:tcW w:w="80" w:type="dxa"/>
            <w:vAlign w:val="bottom"/>
            <w:gridSpan w:val="2"/>
          </w:tcPr>
          <w:p>
            <w:pPr>
              <w:spacing w:after="0"/>
              <w:rPr>
                <w:sz w:val="11"/>
                <w:szCs w:val="11"/>
                <w:color w:val="auto"/>
              </w:rPr>
            </w:pPr>
          </w:p>
        </w:tc>
        <w:tc>
          <w:tcPr>
            <w:tcW w:w="16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28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10.4Δ</w:t>
            </w:r>
          </w:p>
        </w:tc>
        <w:tc>
          <w:tcPr>
            <w:tcW w:w="3260" w:type="dxa"/>
            <w:vAlign w:val="bottom"/>
            <w:tcBorders>
              <w:bottom w:val="single" w:sz="8" w:color="0000FF"/>
            </w:tcBorders>
            <w:gridSpan w:val="18"/>
          </w:tcPr>
          <w:p>
            <w:pPr>
              <w:spacing w:after="0"/>
              <w:rPr>
                <w:rFonts w:ascii="Arial" w:cs="Arial" w:eastAsia="Arial" w:hAnsi="Arial"/>
                <w:sz w:val="14"/>
                <w:szCs w:val="14"/>
                <w:color w:val="0000FF"/>
              </w:rPr>
            </w:pPr>
            <w:hyperlink r:id="rId165">
              <w:r>
                <w:rPr>
                  <w:rFonts w:ascii="Arial" w:cs="Arial" w:eastAsia="Arial" w:hAnsi="Arial"/>
                  <w:sz w:val="14"/>
                  <w:szCs w:val="14"/>
                  <w:color w:val="0000FF"/>
                </w:rPr>
                <w:t>License Agreement dated March 19, 2017, between</w:t>
              </w:r>
            </w:hyperlink>
          </w:p>
        </w:tc>
        <w:tc>
          <w:tcPr>
            <w:tcW w:w="260" w:type="dxa"/>
            <w:vAlign w:val="bottom"/>
            <w:gridSpan w:val="8"/>
          </w:tcPr>
          <w:p>
            <w:pPr>
              <w:spacing w:after="0"/>
              <w:rPr>
                <w:sz w:val="24"/>
                <w:szCs w:val="24"/>
                <w:color w:val="auto"/>
              </w:rPr>
            </w:pPr>
          </w:p>
        </w:tc>
        <w:tc>
          <w:tcPr>
            <w:tcW w:w="820" w:type="dxa"/>
            <w:vAlign w:val="bottom"/>
          </w:tcPr>
          <w:p>
            <w:pPr>
              <w:jc w:val="center"/>
              <w:ind w:right="2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w w:val="96"/>
              </w:rPr>
              <w:t>11/13/2017</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10.1</w:t>
            </w:r>
          </w:p>
        </w:tc>
      </w:tr>
      <w:tr>
        <w:trPr>
          <w:trHeight w:val="118"/>
        </w:trPr>
        <w:tc>
          <w:tcPr>
            <w:tcW w:w="1220" w:type="dxa"/>
            <w:vAlign w:val="bottom"/>
          </w:tcPr>
          <w:p>
            <w:pPr>
              <w:spacing w:after="0"/>
              <w:rPr>
                <w:sz w:val="10"/>
                <w:szCs w:val="10"/>
                <w:color w:val="auto"/>
              </w:rPr>
            </w:pPr>
          </w:p>
        </w:tc>
        <w:tc>
          <w:tcPr>
            <w:tcW w:w="3340" w:type="dxa"/>
            <w:vAlign w:val="bottom"/>
            <w:tcBorders>
              <w:bottom w:val="single" w:sz="8" w:color="0000FF"/>
            </w:tcBorders>
            <w:gridSpan w:val="22"/>
          </w:tcPr>
          <w:p>
            <w:pPr>
              <w:spacing w:after="0" w:line="118" w:lineRule="exact"/>
              <w:rPr>
                <w:rFonts w:ascii="Arial" w:cs="Arial" w:eastAsia="Arial" w:hAnsi="Arial"/>
                <w:sz w:val="13"/>
                <w:szCs w:val="13"/>
                <w:color w:val="0000FF"/>
              </w:rPr>
            </w:pPr>
            <w:hyperlink r:id="rId165">
              <w:r>
                <w:rPr>
                  <w:rFonts w:ascii="Arial" w:cs="Arial" w:eastAsia="Arial" w:hAnsi="Arial"/>
                  <w:sz w:val="13"/>
                  <w:szCs w:val="13"/>
                  <w:color w:val="0000FF"/>
                </w:rPr>
                <w:t>Daré Bioscience Operations, Inc. and ADVA-Tec, Inc.</w:t>
              </w:r>
            </w:hyperlink>
          </w:p>
        </w:tc>
        <w:tc>
          <w:tcPr>
            <w:tcW w:w="18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10.5Δ</w:t>
            </w:r>
          </w:p>
        </w:tc>
        <w:tc>
          <w:tcPr>
            <w:tcW w:w="3520" w:type="dxa"/>
            <w:vAlign w:val="bottom"/>
            <w:gridSpan w:val="26"/>
          </w:tcPr>
          <w:p>
            <w:pPr>
              <w:spacing w:after="0"/>
              <w:rPr>
                <w:rFonts w:ascii="Arial" w:cs="Arial" w:eastAsia="Arial" w:hAnsi="Arial"/>
                <w:sz w:val="14"/>
                <w:szCs w:val="14"/>
                <w:color w:val="0000FF"/>
              </w:rPr>
            </w:pPr>
            <w:hyperlink r:id="rId166">
              <w:r>
                <w:rPr>
                  <w:rFonts w:ascii="Arial" w:cs="Arial" w:eastAsia="Arial" w:hAnsi="Arial"/>
                  <w:sz w:val="14"/>
                  <w:szCs w:val="14"/>
                  <w:color w:val="0000FF"/>
                </w:rPr>
                <w:t>Exclusive License Agreement made as April 24, 2018</w:t>
              </w:r>
            </w:hyperlink>
          </w:p>
        </w:tc>
        <w:tc>
          <w:tcPr>
            <w:tcW w:w="820" w:type="dxa"/>
            <w:vAlign w:val="bottom"/>
          </w:tcPr>
          <w:p>
            <w:pPr>
              <w:jc w:val="center"/>
              <w:ind w:right="2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8/13/2018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10.1</w:t>
            </w:r>
          </w:p>
        </w:tc>
      </w:tr>
      <w:tr>
        <w:trPr>
          <w:trHeight w:val="118"/>
        </w:trPr>
        <w:tc>
          <w:tcPr>
            <w:tcW w:w="1220" w:type="dxa"/>
            <w:vAlign w:val="bottom"/>
          </w:tcPr>
          <w:p>
            <w:pPr>
              <w:spacing w:after="0"/>
              <w:rPr>
                <w:sz w:val="10"/>
                <w:szCs w:val="10"/>
                <w:color w:val="auto"/>
              </w:rPr>
            </w:pPr>
          </w:p>
        </w:tc>
        <w:tc>
          <w:tcPr>
            <w:tcW w:w="336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66">
              <w:r>
                <w:rPr>
                  <w:rFonts w:ascii="Arial" w:cs="Arial" w:eastAsia="Arial" w:hAnsi="Arial"/>
                  <w:sz w:val="13"/>
                  <w:szCs w:val="13"/>
                  <w:color w:val="0000FF"/>
                </w:rPr>
                <w:t>by and between Catalent JNP, Inc. (fka Juniper</w:t>
              </w:r>
            </w:hyperlink>
          </w:p>
        </w:tc>
        <w:tc>
          <w:tcPr>
            <w:tcW w:w="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100" w:type="dxa"/>
            <w:vAlign w:val="bottom"/>
            <w:tcBorders>
              <w:bottom w:val="single" w:sz="8" w:color="0000FF"/>
            </w:tcBorders>
            <w:gridSpan w:val="14"/>
          </w:tcPr>
          <w:p>
            <w:pPr>
              <w:spacing w:after="0" w:line="118" w:lineRule="exact"/>
              <w:rPr>
                <w:rFonts w:ascii="Arial" w:cs="Arial" w:eastAsia="Arial" w:hAnsi="Arial"/>
                <w:sz w:val="13"/>
                <w:szCs w:val="13"/>
                <w:color w:val="0000FF"/>
              </w:rPr>
            </w:pPr>
            <w:hyperlink r:id="rId166">
              <w:r>
                <w:rPr>
                  <w:rFonts w:ascii="Arial" w:cs="Arial" w:eastAsia="Arial" w:hAnsi="Arial"/>
                  <w:sz w:val="13"/>
                  <w:szCs w:val="13"/>
                  <w:color w:val="0000FF"/>
                </w:rPr>
                <w:t>Pharmaceuticals, Inc.), and Daré Bioscience, Inc.</w:t>
              </w:r>
            </w:hyperlink>
          </w:p>
        </w:tc>
        <w:tc>
          <w:tcPr>
            <w:tcW w:w="420" w:type="dxa"/>
            <w:vAlign w:val="bottom"/>
            <w:gridSpan w:val="12"/>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10.6(a)Δ</w:t>
            </w:r>
          </w:p>
        </w:tc>
        <w:tc>
          <w:tcPr>
            <w:tcW w:w="3520" w:type="dxa"/>
            <w:vAlign w:val="bottom"/>
            <w:gridSpan w:val="26"/>
          </w:tcPr>
          <w:p>
            <w:pPr>
              <w:spacing w:after="0"/>
              <w:rPr>
                <w:rFonts w:ascii="Arial" w:cs="Arial" w:eastAsia="Arial" w:hAnsi="Arial"/>
                <w:sz w:val="14"/>
                <w:szCs w:val="14"/>
                <w:color w:val="0000FF"/>
              </w:rPr>
            </w:pPr>
            <w:hyperlink r:id="rId167">
              <w:r>
                <w:rPr>
                  <w:rFonts w:ascii="Arial" w:cs="Arial" w:eastAsia="Arial" w:hAnsi="Arial"/>
                  <w:sz w:val="14"/>
                  <w:szCs w:val="14"/>
                  <w:color w:val="0000FF"/>
                </w:rPr>
                <w:t>Amended and Restated Exclusive License Agreement</w:t>
              </w:r>
            </w:hyperlink>
          </w:p>
        </w:tc>
        <w:tc>
          <w:tcPr>
            <w:tcW w:w="820" w:type="dxa"/>
            <w:vAlign w:val="bottom"/>
          </w:tcPr>
          <w:p>
            <w:pPr>
              <w:jc w:val="center"/>
              <w:ind w:right="2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8/13/2018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10.5</w:t>
            </w:r>
          </w:p>
        </w:tc>
      </w:tr>
      <w:tr>
        <w:trPr>
          <w:trHeight w:val="118"/>
        </w:trPr>
        <w:tc>
          <w:tcPr>
            <w:tcW w:w="1220" w:type="dxa"/>
            <w:vAlign w:val="bottom"/>
          </w:tcPr>
          <w:p>
            <w:pPr>
              <w:spacing w:after="0"/>
              <w:rPr>
                <w:sz w:val="10"/>
                <w:szCs w:val="10"/>
                <w:color w:val="auto"/>
              </w:rPr>
            </w:pPr>
          </w:p>
        </w:tc>
        <w:tc>
          <w:tcPr>
            <w:tcW w:w="340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for Atrophic Vaginitis Technology, effective as of July</w:t>
              </w:r>
            </w:hyperlink>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28"/>
        </w:trPr>
        <w:tc>
          <w:tcPr>
            <w:tcW w:w="1220" w:type="dxa"/>
            <w:vAlign w:val="bottom"/>
          </w:tcPr>
          <w:p>
            <w:pPr>
              <w:spacing w:after="0"/>
              <w:rPr>
                <w:sz w:val="11"/>
                <w:szCs w:val="11"/>
                <w:color w:val="auto"/>
              </w:rPr>
            </w:pPr>
          </w:p>
        </w:tc>
        <w:tc>
          <w:tcPr>
            <w:tcW w:w="3280" w:type="dxa"/>
            <w:vAlign w:val="bottom"/>
            <w:tcBorders>
              <w:top w:val="single" w:sz="8" w:color="0000FF"/>
            </w:tcBorders>
            <w:gridSpan w:val="19"/>
          </w:tcPr>
          <w:p>
            <w:pPr>
              <w:spacing w:after="0" w:line="128" w:lineRule="exact"/>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14, 2006, dated August 15, 2007, by and between</w:t>
              </w:r>
            </w:hyperlink>
          </w:p>
        </w:tc>
        <w:tc>
          <w:tcPr>
            <w:tcW w:w="240" w:type="dxa"/>
            <w:vAlign w:val="bottom"/>
            <w:gridSpan w:val="7"/>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bl>
    <w:p>
      <w:pPr>
        <w:ind w:left="1220"/>
        <w:spacing w:after="0" w:line="205" w:lineRule="auto"/>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Fred Mermelstein, Ph.D., and Janet Chollet, M.D., and</w:t>
        </w:r>
      </w:hyperlink>
    </w:p>
    <w:p>
      <w:pPr>
        <w:ind w:left="1220"/>
        <w:spacing w:after="0"/>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Pear Tree Women’s Health Care, Inc.</w:t>
        </w:r>
      </w:hyperlink>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2"/>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10.6(b)Δ</w:t>
            </w:r>
          </w:p>
        </w:tc>
        <w:tc>
          <w:tcPr>
            <w:tcW w:w="3460" w:type="dxa"/>
            <w:vAlign w:val="bottom"/>
            <w:gridSpan w:val="24"/>
          </w:tcPr>
          <w:p>
            <w:pPr>
              <w:spacing w:after="0"/>
              <w:rPr>
                <w:rFonts w:ascii="Arial" w:cs="Arial" w:eastAsia="Arial" w:hAnsi="Arial"/>
                <w:sz w:val="14"/>
                <w:szCs w:val="14"/>
                <w:color w:val="0000FF"/>
              </w:rPr>
            </w:pPr>
            <w:hyperlink r:id="rId169">
              <w:r>
                <w:rPr>
                  <w:rFonts w:ascii="Arial" w:cs="Arial" w:eastAsia="Arial" w:hAnsi="Arial"/>
                  <w:sz w:val="14"/>
                  <w:szCs w:val="14"/>
                  <w:color w:val="0000FF"/>
                </w:rPr>
                <w:t>Amendment No. 1 to the Amended and Restated</w:t>
              </w:r>
            </w:hyperlink>
          </w:p>
        </w:tc>
      </w:tr>
      <w:tr>
        <w:trPr>
          <w:trHeight w:val="127"/>
        </w:trPr>
        <w:tc>
          <w:tcPr>
            <w:tcW w:w="980" w:type="dxa"/>
            <w:vAlign w:val="bottom"/>
          </w:tcPr>
          <w:p>
            <w:pPr>
              <w:spacing w:after="0"/>
              <w:rPr>
                <w:sz w:val="11"/>
                <w:szCs w:val="11"/>
                <w:color w:val="auto"/>
              </w:rPr>
            </w:pPr>
          </w:p>
        </w:tc>
        <w:tc>
          <w:tcPr>
            <w:tcW w:w="3060" w:type="dxa"/>
            <w:vAlign w:val="bottom"/>
            <w:tcBorders>
              <w:top w:val="single" w:sz="8" w:color="0000FF"/>
            </w:tcBorders>
            <w:gridSpan w:val="12"/>
          </w:tcPr>
          <w:p>
            <w:pPr>
              <w:spacing w:after="0" w:line="127" w:lineRule="exact"/>
              <w:rPr>
                <w:rFonts w:ascii="Arial" w:cs="Arial" w:eastAsia="Arial" w:hAnsi="Arial"/>
                <w:sz w:val="14"/>
                <w:szCs w:val="14"/>
                <w:color w:val="0000FF"/>
                <w:w w:val="96"/>
              </w:rPr>
            </w:pPr>
            <w:hyperlink r:id="rId169">
              <w:r>
                <w:rPr>
                  <w:rFonts w:ascii="Arial" w:cs="Arial" w:eastAsia="Arial" w:hAnsi="Arial"/>
                  <w:sz w:val="14"/>
                  <w:szCs w:val="14"/>
                  <w:color w:val="0000FF"/>
                  <w:w w:val="96"/>
                </w:rPr>
                <w:t>Exclusive License Agreement, dated as of October</w:t>
              </w:r>
            </w:hyperlink>
          </w:p>
        </w:tc>
        <w:tc>
          <w:tcPr>
            <w:tcW w:w="400" w:type="dxa"/>
            <w:vAlign w:val="bottom"/>
            <w:gridSpan w:val="12"/>
          </w:tcPr>
          <w:p>
            <w:pPr>
              <w:jc w:val="right"/>
              <w:ind w:right="40"/>
              <w:spacing w:after="0" w:line="127" w:lineRule="exact"/>
              <w:rPr>
                <w:rFonts w:ascii="Arial" w:cs="Arial" w:eastAsia="Arial" w:hAnsi="Arial"/>
                <w:sz w:val="14"/>
                <w:szCs w:val="14"/>
                <w:color w:val="0000FF"/>
              </w:rPr>
            </w:pPr>
            <w:hyperlink r:id="rId169">
              <w:r>
                <w:rPr>
                  <w:rFonts w:ascii="Arial" w:cs="Arial" w:eastAsia="Arial" w:hAnsi="Arial"/>
                  <w:sz w:val="14"/>
                  <w:szCs w:val="14"/>
                  <w:color w:val="0000FF"/>
                </w:rPr>
                <w:t>10,</w:t>
              </w:r>
            </w:hyperlink>
          </w:p>
        </w:tc>
      </w:tr>
      <w:tr>
        <w:trPr>
          <w:trHeight w:val="118"/>
        </w:trPr>
        <w:tc>
          <w:tcPr>
            <w:tcW w:w="980" w:type="dxa"/>
            <w:vAlign w:val="bottom"/>
          </w:tcPr>
          <w:p>
            <w:pPr>
              <w:spacing w:after="0"/>
              <w:rPr>
                <w:sz w:val="10"/>
                <w:szCs w:val="10"/>
                <w:color w:val="auto"/>
              </w:rPr>
            </w:pPr>
          </w:p>
        </w:tc>
        <w:tc>
          <w:tcPr>
            <w:tcW w:w="344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2007, by and among Fred Mermelstein, Ph.D. and</w:t>
              </w:r>
            </w:hyperlink>
          </w:p>
        </w:tc>
        <w:tc>
          <w:tcPr>
            <w:tcW w:w="20" w:type="dxa"/>
            <w:vAlign w:val="bottom"/>
          </w:tcPr>
          <w:p>
            <w:pPr>
              <w:spacing w:after="0"/>
              <w:rPr>
                <w:sz w:val="10"/>
                <w:szCs w:val="10"/>
                <w:color w:val="auto"/>
              </w:rPr>
            </w:pPr>
          </w:p>
        </w:tc>
      </w:tr>
      <w:tr>
        <w:trPr>
          <w:trHeight w:val="129"/>
        </w:trPr>
        <w:tc>
          <w:tcPr>
            <w:tcW w:w="980" w:type="dxa"/>
            <w:vAlign w:val="bottom"/>
          </w:tcPr>
          <w:p>
            <w:pPr>
              <w:spacing w:after="0"/>
              <w:rPr>
                <w:sz w:val="11"/>
                <w:szCs w:val="11"/>
                <w:color w:val="auto"/>
              </w:rPr>
            </w:pPr>
          </w:p>
        </w:tc>
        <w:tc>
          <w:tcPr>
            <w:tcW w:w="314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w w:val="95"/>
              </w:rPr>
            </w:pPr>
            <w:hyperlink r:id="rId169">
              <w:r>
                <w:rPr>
                  <w:rFonts w:ascii="Arial" w:cs="Arial" w:eastAsia="Arial" w:hAnsi="Arial"/>
                  <w:sz w:val="14"/>
                  <w:szCs w:val="14"/>
                  <w:color w:val="0000FF"/>
                  <w:w w:val="95"/>
                </w:rPr>
                <w:t>Janet Chollet, M.D., and Pear Tree Pharmaceuticals,</w:t>
              </w:r>
            </w:hyperlink>
          </w:p>
        </w:tc>
        <w:tc>
          <w:tcPr>
            <w:tcW w:w="10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8"/>
        </w:trPr>
        <w:tc>
          <w:tcPr>
            <w:tcW w:w="980" w:type="dxa"/>
            <w:vAlign w:val="bottom"/>
          </w:tcPr>
          <w:p>
            <w:pPr>
              <w:spacing w:after="0"/>
              <w:rPr>
                <w:sz w:val="10"/>
                <w:szCs w:val="10"/>
                <w:color w:val="auto"/>
              </w:rPr>
            </w:pPr>
          </w:p>
        </w:tc>
        <w:tc>
          <w:tcPr>
            <w:tcW w:w="240" w:type="dxa"/>
            <w:vAlign w:val="bottom"/>
            <w:tcBorders>
              <w:bottom w:val="single" w:sz="8" w:color="0000FF"/>
            </w:tcBorders>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Inc.</w:t>
              </w:r>
            </w:hyperlink>
          </w:p>
        </w:tc>
        <w:tc>
          <w:tcPr>
            <w:tcW w:w="31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98"/>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10.6(c)Δ</w:t>
            </w:r>
          </w:p>
        </w:tc>
        <w:tc>
          <w:tcPr>
            <w:tcW w:w="3460" w:type="dxa"/>
            <w:vAlign w:val="bottom"/>
            <w:gridSpan w:val="24"/>
          </w:tcPr>
          <w:p>
            <w:pPr>
              <w:spacing w:after="0"/>
              <w:rPr>
                <w:rFonts w:ascii="Arial" w:cs="Arial" w:eastAsia="Arial" w:hAnsi="Arial"/>
                <w:sz w:val="14"/>
                <w:szCs w:val="14"/>
                <w:color w:val="0000FF"/>
              </w:rPr>
            </w:pPr>
            <w:hyperlink r:id="rId170">
              <w:r>
                <w:rPr>
                  <w:rFonts w:ascii="Arial" w:cs="Arial" w:eastAsia="Arial" w:hAnsi="Arial"/>
                  <w:sz w:val="14"/>
                  <w:szCs w:val="14"/>
                  <w:color w:val="0000FF"/>
                </w:rPr>
                <w:t>Amendment No. 2 to the Amended and Restated</w:t>
              </w:r>
            </w:hyperlink>
          </w:p>
        </w:tc>
      </w:tr>
      <w:tr>
        <w:trPr>
          <w:trHeight w:val="20"/>
        </w:trPr>
        <w:tc>
          <w:tcPr>
            <w:tcW w:w="9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980" w:type="dxa"/>
            <w:vAlign w:val="bottom"/>
          </w:tcPr>
          <w:p>
            <w:pPr>
              <w:spacing w:after="0"/>
              <w:rPr>
                <w:sz w:val="10"/>
                <w:szCs w:val="10"/>
                <w:color w:val="auto"/>
              </w:rPr>
            </w:pPr>
          </w:p>
        </w:tc>
        <w:tc>
          <w:tcPr>
            <w:tcW w:w="3460" w:type="dxa"/>
            <w:vAlign w:val="bottom"/>
            <w:gridSpan w:val="24"/>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Exclusive License Agreement, dated as of February</w:t>
              </w:r>
            </w:hyperlink>
          </w:p>
        </w:tc>
      </w:tr>
      <w:tr>
        <w:trPr>
          <w:trHeight w:val="20"/>
        </w:trPr>
        <w:tc>
          <w:tcPr>
            <w:tcW w:w="9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980" w:type="dxa"/>
            <w:vAlign w:val="bottom"/>
          </w:tcPr>
          <w:p>
            <w:pPr>
              <w:spacing w:after="0"/>
              <w:rPr>
                <w:sz w:val="10"/>
                <w:szCs w:val="10"/>
                <w:color w:val="auto"/>
              </w:rPr>
            </w:pPr>
          </w:p>
        </w:tc>
        <w:tc>
          <w:tcPr>
            <w:tcW w:w="3460" w:type="dxa"/>
            <w:vAlign w:val="bottom"/>
            <w:gridSpan w:val="24"/>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13, 2017, by and among Fred Mermelstein, Ph.D., and</w:t>
              </w:r>
            </w:hyperlink>
          </w:p>
        </w:tc>
      </w:tr>
      <w:tr>
        <w:trPr>
          <w:trHeight w:val="129"/>
        </w:trPr>
        <w:tc>
          <w:tcPr>
            <w:tcW w:w="980" w:type="dxa"/>
            <w:vAlign w:val="bottom"/>
          </w:tcPr>
          <w:p>
            <w:pPr>
              <w:spacing w:after="0"/>
              <w:rPr>
                <w:sz w:val="11"/>
                <w:szCs w:val="11"/>
                <w:color w:val="auto"/>
              </w:rPr>
            </w:pPr>
          </w:p>
        </w:tc>
        <w:tc>
          <w:tcPr>
            <w:tcW w:w="344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Janet Chollet, M.D., Pear Tree Pharmaceuticals, Inc.</w:t>
              </w:r>
            </w:hyperlink>
          </w:p>
        </w:tc>
        <w:tc>
          <w:tcPr>
            <w:tcW w:w="20" w:type="dxa"/>
            <w:vAlign w:val="bottom"/>
          </w:tcPr>
          <w:p>
            <w:pPr>
              <w:spacing w:after="0"/>
              <w:rPr>
                <w:sz w:val="11"/>
                <w:szCs w:val="11"/>
                <w:color w:val="auto"/>
              </w:rPr>
            </w:pPr>
          </w:p>
        </w:tc>
      </w:tr>
      <w:tr>
        <w:trPr>
          <w:trHeight w:val="118"/>
        </w:trPr>
        <w:tc>
          <w:tcPr>
            <w:tcW w:w="980" w:type="dxa"/>
            <w:vAlign w:val="bottom"/>
          </w:tcPr>
          <w:p>
            <w:pPr>
              <w:spacing w:after="0"/>
              <w:rPr>
                <w:sz w:val="10"/>
                <w:szCs w:val="10"/>
                <w:color w:val="auto"/>
              </w:rPr>
            </w:pPr>
          </w:p>
        </w:tc>
        <w:tc>
          <w:tcPr>
            <w:tcW w:w="16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and Bernadette Klamerus</w:t>
              </w:r>
            </w:hyperlink>
          </w:p>
        </w:tc>
        <w:tc>
          <w:tcPr>
            <w:tcW w:w="170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98"/>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10.6(d)+</w:t>
            </w:r>
          </w:p>
        </w:tc>
        <w:tc>
          <w:tcPr>
            <w:tcW w:w="3460" w:type="dxa"/>
            <w:vAlign w:val="bottom"/>
            <w:gridSpan w:val="24"/>
          </w:tcPr>
          <w:p>
            <w:pPr>
              <w:spacing w:after="0"/>
              <w:rPr>
                <w:rFonts w:ascii="Arial" w:cs="Arial" w:eastAsia="Arial" w:hAnsi="Arial"/>
                <w:sz w:val="14"/>
                <w:szCs w:val="14"/>
                <w:color w:val="0000FF"/>
              </w:rPr>
            </w:pPr>
            <w:hyperlink r:id="rId171">
              <w:r>
                <w:rPr>
                  <w:rFonts w:ascii="Arial" w:cs="Arial" w:eastAsia="Arial" w:hAnsi="Arial"/>
                  <w:sz w:val="14"/>
                  <w:szCs w:val="14"/>
                  <w:color w:val="0000FF"/>
                </w:rPr>
                <w:t>Amendment No. 3 to the Amended and Restated</w:t>
              </w:r>
            </w:hyperlink>
          </w:p>
        </w:tc>
      </w:tr>
      <w:tr>
        <w:trPr>
          <w:trHeight w:val="20"/>
        </w:trPr>
        <w:tc>
          <w:tcPr>
            <w:tcW w:w="9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980" w:type="dxa"/>
            <w:vAlign w:val="bottom"/>
          </w:tcPr>
          <w:p>
            <w:pPr>
              <w:spacing w:after="0"/>
              <w:rPr>
                <w:sz w:val="10"/>
                <w:szCs w:val="10"/>
                <w:color w:val="auto"/>
              </w:rPr>
            </w:pPr>
          </w:p>
        </w:tc>
        <w:tc>
          <w:tcPr>
            <w:tcW w:w="3460" w:type="dxa"/>
            <w:vAlign w:val="bottom"/>
            <w:gridSpan w:val="24"/>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Exclusive License Agreement, effective as of February</w:t>
              </w:r>
            </w:hyperlink>
          </w:p>
        </w:tc>
      </w:tr>
      <w:tr>
        <w:trPr>
          <w:trHeight w:val="118"/>
        </w:trPr>
        <w:tc>
          <w:tcPr>
            <w:tcW w:w="980" w:type="dxa"/>
            <w:vAlign w:val="bottom"/>
          </w:tcPr>
          <w:p>
            <w:pPr>
              <w:spacing w:after="0"/>
              <w:rPr>
                <w:sz w:val="10"/>
                <w:szCs w:val="10"/>
                <w:color w:val="auto"/>
              </w:rPr>
            </w:pPr>
          </w:p>
        </w:tc>
        <w:tc>
          <w:tcPr>
            <w:tcW w:w="34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13, 2017, by and among Fred Mermelstein, Ph.D., and</w:t>
              </w:r>
            </w:hyperlink>
          </w:p>
        </w:tc>
        <w:tc>
          <w:tcPr>
            <w:tcW w:w="40" w:type="dxa"/>
            <w:vAlign w:val="bottom"/>
            <w:gridSpan w:val="2"/>
          </w:tcPr>
          <w:p>
            <w:pPr>
              <w:spacing w:after="0"/>
              <w:rPr>
                <w:sz w:val="10"/>
                <w:szCs w:val="10"/>
                <w:color w:val="auto"/>
              </w:rPr>
            </w:pPr>
          </w:p>
        </w:tc>
      </w:tr>
      <w:tr>
        <w:trPr>
          <w:trHeight w:val="129"/>
        </w:trPr>
        <w:tc>
          <w:tcPr>
            <w:tcW w:w="980" w:type="dxa"/>
            <w:vAlign w:val="bottom"/>
          </w:tcPr>
          <w:p>
            <w:pPr>
              <w:spacing w:after="0"/>
              <w:rPr>
                <w:sz w:val="11"/>
                <w:szCs w:val="11"/>
                <w:color w:val="auto"/>
              </w:rPr>
            </w:pPr>
          </w:p>
        </w:tc>
        <w:tc>
          <w:tcPr>
            <w:tcW w:w="344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71">
              <w:r>
                <w:rPr>
                  <w:rFonts w:ascii="Arial" w:cs="Arial" w:eastAsia="Arial" w:hAnsi="Arial"/>
                  <w:sz w:val="14"/>
                  <w:szCs w:val="14"/>
                  <w:color w:val="0000FF"/>
                </w:rPr>
                <w:t>Janet Chollet, M.D., Pear Tree Pharmaceuticals, Inc.</w:t>
              </w:r>
            </w:hyperlink>
          </w:p>
        </w:tc>
        <w:tc>
          <w:tcPr>
            <w:tcW w:w="20" w:type="dxa"/>
            <w:vAlign w:val="bottom"/>
          </w:tcPr>
          <w:p>
            <w:pPr>
              <w:spacing w:after="0"/>
              <w:rPr>
                <w:sz w:val="11"/>
                <w:szCs w:val="11"/>
                <w:color w:val="auto"/>
              </w:rPr>
            </w:pPr>
          </w:p>
        </w:tc>
      </w:tr>
      <w:tr>
        <w:trPr>
          <w:trHeight w:val="118"/>
        </w:trPr>
        <w:tc>
          <w:tcPr>
            <w:tcW w:w="980" w:type="dxa"/>
            <w:vAlign w:val="bottom"/>
          </w:tcPr>
          <w:p>
            <w:pPr>
              <w:spacing w:after="0"/>
              <w:rPr>
                <w:sz w:val="10"/>
                <w:szCs w:val="10"/>
                <w:color w:val="auto"/>
              </w:rPr>
            </w:pPr>
          </w:p>
        </w:tc>
        <w:tc>
          <w:tcPr>
            <w:tcW w:w="16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and Bernadette Klamerus</w:t>
              </w:r>
            </w:hyperlink>
          </w:p>
        </w:tc>
        <w:tc>
          <w:tcPr>
            <w:tcW w:w="170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98"/>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10.6(e)Δ</w:t>
            </w:r>
          </w:p>
        </w:tc>
        <w:tc>
          <w:tcPr>
            <w:tcW w:w="3460" w:type="dxa"/>
            <w:vAlign w:val="bottom"/>
            <w:gridSpan w:val="24"/>
          </w:tcPr>
          <w:p>
            <w:pPr>
              <w:spacing w:after="0"/>
              <w:rPr>
                <w:rFonts w:ascii="Arial" w:cs="Arial" w:eastAsia="Arial" w:hAnsi="Arial"/>
                <w:sz w:val="14"/>
                <w:szCs w:val="14"/>
                <w:color w:val="0000FF"/>
              </w:rPr>
            </w:pPr>
            <w:hyperlink r:id="rId172">
              <w:r>
                <w:rPr>
                  <w:rFonts w:ascii="Arial" w:cs="Arial" w:eastAsia="Arial" w:hAnsi="Arial"/>
                  <w:sz w:val="14"/>
                  <w:szCs w:val="14"/>
                  <w:color w:val="0000FF"/>
                </w:rPr>
                <w:t>Exclusive License Agreement, dated as of February</w:t>
              </w:r>
            </w:hyperlink>
          </w:p>
        </w:tc>
      </w:tr>
      <w:tr>
        <w:trPr>
          <w:trHeight w:val="118"/>
        </w:trPr>
        <w:tc>
          <w:tcPr>
            <w:tcW w:w="980" w:type="dxa"/>
            <w:vAlign w:val="bottom"/>
          </w:tcPr>
          <w:p>
            <w:pPr>
              <w:spacing w:after="0"/>
              <w:rPr>
                <w:sz w:val="10"/>
                <w:szCs w:val="10"/>
                <w:color w:val="auto"/>
              </w:rPr>
            </w:pPr>
          </w:p>
        </w:tc>
        <w:tc>
          <w:tcPr>
            <w:tcW w:w="324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13, 2017, by and between GYN Holdings, Inc., a</w:t>
              </w:r>
            </w:hyperlink>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18"/>
        </w:trPr>
        <w:tc>
          <w:tcPr>
            <w:tcW w:w="980" w:type="dxa"/>
            <w:vAlign w:val="bottom"/>
          </w:tcPr>
          <w:p>
            <w:pPr>
              <w:spacing w:after="0"/>
              <w:rPr>
                <w:sz w:val="10"/>
                <w:szCs w:val="10"/>
                <w:color w:val="auto"/>
              </w:rPr>
            </w:pPr>
          </w:p>
        </w:tc>
        <w:tc>
          <w:tcPr>
            <w:tcW w:w="306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wholly-owned subsidiary of Pear Tree</w:t>
              </w:r>
            </w:hyperlink>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29"/>
        </w:trPr>
        <w:tc>
          <w:tcPr>
            <w:tcW w:w="980" w:type="dxa"/>
            <w:vAlign w:val="bottom"/>
          </w:tcPr>
          <w:p>
            <w:pPr>
              <w:spacing w:after="0"/>
              <w:rPr>
                <w:sz w:val="11"/>
                <w:szCs w:val="11"/>
                <w:color w:val="auto"/>
              </w:rPr>
            </w:pPr>
          </w:p>
        </w:tc>
        <w:tc>
          <w:tcPr>
            <w:tcW w:w="236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Pharmaceuticals, Inc. and Bernadette</w:t>
              </w:r>
            </w:hyperlink>
          </w:p>
        </w:tc>
        <w:tc>
          <w:tcPr>
            <w:tcW w:w="1100" w:type="dxa"/>
            <w:vAlign w:val="bottom"/>
            <w:gridSpan w:val="19"/>
          </w:tcPr>
          <w:p>
            <w:pPr>
              <w:ind w:left="40"/>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Klamerus</w:t>
              </w:r>
            </w:hyperlink>
          </w:p>
        </w:tc>
      </w:tr>
      <w:tr>
        <w:trPr>
          <w:trHeight w:val="277"/>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10.6(f)Δ</w:t>
            </w:r>
          </w:p>
        </w:tc>
        <w:tc>
          <w:tcPr>
            <w:tcW w:w="3000" w:type="dxa"/>
            <w:vAlign w:val="bottom"/>
            <w:tcBorders>
              <w:top w:val="single" w:sz="8" w:color="0000FF"/>
            </w:tcBorders>
            <w:gridSpan w:val="11"/>
          </w:tcPr>
          <w:p>
            <w:pPr>
              <w:spacing w:after="0"/>
              <w:rPr>
                <w:rFonts w:ascii="Arial" w:cs="Arial" w:eastAsia="Arial" w:hAnsi="Arial"/>
                <w:sz w:val="14"/>
                <w:szCs w:val="14"/>
                <w:color w:val="0000FF"/>
              </w:rPr>
            </w:pPr>
            <w:hyperlink r:id="rId173">
              <w:r>
                <w:rPr>
                  <w:rFonts w:ascii="Arial" w:cs="Arial" w:eastAsia="Arial" w:hAnsi="Arial"/>
                  <w:sz w:val="14"/>
                  <w:szCs w:val="14"/>
                  <w:color w:val="0000FF"/>
                </w:rPr>
                <w:t>Exclusive License Agreement, effective as of</w:t>
              </w:r>
            </w:hyperlink>
          </w:p>
        </w:tc>
        <w:tc>
          <w:tcPr>
            <w:tcW w:w="460" w:type="dxa"/>
            <w:vAlign w:val="bottom"/>
            <w:gridSpan w:val="13"/>
          </w:tcPr>
          <w:p>
            <w:pPr>
              <w:spacing w:after="0"/>
              <w:rPr>
                <w:sz w:val="24"/>
                <w:szCs w:val="24"/>
                <w:color w:val="auto"/>
              </w:rPr>
            </w:pPr>
          </w:p>
        </w:tc>
      </w:tr>
      <w:tr>
        <w:trPr>
          <w:trHeight w:val="118"/>
        </w:trPr>
        <w:tc>
          <w:tcPr>
            <w:tcW w:w="980" w:type="dxa"/>
            <w:vAlign w:val="bottom"/>
          </w:tcPr>
          <w:p>
            <w:pPr>
              <w:spacing w:after="0"/>
              <w:rPr>
                <w:sz w:val="10"/>
                <w:szCs w:val="10"/>
                <w:color w:val="auto"/>
              </w:rPr>
            </w:pPr>
          </w:p>
        </w:tc>
        <w:tc>
          <w:tcPr>
            <w:tcW w:w="27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September 15, 2017, by and between Fred</w:t>
              </w:r>
            </w:hyperlink>
          </w:p>
        </w:tc>
        <w:tc>
          <w:tcPr>
            <w:tcW w:w="120" w:type="dxa"/>
            <w:vAlign w:val="bottom"/>
            <w:tcBorders>
              <w:top w:val="single" w:sz="8" w:color="0000FF"/>
            </w:tcBorders>
            <w:gridSpan w:val="3"/>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18"/>
        </w:trPr>
        <w:tc>
          <w:tcPr>
            <w:tcW w:w="980" w:type="dxa"/>
            <w:vAlign w:val="bottom"/>
          </w:tcPr>
          <w:p>
            <w:pPr>
              <w:spacing w:after="0"/>
              <w:rPr>
                <w:sz w:val="10"/>
                <w:szCs w:val="10"/>
                <w:color w:val="auto"/>
              </w:rPr>
            </w:pPr>
          </w:p>
        </w:tc>
        <w:tc>
          <w:tcPr>
            <w:tcW w:w="3460" w:type="dxa"/>
            <w:vAlign w:val="bottom"/>
            <w:gridSpan w:val="24"/>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Mermelstein, Ph.D., Janet Chollet, M.D., Pear Tree</w:t>
              </w:r>
            </w:hyperlink>
          </w:p>
        </w:tc>
      </w:tr>
      <w:tr>
        <w:trPr>
          <w:trHeight w:val="129"/>
        </w:trPr>
        <w:tc>
          <w:tcPr>
            <w:tcW w:w="980" w:type="dxa"/>
            <w:vAlign w:val="bottom"/>
          </w:tcPr>
          <w:p>
            <w:pPr>
              <w:spacing w:after="0"/>
              <w:rPr>
                <w:sz w:val="11"/>
                <w:szCs w:val="11"/>
                <w:color w:val="auto"/>
              </w:rPr>
            </w:pPr>
          </w:p>
        </w:tc>
        <w:tc>
          <w:tcPr>
            <w:tcW w:w="324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173">
              <w:r>
                <w:rPr>
                  <w:rFonts w:ascii="Arial" w:cs="Arial" w:eastAsia="Arial" w:hAnsi="Arial"/>
                  <w:sz w:val="14"/>
                  <w:szCs w:val="14"/>
                  <w:color w:val="0000FF"/>
                </w:rPr>
                <w:t>Pharmaceuticals, Inc., and Stephen C. Rocamboli</w:t>
              </w:r>
            </w:hyperlink>
          </w:p>
        </w:tc>
        <w:tc>
          <w:tcPr>
            <w:tcW w:w="6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78"/>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10.7(a)Δ</w:t>
            </w:r>
          </w:p>
        </w:tc>
        <w:tc>
          <w:tcPr>
            <w:tcW w:w="3120" w:type="dxa"/>
            <w:vAlign w:val="bottom"/>
            <w:tcBorders>
              <w:top w:val="single" w:sz="8" w:color="0000FF"/>
            </w:tcBorders>
            <w:gridSpan w:val="13"/>
          </w:tcPr>
          <w:p>
            <w:pPr>
              <w:spacing w:after="0"/>
              <w:rPr>
                <w:rFonts w:ascii="Arial" w:cs="Arial" w:eastAsia="Arial" w:hAnsi="Arial"/>
                <w:sz w:val="14"/>
                <w:szCs w:val="14"/>
                <w:color w:val="0000FF"/>
              </w:rPr>
            </w:pPr>
            <w:hyperlink r:id="rId174">
              <w:r>
                <w:rPr>
                  <w:rFonts w:ascii="Arial" w:cs="Arial" w:eastAsia="Arial" w:hAnsi="Arial"/>
                  <w:sz w:val="14"/>
                  <w:szCs w:val="14"/>
                  <w:color w:val="0000FF"/>
                </w:rPr>
                <w:t>Assignment Agreement by and between Daré</w:t>
              </w:r>
            </w:hyperlink>
          </w:p>
        </w:tc>
        <w:tc>
          <w:tcPr>
            <w:tcW w:w="340" w:type="dxa"/>
            <w:vAlign w:val="bottom"/>
            <w:gridSpan w:val="11"/>
          </w:tcPr>
          <w:p>
            <w:pPr>
              <w:spacing w:after="0"/>
              <w:rPr>
                <w:sz w:val="24"/>
                <w:szCs w:val="24"/>
                <w:color w:val="auto"/>
              </w:rPr>
            </w:pPr>
          </w:p>
        </w:tc>
      </w:tr>
      <w:tr>
        <w:trPr>
          <w:trHeight w:val="127"/>
        </w:trPr>
        <w:tc>
          <w:tcPr>
            <w:tcW w:w="980" w:type="dxa"/>
            <w:vAlign w:val="bottom"/>
          </w:tcPr>
          <w:p>
            <w:pPr>
              <w:spacing w:after="0"/>
              <w:rPr>
                <w:sz w:val="11"/>
                <w:szCs w:val="11"/>
                <w:color w:val="auto"/>
              </w:rPr>
            </w:pPr>
          </w:p>
        </w:tc>
        <w:tc>
          <w:tcPr>
            <w:tcW w:w="2860" w:type="dxa"/>
            <w:vAlign w:val="bottom"/>
            <w:tcBorders>
              <w:top w:val="single" w:sz="8" w:color="0000FF"/>
            </w:tcBorders>
            <w:gridSpan w:val="10"/>
          </w:tcPr>
          <w:p>
            <w:pPr>
              <w:spacing w:after="0" w:line="127" w:lineRule="exact"/>
              <w:rPr>
                <w:rFonts w:ascii="Arial" w:cs="Arial" w:eastAsia="Arial" w:hAnsi="Arial"/>
                <w:sz w:val="14"/>
                <w:szCs w:val="14"/>
                <w:color w:val="0000FF"/>
                <w:w w:val="93"/>
              </w:rPr>
            </w:pPr>
            <w:hyperlink r:id="rId174">
              <w:r>
                <w:rPr>
                  <w:rFonts w:ascii="Arial" w:cs="Arial" w:eastAsia="Arial" w:hAnsi="Arial"/>
                  <w:sz w:val="14"/>
                  <w:szCs w:val="14"/>
                  <w:color w:val="0000FF"/>
                  <w:w w:val="93"/>
                </w:rPr>
                <w:t>Bioscience, Inc. and Hammock Pharmaceuticals,</w:t>
              </w:r>
            </w:hyperlink>
          </w:p>
        </w:tc>
        <w:tc>
          <w:tcPr>
            <w:tcW w:w="600" w:type="dxa"/>
            <w:vAlign w:val="bottom"/>
            <w:gridSpan w:val="14"/>
          </w:tcPr>
          <w:p>
            <w:pPr>
              <w:ind w:left="260"/>
              <w:spacing w:after="0" w:line="127" w:lineRule="exact"/>
              <w:rPr>
                <w:rFonts w:ascii="Arial" w:cs="Arial" w:eastAsia="Arial" w:hAnsi="Arial"/>
                <w:sz w:val="14"/>
                <w:szCs w:val="14"/>
                <w:color w:val="0000FF"/>
              </w:rPr>
            </w:pPr>
            <w:hyperlink r:id="rId174">
              <w:r>
                <w:rPr>
                  <w:rFonts w:ascii="Arial" w:cs="Arial" w:eastAsia="Arial" w:hAnsi="Arial"/>
                  <w:sz w:val="14"/>
                  <w:szCs w:val="14"/>
                  <w:color w:val="0000FF"/>
                </w:rPr>
                <w:t>Inc.</w:t>
              </w:r>
            </w:hyperlink>
          </w:p>
        </w:tc>
      </w:tr>
      <w:tr>
        <w:trPr>
          <w:trHeight w:val="118"/>
        </w:trPr>
        <w:tc>
          <w:tcPr>
            <w:tcW w:w="980" w:type="dxa"/>
            <w:vAlign w:val="bottom"/>
          </w:tcPr>
          <w:p>
            <w:pPr>
              <w:spacing w:after="0"/>
              <w:rPr>
                <w:sz w:val="10"/>
                <w:szCs w:val="10"/>
                <w:color w:val="auto"/>
              </w:rPr>
            </w:pPr>
          </w:p>
        </w:tc>
        <w:tc>
          <w:tcPr>
            <w:tcW w:w="340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effective as of December 5, 2018</w:t>
              </w:r>
            </w:hyperlink>
          </w:p>
        </w:tc>
        <w:tc>
          <w:tcPr>
            <w:tcW w:w="60" w:type="dxa"/>
            <w:vAlign w:val="bottom"/>
            <w:gridSpan w:val="3"/>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8"/>
        </w:trPr>
        <w:tc>
          <w:tcPr>
            <w:tcW w:w="980" w:type="dxa"/>
            <w:vAlign w:val="bottom"/>
          </w:tcPr>
          <w:p>
            <w:pPr>
              <w:jc w:val="center"/>
              <w:ind w:right="369"/>
              <w:spacing w:after="0"/>
              <w:rPr>
                <w:sz w:val="20"/>
                <w:szCs w:val="20"/>
                <w:color w:val="auto"/>
              </w:rPr>
            </w:pPr>
            <w:r>
              <w:rPr>
                <w:rFonts w:ascii="Arial" w:cs="Arial" w:eastAsia="Arial" w:hAnsi="Arial"/>
                <w:sz w:val="14"/>
                <w:szCs w:val="14"/>
                <w:color w:val="auto"/>
              </w:rPr>
              <w:t>10.7(b)Δ</w:t>
            </w:r>
          </w:p>
        </w:tc>
        <w:tc>
          <w:tcPr>
            <w:tcW w:w="3460" w:type="dxa"/>
            <w:vAlign w:val="bottom"/>
            <w:gridSpan w:val="24"/>
          </w:tcPr>
          <w:p>
            <w:pPr>
              <w:spacing w:after="0"/>
              <w:rPr>
                <w:rFonts w:ascii="Arial" w:cs="Arial" w:eastAsia="Arial" w:hAnsi="Arial"/>
                <w:sz w:val="14"/>
                <w:szCs w:val="14"/>
                <w:color w:val="0000FF"/>
              </w:rPr>
            </w:pPr>
            <w:hyperlink r:id="rId175">
              <w:r>
                <w:rPr>
                  <w:rFonts w:ascii="Arial" w:cs="Arial" w:eastAsia="Arial" w:hAnsi="Arial"/>
                  <w:sz w:val="14"/>
                  <w:szCs w:val="14"/>
                  <w:color w:val="0000FF"/>
                </w:rPr>
                <w:t>First Amendment to the License Agreement effective</w:t>
              </w:r>
            </w:hyperlink>
          </w:p>
        </w:tc>
      </w:tr>
      <w:tr>
        <w:trPr>
          <w:trHeight w:val="118"/>
        </w:trPr>
        <w:tc>
          <w:tcPr>
            <w:tcW w:w="980" w:type="dxa"/>
            <w:vAlign w:val="bottom"/>
          </w:tcPr>
          <w:p>
            <w:pPr>
              <w:spacing w:after="0"/>
              <w:rPr>
                <w:sz w:val="10"/>
                <w:szCs w:val="10"/>
                <w:color w:val="auto"/>
              </w:rPr>
            </w:pPr>
          </w:p>
        </w:tc>
        <w:tc>
          <w:tcPr>
            <w:tcW w:w="330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as of December 5, 2018 by and among Daré</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18"/>
        </w:trPr>
        <w:tc>
          <w:tcPr>
            <w:tcW w:w="980" w:type="dxa"/>
            <w:vAlign w:val="bottom"/>
          </w:tcPr>
          <w:p>
            <w:pPr>
              <w:spacing w:after="0"/>
              <w:rPr>
                <w:sz w:val="10"/>
                <w:szCs w:val="10"/>
                <w:color w:val="auto"/>
              </w:rPr>
            </w:pPr>
          </w:p>
        </w:tc>
        <w:tc>
          <w:tcPr>
            <w:tcW w:w="280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Bioscience, Inc., TriLogic Pharma, LLC and</w:t>
              </w:r>
            </w:hyperlink>
          </w:p>
        </w:tc>
        <w:tc>
          <w:tcPr>
            <w:tcW w:w="56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29"/>
        </w:trPr>
        <w:tc>
          <w:tcPr>
            <w:tcW w:w="980" w:type="dxa"/>
            <w:vAlign w:val="bottom"/>
          </w:tcPr>
          <w:p>
            <w:pPr>
              <w:spacing w:after="0"/>
              <w:rPr>
                <w:sz w:val="11"/>
                <w:szCs w:val="11"/>
                <w:color w:val="auto"/>
              </w:rPr>
            </w:pPr>
          </w:p>
        </w:tc>
        <w:tc>
          <w:tcPr>
            <w:tcW w:w="272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75">
              <w:r>
                <w:rPr>
                  <w:rFonts w:ascii="Arial" w:cs="Arial" w:eastAsia="Arial" w:hAnsi="Arial"/>
                  <w:sz w:val="14"/>
                  <w:szCs w:val="14"/>
                  <w:color w:val="0000FF"/>
                </w:rPr>
                <w:t>MilanaPharm LLC</w:t>
              </w:r>
            </w:hyperlink>
          </w:p>
        </w:tc>
        <w:tc>
          <w:tcPr>
            <w:tcW w:w="6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88"/>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10.7(c)</w:t>
            </w:r>
          </w:p>
        </w:tc>
        <w:tc>
          <w:tcPr>
            <w:tcW w:w="3460" w:type="dxa"/>
            <w:vAlign w:val="bottom"/>
            <w:gridSpan w:val="24"/>
          </w:tcPr>
          <w:p>
            <w:pPr>
              <w:spacing w:after="0"/>
              <w:rPr>
                <w:rFonts w:ascii="Arial" w:cs="Arial" w:eastAsia="Arial" w:hAnsi="Arial"/>
                <w:sz w:val="14"/>
                <w:szCs w:val="14"/>
                <w:color w:val="0000FF"/>
              </w:rPr>
            </w:pPr>
            <w:hyperlink r:id="rId176">
              <w:r>
                <w:rPr>
                  <w:rFonts w:ascii="Arial" w:cs="Arial" w:eastAsia="Arial" w:hAnsi="Arial"/>
                  <w:sz w:val="14"/>
                  <w:szCs w:val="14"/>
                  <w:color w:val="0000FF"/>
                </w:rPr>
                <w:t>Amendment No. 1 to Assignment Agreement entered</w:t>
              </w:r>
            </w:hyperlink>
          </w:p>
        </w:tc>
      </w:tr>
      <w:tr>
        <w:trPr>
          <w:trHeight w:val="118"/>
        </w:trPr>
        <w:tc>
          <w:tcPr>
            <w:tcW w:w="980" w:type="dxa"/>
            <w:vAlign w:val="bottom"/>
          </w:tcPr>
          <w:p>
            <w:pPr>
              <w:spacing w:after="0"/>
              <w:rPr>
                <w:sz w:val="10"/>
                <w:szCs w:val="10"/>
                <w:color w:val="auto"/>
              </w:rPr>
            </w:pPr>
          </w:p>
        </w:tc>
        <w:tc>
          <w:tcPr>
            <w:tcW w:w="33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into as of December 4, 2019 between Daré</w:t>
              </w:r>
            </w:hyperlink>
          </w:p>
        </w:tc>
        <w:tc>
          <w:tcPr>
            <w:tcW w:w="80" w:type="dxa"/>
            <w:vAlign w:val="bottom"/>
            <w:gridSpan w:val="4"/>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18"/>
        </w:trPr>
        <w:tc>
          <w:tcPr>
            <w:tcW w:w="980" w:type="dxa"/>
            <w:vAlign w:val="bottom"/>
          </w:tcPr>
          <w:p>
            <w:pPr>
              <w:spacing w:after="0"/>
              <w:rPr>
                <w:sz w:val="10"/>
                <w:szCs w:val="10"/>
                <w:color w:val="auto"/>
              </w:rPr>
            </w:pPr>
          </w:p>
        </w:tc>
        <w:tc>
          <w:tcPr>
            <w:tcW w:w="3400" w:type="dxa"/>
            <w:vAlign w:val="bottom"/>
            <w:tcBorders>
              <w:bottom w:val="single" w:sz="8" w:color="0000FF"/>
            </w:tcBorders>
            <w:gridSpan w:val="21"/>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Bioscience, Inc. and Hammock Pharmaceuticals, Inc.</w:t>
              </w:r>
            </w:hyperlink>
          </w:p>
        </w:tc>
        <w:tc>
          <w:tcPr>
            <w:tcW w:w="60" w:type="dxa"/>
            <w:vAlign w:val="bottom"/>
            <w:gridSpan w:val="3"/>
          </w:tcPr>
          <w:p>
            <w:pPr>
              <w:spacing w:after="0"/>
              <w:rPr>
                <w:sz w:val="10"/>
                <w:szCs w:val="10"/>
                <w:color w:val="auto"/>
              </w:rPr>
            </w:pPr>
          </w:p>
        </w:tc>
      </w:tr>
      <w:tr>
        <w:trPr>
          <w:trHeight w:val="298"/>
        </w:trPr>
        <w:tc>
          <w:tcPr>
            <w:tcW w:w="980" w:type="dxa"/>
            <w:vAlign w:val="bottom"/>
          </w:tcPr>
          <w:p>
            <w:pPr>
              <w:jc w:val="center"/>
              <w:ind w:right="349"/>
              <w:spacing w:after="0"/>
              <w:rPr>
                <w:sz w:val="20"/>
                <w:szCs w:val="20"/>
                <w:color w:val="auto"/>
              </w:rPr>
            </w:pPr>
            <w:r>
              <w:rPr>
                <w:rFonts w:ascii="Arial" w:cs="Arial" w:eastAsia="Arial" w:hAnsi="Arial"/>
                <w:sz w:val="14"/>
                <w:szCs w:val="14"/>
                <w:color w:val="auto"/>
                <w:w w:val="99"/>
              </w:rPr>
              <w:t>10.7(d)</w:t>
            </w:r>
          </w:p>
        </w:tc>
        <w:tc>
          <w:tcPr>
            <w:tcW w:w="3460" w:type="dxa"/>
            <w:vAlign w:val="bottom"/>
            <w:gridSpan w:val="24"/>
          </w:tcPr>
          <w:p>
            <w:pPr>
              <w:spacing w:after="0"/>
              <w:rPr>
                <w:rFonts w:ascii="Arial" w:cs="Arial" w:eastAsia="Arial" w:hAnsi="Arial"/>
                <w:sz w:val="14"/>
                <w:szCs w:val="14"/>
                <w:color w:val="0000FF"/>
              </w:rPr>
            </w:pPr>
            <w:hyperlink r:id="rId177">
              <w:r>
                <w:rPr>
                  <w:rFonts w:ascii="Arial" w:cs="Arial" w:eastAsia="Arial" w:hAnsi="Arial"/>
                  <w:sz w:val="14"/>
                  <w:szCs w:val="14"/>
                  <w:color w:val="0000FF"/>
                </w:rPr>
                <w:t>Amendment No. 2 to the License Agreement entered</w:t>
              </w:r>
            </w:hyperlink>
          </w:p>
        </w:tc>
      </w:tr>
      <w:tr>
        <w:trPr>
          <w:trHeight w:val="118"/>
        </w:trPr>
        <w:tc>
          <w:tcPr>
            <w:tcW w:w="980" w:type="dxa"/>
            <w:vAlign w:val="bottom"/>
          </w:tcPr>
          <w:p>
            <w:pPr>
              <w:spacing w:after="0"/>
              <w:rPr>
                <w:sz w:val="10"/>
                <w:szCs w:val="10"/>
                <w:color w:val="auto"/>
              </w:rPr>
            </w:pPr>
          </w:p>
        </w:tc>
        <w:tc>
          <w:tcPr>
            <w:tcW w:w="33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into as of December 3, 2019 between Daré</w:t>
              </w:r>
            </w:hyperlink>
          </w:p>
        </w:tc>
        <w:tc>
          <w:tcPr>
            <w:tcW w:w="100" w:type="dxa"/>
            <w:vAlign w:val="bottom"/>
            <w:gridSpan w:val="5"/>
          </w:tcPr>
          <w:p>
            <w:pPr>
              <w:spacing w:after="0"/>
              <w:rPr>
                <w:sz w:val="10"/>
                <w:szCs w:val="10"/>
                <w:color w:val="auto"/>
              </w:rPr>
            </w:pPr>
          </w:p>
        </w:tc>
      </w:tr>
      <w:tr>
        <w:trPr>
          <w:trHeight w:val="128"/>
        </w:trPr>
        <w:tc>
          <w:tcPr>
            <w:tcW w:w="980" w:type="dxa"/>
            <w:vAlign w:val="bottom"/>
          </w:tcPr>
          <w:p>
            <w:pPr>
              <w:spacing w:after="0"/>
              <w:rPr>
                <w:sz w:val="11"/>
                <w:szCs w:val="11"/>
                <w:color w:val="auto"/>
              </w:rPr>
            </w:pPr>
          </w:p>
        </w:tc>
        <w:tc>
          <w:tcPr>
            <w:tcW w:w="2700" w:type="dxa"/>
            <w:vAlign w:val="bottom"/>
            <w:tcBorders>
              <w:top w:val="single" w:sz="8" w:color="0000FF"/>
            </w:tcBorders>
            <w:gridSpan w:val="6"/>
          </w:tcPr>
          <w:p>
            <w:pPr>
              <w:spacing w:after="0" w:line="128" w:lineRule="exact"/>
              <w:rPr>
                <w:rFonts w:ascii="Arial" w:cs="Arial" w:eastAsia="Arial" w:hAnsi="Arial"/>
                <w:sz w:val="14"/>
                <w:szCs w:val="14"/>
                <w:u w:val="single" w:color="auto"/>
                <w:color w:val="0000FF"/>
                <w:w w:val="99"/>
              </w:rPr>
            </w:pPr>
            <w:hyperlink r:id="rId177">
              <w:r>
                <w:rPr>
                  <w:rFonts w:ascii="Arial" w:cs="Arial" w:eastAsia="Arial" w:hAnsi="Arial"/>
                  <w:sz w:val="14"/>
                  <w:szCs w:val="14"/>
                  <w:u w:val="single" w:color="auto"/>
                  <w:color w:val="0000FF"/>
                  <w:w w:val="99"/>
                </w:rPr>
                <w:t>Bioscience, Inc., TriLogic Pharma, LLC and</w:t>
              </w:r>
            </w:hyperlink>
          </w:p>
        </w:tc>
        <w:tc>
          <w:tcPr>
            <w:tcW w:w="760" w:type="dxa"/>
            <w:vAlign w:val="bottom"/>
            <w:gridSpan w:val="18"/>
          </w:tcPr>
          <w:p>
            <w:pPr>
              <w:spacing w:after="0"/>
              <w:rPr>
                <w:sz w:val="11"/>
                <w:szCs w:val="11"/>
                <w:color w:val="auto"/>
              </w:rPr>
            </w:pPr>
          </w:p>
        </w:tc>
      </w:tr>
    </w:tbl>
    <w:p>
      <w:pPr>
        <w:ind w:left="980"/>
        <w:spacing w:after="0"/>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MilanaPharm LLC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20"/>
                <w:szCs w:val="20"/>
                <w:color w:val="auto"/>
              </w:rPr>
            </w:pPr>
            <w:r>
              <w:rPr>
                <w:rFonts w:ascii="Arial" w:cs="Arial" w:eastAsia="Arial" w:hAnsi="Arial"/>
                <w:sz w:val="14"/>
                <w:szCs w:val="14"/>
                <w:color w:val="auto"/>
              </w:rPr>
              <w:t>10-Q</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8/13/2018</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w w:val="95"/>
              </w:rPr>
              <w:t>10.6</w:t>
            </w:r>
          </w:p>
        </w:tc>
      </w:tr>
      <w:tr>
        <w:trPr>
          <w:trHeight w:val="881"/>
        </w:trPr>
        <w:tc>
          <w:tcPr>
            <w:tcW w:w="460" w:type="dxa"/>
            <w:vAlign w:val="bottom"/>
          </w:tcPr>
          <w:p>
            <w:pPr>
              <w:spacing w:after="0"/>
              <w:rPr>
                <w:sz w:val="20"/>
                <w:szCs w:val="20"/>
                <w:color w:val="auto"/>
              </w:rPr>
            </w:pPr>
            <w:r>
              <w:rPr>
                <w:rFonts w:ascii="Arial" w:cs="Arial" w:eastAsia="Arial" w:hAnsi="Arial"/>
                <w:sz w:val="14"/>
                <w:szCs w:val="14"/>
                <w:color w:val="auto"/>
              </w:rPr>
              <w:t>10-Q</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8/13/2018</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w w:val="95"/>
              </w:rPr>
              <w:t>10.7</w:t>
            </w:r>
          </w:p>
        </w:tc>
      </w:tr>
      <w:tr>
        <w:trPr>
          <w:trHeight w:val="881"/>
        </w:trPr>
        <w:tc>
          <w:tcPr>
            <w:tcW w:w="460" w:type="dxa"/>
            <w:vAlign w:val="bottom"/>
          </w:tcPr>
          <w:p>
            <w:pPr>
              <w:ind w:left="20"/>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3/30/2023</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rPr>
              <w:t>10.6(d)</w:t>
            </w:r>
          </w:p>
        </w:tc>
      </w:tr>
      <w:tr>
        <w:trPr>
          <w:trHeight w:val="881"/>
        </w:trPr>
        <w:tc>
          <w:tcPr>
            <w:tcW w:w="460" w:type="dxa"/>
            <w:vAlign w:val="bottom"/>
          </w:tcPr>
          <w:p>
            <w:pPr>
              <w:spacing w:after="0"/>
              <w:rPr>
                <w:sz w:val="20"/>
                <w:szCs w:val="20"/>
                <w:color w:val="auto"/>
              </w:rPr>
            </w:pPr>
            <w:r>
              <w:rPr>
                <w:rFonts w:ascii="Arial" w:cs="Arial" w:eastAsia="Arial" w:hAnsi="Arial"/>
                <w:sz w:val="14"/>
                <w:szCs w:val="14"/>
                <w:color w:val="auto"/>
              </w:rPr>
              <w:t>10-Q</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8/13/2018</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w w:val="95"/>
              </w:rPr>
              <w:t>10.8</w:t>
            </w:r>
          </w:p>
        </w:tc>
      </w:tr>
      <w:tr>
        <w:trPr>
          <w:trHeight w:val="721"/>
        </w:trPr>
        <w:tc>
          <w:tcPr>
            <w:tcW w:w="460" w:type="dxa"/>
            <w:vAlign w:val="bottom"/>
          </w:tcPr>
          <w:p>
            <w:pPr>
              <w:spacing w:after="0"/>
              <w:rPr>
                <w:sz w:val="20"/>
                <w:szCs w:val="20"/>
                <w:color w:val="auto"/>
              </w:rPr>
            </w:pPr>
            <w:r>
              <w:rPr>
                <w:rFonts w:ascii="Arial" w:cs="Arial" w:eastAsia="Arial" w:hAnsi="Arial"/>
                <w:sz w:val="14"/>
                <w:szCs w:val="14"/>
                <w:color w:val="auto"/>
              </w:rPr>
              <w:t>10-Q</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8/13/2018</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w w:val="95"/>
              </w:rPr>
              <w:t>10.9</w:t>
            </w:r>
          </w:p>
        </w:tc>
      </w:tr>
      <w:tr>
        <w:trPr>
          <w:trHeight w:val="732"/>
        </w:trPr>
        <w:tc>
          <w:tcPr>
            <w:tcW w:w="460" w:type="dxa"/>
            <w:vAlign w:val="bottom"/>
          </w:tcPr>
          <w:p>
            <w:pPr>
              <w:ind w:left="20"/>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04/01/2019</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rPr>
              <w:t>10.10(a)</w:t>
            </w:r>
          </w:p>
        </w:tc>
      </w:tr>
      <w:tr>
        <w:trPr>
          <w:trHeight w:val="594"/>
        </w:trPr>
        <w:tc>
          <w:tcPr>
            <w:tcW w:w="460" w:type="dxa"/>
            <w:vAlign w:val="bottom"/>
          </w:tcPr>
          <w:p>
            <w:pPr>
              <w:ind w:left="20"/>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04/01/2019</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rPr>
              <w:t>10.10(b)</w:t>
            </w:r>
          </w:p>
        </w:tc>
      </w:tr>
      <w:tr>
        <w:trPr>
          <w:trHeight w:val="732"/>
        </w:trPr>
        <w:tc>
          <w:tcPr>
            <w:tcW w:w="460" w:type="dxa"/>
            <w:vAlign w:val="bottom"/>
          </w:tcPr>
          <w:p>
            <w:pPr>
              <w:ind w:left="20"/>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03/27/2020</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w w:val="97"/>
              </w:rPr>
              <w:t>10.10(c)</w:t>
            </w:r>
          </w:p>
        </w:tc>
      </w:tr>
      <w:tr>
        <w:trPr>
          <w:trHeight w:val="594"/>
        </w:trPr>
        <w:tc>
          <w:tcPr>
            <w:tcW w:w="460" w:type="dxa"/>
            <w:vAlign w:val="bottom"/>
          </w:tcPr>
          <w:p>
            <w:pPr>
              <w:ind w:left="20"/>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03/27/2020</w:t>
            </w:r>
          </w:p>
        </w:tc>
        <w:tc>
          <w:tcPr>
            <w:tcW w:w="920" w:type="dxa"/>
            <w:vAlign w:val="bottom"/>
          </w:tcPr>
          <w:p>
            <w:pPr>
              <w:jc w:val="center"/>
              <w:ind w:left="309"/>
              <w:spacing w:after="0"/>
              <w:rPr>
                <w:sz w:val="20"/>
                <w:szCs w:val="20"/>
                <w:color w:val="auto"/>
              </w:rPr>
            </w:pPr>
            <w:r>
              <w:rPr>
                <w:rFonts w:ascii="Arial" w:cs="Arial" w:eastAsia="Arial" w:hAnsi="Arial"/>
                <w:sz w:val="14"/>
                <w:szCs w:val="14"/>
                <w:color w:val="auto"/>
              </w:rPr>
              <w:t>10.10(d)</w:t>
            </w:r>
          </w:p>
        </w:tc>
      </w:tr>
      <w:tr>
        <w:trPr>
          <w:trHeight w:val="1125"/>
        </w:trPr>
        <w:tc>
          <w:tcPr>
            <w:tcW w:w="460" w:type="dxa"/>
            <w:vAlign w:val="bottom"/>
          </w:tcPr>
          <w:p>
            <w:pPr>
              <w:spacing w:after="0"/>
              <w:rPr>
                <w:sz w:val="24"/>
                <w:szCs w:val="24"/>
                <w:color w:val="auto"/>
              </w:rPr>
            </w:pPr>
          </w:p>
        </w:tc>
        <w:tc>
          <w:tcPr>
            <w:tcW w:w="1460" w:type="dxa"/>
            <w:vAlign w:val="bottom"/>
          </w:tcPr>
          <w:p>
            <w:pPr>
              <w:jc w:val="right"/>
              <w:ind w:right="1029"/>
              <w:spacing w:after="0"/>
              <w:rPr>
                <w:sz w:val="20"/>
                <w:szCs w:val="20"/>
                <w:color w:val="auto"/>
              </w:rPr>
            </w:pPr>
            <w:r>
              <w:rPr>
                <w:rFonts w:ascii="Arial" w:cs="Arial" w:eastAsia="Arial" w:hAnsi="Arial"/>
                <w:sz w:val="14"/>
                <w:szCs w:val="14"/>
                <w:color w:val="auto"/>
              </w:rPr>
              <w:t>136</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40005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4400" w:space="300"/>
            <w:col w:w="5219"/>
          </w:cols>
          <w:pgMar w:left="540" w:top="848"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109"/>
              <w:spacing w:after="0"/>
              <w:rPr>
                <w:sz w:val="20"/>
                <w:szCs w:val="20"/>
                <w:color w:val="auto"/>
              </w:rPr>
            </w:pPr>
            <w:r>
              <w:rPr>
                <w:rFonts w:ascii="Arial" w:cs="Arial" w:eastAsia="Arial" w:hAnsi="Arial"/>
                <w:sz w:val="14"/>
                <w:szCs w:val="14"/>
                <w:color w:val="auto"/>
                <w:w w:val="99"/>
              </w:rPr>
              <w:t>10.7(e)</w:t>
            </w:r>
          </w:p>
        </w:tc>
        <w:tc>
          <w:tcPr>
            <w:tcW w:w="3120" w:type="dxa"/>
            <w:vAlign w:val="bottom"/>
            <w:tcBorders>
              <w:bottom w:val="single" w:sz="8" w:color="0000FF"/>
            </w:tcBorders>
            <w:gridSpan w:val="17"/>
          </w:tcPr>
          <w:p>
            <w:pPr>
              <w:spacing w:after="0"/>
              <w:rPr>
                <w:rFonts w:ascii="Arial" w:cs="Arial" w:eastAsia="Arial" w:hAnsi="Arial"/>
                <w:sz w:val="14"/>
                <w:szCs w:val="14"/>
                <w:color w:val="0000FF"/>
              </w:rPr>
            </w:pPr>
            <w:hyperlink r:id="rId179">
              <w:r>
                <w:rPr>
                  <w:rFonts w:ascii="Arial" w:cs="Arial" w:eastAsia="Arial" w:hAnsi="Arial"/>
                  <w:sz w:val="14"/>
                  <w:szCs w:val="14"/>
                  <w:color w:val="0000FF"/>
                </w:rPr>
                <w:t>Amendment to License Agreement effective as of</w:t>
              </w:r>
            </w:hyperlink>
          </w:p>
        </w:tc>
        <w:tc>
          <w:tcPr>
            <w:tcW w:w="440" w:type="dxa"/>
            <w:vAlign w:val="bottom"/>
            <w:gridSpan w:val="13"/>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10-Q</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500" w:type="dxa"/>
            <w:vAlign w:val="bottom"/>
          </w:tcPr>
          <w:p>
            <w:pPr>
              <w:jc w:val="right"/>
              <w:ind w:right="369"/>
              <w:spacing w:after="0"/>
              <w:rPr>
                <w:sz w:val="20"/>
                <w:szCs w:val="20"/>
                <w:color w:val="auto"/>
              </w:rPr>
            </w:pPr>
            <w:r>
              <w:rPr>
                <w:rFonts w:ascii="Arial" w:cs="Arial" w:eastAsia="Arial" w:hAnsi="Arial"/>
                <w:sz w:val="14"/>
                <w:szCs w:val="14"/>
                <w:color w:val="auto"/>
              </w:rPr>
              <w:t>11/10/2021</w:t>
            </w:r>
          </w:p>
        </w:tc>
        <w:tc>
          <w:tcPr>
            <w:tcW w:w="2920" w:type="dxa"/>
            <w:vAlign w:val="bottom"/>
          </w:tcPr>
          <w:p>
            <w:pPr>
              <w:jc w:val="center"/>
              <w:ind w:right="1629"/>
              <w:spacing w:after="0"/>
              <w:rPr>
                <w:sz w:val="20"/>
                <w:szCs w:val="20"/>
                <w:color w:val="auto"/>
              </w:rPr>
            </w:pPr>
            <w:r>
              <w:rPr>
                <w:rFonts w:ascii="Arial" w:cs="Arial" w:eastAsia="Arial" w:hAnsi="Arial"/>
                <w:sz w:val="14"/>
                <w:szCs w:val="14"/>
                <w:color w:val="auto"/>
                <w:w w:val="95"/>
              </w:rPr>
              <w:t>10.1</w:t>
            </w:r>
          </w:p>
        </w:tc>
      </w:tr>
      <w:tr>
        <w:trPr>
          <w:trHeight w:val="118"/>
        </w:trPr>
        <w:tc>
          <w:tcPr>
            <w:tcW w:w="1220" w:type="dxa"/>
            <w:vAlign w:val="bottom"/>
          </w:tcPr>
          <w:p>
            <w:pPr>
              <w:spacing w:after="0"/>
              <w:rPr>
                <w:sz w:val="10"/>
                <w:szCs w:val="10"/>
                <w:color w:val="auto"/>
              </w:rPr>
            </w:pPr>
          </w:p>
        </w:tc>
        <w:tc>
          <w:tcPr>
            <w:tcW w:w="3560" w:type="dxa"/>
            <w:vAlign w:val="bottom"/>
            <w:gridSpan w:val="30"/>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September 21, 2021 by and among Daré Bioscience,</w:t>
              </w:r>
            </w:hyperlink>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140" w:type="dxa"/>
            <w:vAlign w:val="bottom"/>
            <w:tcBorders>
              <w:top w:val="single" w:sz="8" w:color="0000FF"/>
              <w:bottom w:val="single" w:sz="8" w:color="0000FF"/>
            </w:tcBorders>
            <w:gridSpan w:val="18"/>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Inc., TriLogic Pharma, LLC and MilanaPharm LLC</w:t>
              </w:r>
            </w:hyperlink>
          </w:p>
        </w:tc>
        <w:tc>
          <w:tcPr>
            <w:tcW w:w="26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10.8+</w:t>
            </w:r>
          </w:p>
        </w:tc>
        <w:tc>
          <w:tcPr>
            <w:tcW w:w="3120" w:type="dxa"/>
            <w:vAlign w:val="bottom"/>
            <w:tcBorders>
              <w:bottom w:val="single" w:sz="8" w:color="0000FF"/>
            </w:tcBorders>
            <w:gridSpan w:val="17"/>
          </w:tcPr>
          <w:p>
            <w:pPr>
              <w:spacing w:after="0"/>
              <w:rPr>
                <w:rFonts w:ascii="Arial" w:cs="Arial" w:eastAsia="Arial" w:hAnsi="Arial"/>
                <w:sz w:val="14"/>
                <w:szCs w:val="14"/>
                <w:color w:val="0000FF"/>
              </w:rPr>
            </w:pPr>
            <w:hyperlink r:id="rId180">
              <w:r>
                <w:rPr>
                  <w:rFonts w:ascii="Arial" w:cs="Arial" w:eastAsia="Arial" w:hAnsi="Arial"/>
                  <w:sz w:val="14"/>
                  <w:szCs w:val="14"/>
                  <w:color w:val="0000FF"/>
                </w:rPr>
                <w:t>License Agreement dated as of January 10, 2020</w:t>
              </w:r>
            </w:hyperlink>
          </w:p>
        </w:tc>
        <w:tc>
          <w:tcPr>
            <w:tcW w:w="440" w:type="dxa"/>
            <w:vAlign w:val="bottom"/>
            <w:gridSpan w:val="13"/>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03/27/2020</w:t>
            </w:r>
          </w:p>
        </w:tc>
        <w:tc>
          <w:tcPr>
            <w:tcW w:w="2920" w:type="dxa"/>
            <w:vAlign w:val="bottom"/>
          </w:tcPr>
          <w:p>
            <w:pPr>
              <w:jc w:val="center"/>
              <w:ind w:right="1629"/>
              <w:spacing w:after="0"/>
              <w:rPr>
                <w:sz w:val="20"/>
                <w:szCs w:val="20"/>
                <w:color w:val="auto"/>
              </w:rPr>
            </w:pPr>
            <w:r>
              <w:rPr>
                <w:rFonts w:ascii="Arial" w:cs="Arial" w:eastAsia="Arial" w:hAnsi="Arial"/>
                <w:sz w:val="14"/>
                <w:szCs w:val="14"/>
                <w:color w:val="auto"/>
                <w:w w:val="96"/>
              </w:rPr>
              <w:t>10.16</w:t>
            </w:r>
          </w:p>
        </w:tc>
      </w:tr>
      <w:tr>
        <w:trPr>
          <w:trHeight w:val="118"/>
        </w:trPr>
        <w:tc>
          <w:tcPr>
            <w:tcW w:w="1220" w:type="dxa"/>
            <w:vAlign w:val="bottom"/>
          </w:tcPr>
          <w:p>
            <w:pPr>
              <w:spacing w:after="0"/>
              <w:rPr>
                <w:sz w:val="10"/>
                <w:szCs w:val="10"/>
                <w:color w:val="auto"/>
              </w:rPr>
            </w:pPr>
          </w:p>
        </w:tc>
        <w:tc>
          <w:tcPr>
            <w:tcW w:w="3560" w:type="dxa"/>
            <w:vAlign w:val="bottom"/>
            <w:gridSpan w:val="30"/>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between Bayer HealthCare LLC and Daré Bioscience,</w:t>
              </w:r>
            </w:hyperlink>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Inc.</w:t>
              </w:r>
            </w:hyperlink>
          </w:p>
        </w:tc>
        <w:tc>
          <w:tcPr>
            <w:tcW w:w="322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10.9+</w:t>
            </w:r>
          </w:p>
        </w:tc>
        <w:tc>
          <w:tcPr>
            <w:tcW w:w="3560" w:type="dxa"/>
            <w:vAlign w:val="bottom"/>
            <w:gridSpan w:val="30"/>
          </w:tcPr>
          <w:p>
            <w:pPr>
              <w:spacing w:after="0"/>
              <w:rPr>
                <w:rFonts w:ascii="Arial" w:cs="Arial" w:eastAsia="Arial" w:hAnsi="Arial"/>
                <w:sz w:val="14"/>
                <w:szCs w:val="14"/>
                <w:color w:val="0000FF"/>
              </w:rPr>
            </w:pPr>
            <w:hyperlink r:id="rId181">
              <w:r>
                <w:rPr>
                  <w:rFonts w:ascii="Arial" w:cs="Arial" w:eastAsia="Arial" w:hAnsi="Arial"/>
                  <w:sz w:val="14"/>
                  <w:szCs w:val="14"/>
                  <w:color w:val="0000FF"/>
                </w:rPr>
                <w:t>Cooperative Research and Development Agreement</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10-Q</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500" w:type="dxa"/>
            <w:vAlign w:val="bottom"/>
          </w:tcPr>
          <w:p>
            <w:pPr>
              <w:jc w:val="right"/>
              <w:ind w:right="369"/>
              <w:spacing w:after="0"/>
              <w:rPr>
                <w:sz w:val="20"/>
                <w:szCs w:val="20"/>
                <w:color w:val="auto"/>
              </w:rPr>
            </w:pPr>
            <w:r>
              <w:rPr>
                <w:rFonts w:ascii="Arial" w:cs="Arial" w:eastAsia="Arial" w:hAnsi="Arial"/>
                <w:sz w:val="14"/>
                <w:szCs w:val="14"/>
                <w:color w:val="auto"/>
              </w:rPr>
              <w:t>11/10/2021</w:t>
            </w:r>
          </w:p>
        </w:tc>
        <w:tc>
          <w:tcPr>
            <w:tcW w:w="2920" w:type="dxa"/>
            <w:vAlign w:val="bottom"/>
          </w:tcPr>
          <w:p>
            <w:pPr>
              <w:jc w:val="center"/>
              <w:ind w:right="1629"/>
              <w:spacing w:after="0"/>
              <w:rPr>
                <w:sz w:val="20"/>
                <w:szCs w:val="20"/>
                <w:color w:val="auto"/>
              </w:rPr>
            </w:pPr>
            <w:r>
              <w:rPr>
                <w:rFonts w:ascii="Arial" w:cs="Arial" w:eastAsia="Arial" w:hAnsi="Arial"/>
                <w:sz w:val="14"/>
                <w:szCs w:val="14"/>
                <w:color w:val="auto"/>
                <w:w w:val="95"/>
              </w:rPr>
              <w:t>10.2</w:t>
            </w:r>
          </w:p>
        </w:tc>
      </w:tr>
      <w:tr>
        <w:trPr>
          <w:trHeight w:val="118"/>
        </w:trPr>
        <w:tc>
          <w:tcPr>
            <w:tcW w:w="1220" w:type="dxa"/>
            <w:vAlign w:val="bottom"/>
          </w:tcPr>
          <w:p>
            <w:pPr>
              <w:spacing w:after="0"/>
              <w:rPr>
                <w:sz w:val="10"/>
                <w:szCs w:val="10"/>
                <w:color w:val="auto"/>
              </w:rPr>
            </w:pPr>
          </w:p>
        </w:tc>
        <w:tc>
          <w:tcPr>
            <w:tcW w:w="33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entered into as of July 8, 2021 between Daré</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560" w:type="dxa"/>
            <w:vAlign w:val="bottom"/>
            <w:gridSpan w:val="30"/>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Bioscience, Inc. and the Eunice Kennedy Shriver</w:t>
              </w:r>
            </w:hyperlink>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308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181">
              <w:r>
                <w:rPr>
                  <w:rFonts w:ascii="Arial" w:cs="Arial" w:eastAsia="Arial" w:hAnsi="Arial"/>
                  <w:sz w:val="14"/>
                  <w:szCs w:val="14"/>
                  <w:color w:val="0000FF"/>
                </w:rPr>
                <w:t>National Institutes of Child Health and Human</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92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13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Development Institute</w:t>
              </w:r>
            </w:hyperlink>
          </w:p>
        </w:tc>
        <w:tc>
          <w:tcPr>
            <w:tcW w:w="1480" w:type="dxa"/>
            <w:vAlign w:val="bottom"/>
            <w:tcBorders>
              <w:top w:val="single" w:sz="8" w:color="0000FF"/>
            </w:tcBorders>
            <w:gridSpan w:val="6"/>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89"/>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10.10+</w:t>
            </w:r>
          </w:p>
        </w:tc>
        <w:tc>
          <w:tcPr>
            <w:tcW w:w="3560" w:type="dxa"/>
            <w:vAlign w:val="bottom"/>
            <w:gridSpan w:val="30"/>
          </w:tcPr>
          <w:p>
            <w:pPr>
              <w:spacing w:after="0"/>
              <w:rPr>
                <w:sz w:val="20"/>
                <w:szCs w:val="20"/>
                <w:color w:val="auto"/>
              </w:rPr>
            </w:pPr>
            <w:r>
              <w:rPr>
                <w:rFonts w:ascii="Arial" w:cs="Arial" w:eastAsia="Arial" w:hAnsi="Arial"/>
                <w:sz w:val="14"/>
                <w:szCs w:val="14"/>
                <w:color w:val="0000FF"/>
              </w:rPr>
              <w:t>License Agreement dated as of August 12, 2023</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27"/>
        </w:trPr>
        <w:tc>
          <w:tcPr>
            <w:tcW w:w="1220" w:type="dxa"/>
            <w:vAlign w:val="bottom"/>
          </w:tcPr>
          <w:p>
            <w:pPr>
              <w:spacing w:after="0"/>
              <w:rPr>
                <w:sz w:val="11"/>
                <w:szCs w:val="11"/>
                <w:color w:val="auto"/>
              </w:rPr>
            </w:pPr>
          </w:p>
        </w:tc>
        <w:tc>
          <w:tcPr>
            <w:tcW w:w="3040" w:type="dxa"/>
            <w:vAlign w:val="bottom"/>
            <w:tcBorders>
              <w:top w:val="single" w:sz="8" w:color="0000FF"/>
            </w:tcBorders>
            <w:gridSpan w:val="13"/>
          </w:tcPr>
          <w:p>
            <w:pPr>
              <w:spacing w:after="0" w:line="127" w:lineRule="exact"/>
              <w:rPr>
                <w:sz w:val="20"/>
                <w:szCs w:val="20"/>
                <w:color w:val="auto"/>
              </w:rPr>
            </w:pPr>
            <w:r>
              <w:rPr>
                <w:rFonts w:ascii="Arial" w:cs="Arial" w:eastAsia="Arial" w:hAnsi="Arial"/>
                <w:sz w:val="14"/>
                <w:szCs w:val="14"/>
                <w:color w:val="0000FF"/>
              </w:rPr>
              <w:t>between Douglas Pharmaceuticals Limited and</w:t>
            </w:r>
          </w:p>
        </w:tc>
        <w:tc>
          <w:tcPr>
            <w:tcW w:w="520" w:type="dxa"/>
            <w:vAlign w:val="bottom"/>
            <w:gridSpan w:val="17"/>
          </w:tcPr>
          <w:p>
            <w:pPr>
              <w:spacing w:after="0" w:line="127" w:lineRule="exact"/>
              <w:rPr>
                <w:sz w:val="20"/>
                <w:szCs w:val="20"/>
                <w:color w:val="auto"/>
              </w:rPr>
            </w:pPr>
            <w:r>
              <w:rPr>
                <w:rFonts w:ascii="Arial" w:cs="Arial" w:eastAsia="Arial" w:hAnsi="Arial"/>
                <w:sz w:val="14"/>
                <w:szCs w:val="14"/>
                <w:color w:val="0000FF"/>
              </w:rPr>
              <w:t>Daré</w:t>
            </w: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92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2"/>
          </w:tcPr>
          <w:p>
            <w:pPr>
              <w:spacing w:after="0" w:line="118" w:lineRule="exact"/>
              <w:rPr>
                <w:sz w:val="20"/>
                <w:szCs w:val="20"/>
                <w:color w:val="auto"/>
              </w:rPr>
            </w:pPr>
            <w:r>
              <w:rPr>
                <w:rFonts w:ascii="Arial" w:cs="Arial" w:eastAsia="Arial" w:hAnsi="Arial"/>
                <w:sz w:val="13"/>
                <w:szCs w:val="13"/>
                <w:color w:val="0000FF"/>
              </w:rPr>
              <w:t>Bioscience, Inc.</w:t>
            </w:r>
          </w:p>
        </w:tc>
        <w:tc>
          <w:tcPr>
            <w:tcW w:w="23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w w:val="97"/>
              </w:rPr>
              <w:t>10.11+</w:t>
            </w:r>
          </w:p>
        </w:tc>
        <w:tc>
          <w:tcPr>
            <w:tcW w:w="3560" w:type="dxa"/>
            <w:vAlign w:val="bottom"/>
            <w:gridSpan w:val="30"/>
          </w:tcPr>
          <w:p>
            <w:pPr>
              <w:spacing w:after="0"/>
              <w:rPr>
                <w:sz w:val="20"/>
                <w:szCs w:val="20"/>
                <w:color w:val="auto"/>
              </w:rPr>
            </w:pPr>
            <w:r>
              <w:rPr>
                <w:rFonts w:ascii="Arial" w:cs="Arial" w:eastAsia="Arial" w:hAnsi="Arial"/>
                <w:sz w:val="14"/>
                <w:szCs w:val="14"/>
                <w:color w:val="0000FF"/>
              </w:rPr>
              <w:t>Grant Agreement between Daré Bioscience, Inc. and</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18"/>
        </w:trPr>
        <w:tc>
          <w:tcPr>
            <w:tcW w:w="1220" w:type="dxa"/>
            <w:vAlign w:val="bottom"/>
          </w:tcPr>
          <w:p>
            <w:pPr>
              <w:spacing w:after="0"/>
              <w:rPr>
                <w:sz w:val="10"/>
                <w:szCs w:val="10"/>
                <w:color w:val="auto"/>
              </w:rPr>
            </w:pPr>
          </w:p>
        </w:tc>
        <w:tc>
          <w:tcPr>
            <w:tcW w:w="3360" w:type="dxa"/>
            <w:vAlign w:val="bottom"/>
            <w:tcBorders>
              <w:top w:val="single" w:sz="8" w:color="0000FF"/>
            </w:tcBorders>
            <w:gridSpan w:val="23"/>
          </w:tcPr>
          <w:p>
            <w:pPr>
              <w:spacing w:after="0" w:line="118" w:lineRule="exact"/>
              <w:rPr>
                <w:sz w:val="20"/>
                <w:szCs w:val="20"/>
                <w:color w:val="auto"/>
              </w:rPr>
            </w:pPr>
            <w:r>
              <w:rPr>
                <w:rFonts w:ascii="Arial" w:cs="Arial" w:eastAsia="Arial" w:hAnsi="Arial"/>
                <w:sz w:val="13"/>
                <w:szCs w:val="13"/>
                <w:color w:val="0000FF"/>
              </w:rPr>
              <w:t>the Bill &amp; Melinda Gates Foundation effective as of</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7"/>
          </w:tcPr>
          <w:p>
            <w:pPr>
              <w:spacing w:after="0" w:line="118" w:lineRule="exact"/>
              <w:rPr>
                <w:sz w:val="20"/>
                <w:szCs w:val="20"/>
                <w:color w:val="auto"/>
              </w:rPr>
            </w:pPr>
            <w:r>
              <w:rPr>
                <w:rFonts w:ascii="Arial" w:cs="Arial" w:eastAsia="Arial" w:hAnsi="Arial"/>
                <w:sz w:val="13"/>
                <w:szCs w:val="13"/>
                <w:color w:val="0000FF"/>
              </w:rPr>
              <w:t>June 30, 2021, as amended to date</w:t>
            </w:r>
          </w:p>
        </w:tc>
        <w:tc>
          <w:tcPr>
            <w:tcW w:w="940" w:type="dxa"/>
            <w:vAlign w:val="bottom"/>
            <w:tcBorders>
              <w:top w:val="single" w:sz="8" w:color="0000FF"/>
            </w:tcBorders>
            <w:gridSpan w:val="12"/>
          </w:tcPr>
          <w:p>
            <w:pPr>
              <w:spacing w:after="0"/>
              <w:rPr>
                <w:sz w:val="10"/>
                <w:szCs w:val="10"/>
                <w:color w:val="auto"/>
              </w:rPr>
            </w:pPr>
          </w:p>
        </w:tc>
        <w:tc>
          <w:tcPr>
            <w:tcW w:w="1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10.12+</w:t>
            </w:r>
          </w:p>
        </w:tc>
        <w:tc>
          <w:tcPr>
            <w:tcW w:w="3560" w:type="dxa"/>
            <w:vAlign w:val="bottom"/>
            <w:gridSpan w:val="30"/>
          </w:tcPr>
          <w:p>
            <w:pPr>
              <w:spacing w:after="0"/>
              <w:rPr>
                <w:sz w:val="20"/>
                <w:szCs w:val="20"/>
                <w:color w:val="auto"/>
              </w:rPr>
            </w:pPr>
            <w:r>
              <w:rPr>
                <w:rFonts w:ascii="Arial" w:cs="Arial" w:eastAsia="Arial" w:hAnsi="Arial"/>
                <w:sz w:val="14"/>
                <w:szCs w:val="14"/>
                <w:color w:val="0000FF"/>
              </w:rPr>
              <w:t>Grant Agreement between Daré Bioscience, Inc. and</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18"/>
        </w:trPr>
        <w:tc>
          <w:tcPr>
            <w:tcW w:w="1220" w:type="dxa"/>
            <w:vAlign w:val="bottom"/>
          </w:tcPr>
          <w:p>
            <w:pPr>
              <w:spacing w:after="0"/>
              <w:rPr>
                <w:sz w:val="10"/>
                <w:szCs w:val="10"/>
                <w:color w:val="auto"/>
              </w:rPr>
            </w:pPr>
          </w:p>
        </w:tc>
        <w:tc>
          <w:tcPr>
            <w:tcW w:w="3360" w:type="dxa"/>
            <w:vAlign w:val="bottom"/>
            <w:tcBorders>
              <w:top w:val="single" w:sz="8" w:color="0000FF"/>
            </w:tcBorders>
            <w:gridSpan w:val="23"/>
          </w:tcPr>
          <w:p>
            <w:pPr>
              <w:spacing w:after="0" w:line="118" w:lineRule="exact"/>
              <w:rPr>
                <w:sz w:val="20"/>
                <w:szCs w:val="20"/>
                <w:color w:val="auto"/>
              </w:rPr>
            </w:pPr>
            <w:r>
              <w:rPr>
                <w:rFonts w:ascii="Arial" w:cs="Arial" w:eastAsia="Arial" w:hAnsi="Arial"/>
                <w:sz w:val="13"/>
                <w:szCs w:val="13"/>
                <w:color w:val="0000FF"/>
              </w:rPr>
              <w:t>the Bill &amp; Melinda Gates Foundation effective as of</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180" w:type="dxa"/>
            <w:vAlign w:val="bottom"/>
            <w:tcBorders>
              <w:top w:val="single" w:sz="8" w:color="0000FF"/>
            </w:tcBorders>
            <w:gridSpan w:val="19"/>
          </w:tcPr>
          <w:p>
            <w:pPr>
              <w:spacing w:after="0" w:line="118" w:lineRule="exact"/>
              <w:rPr>
                <w:sz w:val="20"/>
                <w:szCs w:val="20"/>
                <w:color w:val="auto"/>
              </w:rPr>
            </w:pPr>
            <w:r>
              <w:rPr>
                <w:rFonts w:ascii="Arial" w:cs="Arial" w:eastAsia="Arial" w:hAnsi="Arial"/>
                <w:sz w:val="13"/>
                <w:szCs w:val="13"/>
                <w:color w:val="0000FF"/>
              </w:rPr>
              <w:t>November 11, 2024, as amended to date</w:t>
            </w:r>
          </w:p>
        </w:tc>
        <w:tc>
          <w:tcPr>
            <w:tcW w:w="1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7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10.13+</w:t>
            </w:r>
          </w:p>
        </w:tc>
        <w:tc>
          <w:tcPr>
            <w:tcW w:w="3560" w:type="dxa"/>
            <w:vAlign w:val="bottom"/>
            <w:gridSpan w:val="30"/>
          </w:tcPr>
          <w:p>
            <w:pPr>
              <w:spacing w:after="0"/>
              <w:rPr>
                <w:sz w:val="20"/>
                <w:szCs w:val="20"/>
                <w:color w:val="auto"/>
              </w:rPr>
            </w:pPr>
            <w:r>
              <w:rPr>
                <w:rFonts w:ascii="Arial" w:cs="Arial" w:eastAsia="Arial" w:hAnsi="Arial"/>
                <w:sz w:val="14"/>
                <w:szCs w:val="14"/>
                <w:color w:val="0000FF"/>
              </w:rPr>
              <w:t>Subaward Agreement between the Consortium</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27"/>
        </w:trPr>
        <w:tc>
          <w:tcPr>
            <w:tcW w:w="1220" w:type="dxa"/>
            <w:vAlign w:val="bottom"/>
          </w:tcPr>
          <w:p>
            <w:pPr>
              <w:spacing w:after="0"/>
              <w:rPr>
                <w:sz w:val="11"/>
                <w:szCs w:val="11"/>
                <w:color w:val="auto"/>
              </w:rPr>
            </w:pPr>
          </w:p>
        </w:tc>
        <w:tc>
          <w:tcPr>
            <w:tcW w:w="2940" w:type="dxa"/>
            <w:vAlign w:val="bottom"/>
            <w:tcBorders>
              <w:top w:val="single" w:sz="8" w:color="0000FF"/>
            </w:tcBorders>
            <w:gridSpan w:val="11"/>
          </w:tcPr>
          <w:p>
            <w:pPr>
              <w:spacing w:after="0" w:line="127" w:lineRule="exact"/>
              <w:rPr>
                <w:sz w:val="20"/>
                <w:szCs w:val="20"/>
                <w:color w:val="auto"/>
              </w:rPr>
            </w:pPr>
            <w:r>
              <w:rPr>
                <w:rFonts w:ascii="Arial" w:cs="Arial" w:eastAsia="Arial" w:hAnsi="Arial"/>
                <w:sz w:val="14"/>
                <w:szCs w:val="14"/>
                <w:color w:val="0000FF"/>
                <w:w w:val="97"/>
              </w:rPr>
              <w:t>Management Firm, National Collegiate Inventors</w:t>
            </w: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60" w:type="dxa"/>
            <w:vAlign w:val="bottom"/>
            <w:gridSpan w:val="14"/>
          </w:tcPr>
          <w:p>
            <w:pPr>
              <w:spacing w:after="0" w:line="127" w:lineRule="exact"/>
              <w:rPr>
                <w:sz w:val="20"/>
                <w:szCs w:val="20"/>
                <w:color w:val="auto"/>
              </w:rPr>
            </w:pPr>
            <w:r>
              <w:rPr>
                <w:rFonts w:ascii="Arial" w:cs="Arial" w:eastAsia="Arial" w:hAnsi="Arial"/>
                <w:sz w:val="14"/>
                <w:szCs w:val="14"/>
                <w:color w:val="0000FF"/>
              </w:rPr>
              <w:t>and</w:t>
            </w: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92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3340" w:type="dxa"/>
            <w:vAlign w:val="bottom"/>
            <w:tcBorders>
              <w:top w:val="single" w:sz="8" w:color="0000FF"/>
              <w:bottom w:val="single" w:sz="8" w:color="0000FF"/>
            </w:tcBorders>
            <w:gridSpan w:val="22"/>
          </w:tcPr>
          <w:p>
            <w:pPr>
              <w:spacing w:after="0" w:line="118" w:lineRule="exact"/>
              <w:rPr>
                <w:sz w:val="20"/>
                <w:szCs w:val="20"/>
                <w:color w:val="auto"/>
              </w:rPr>
            </w:pPr>
            <w:r>
              <w:rPr>
                <w:rFonts w:ascii="Arial" w:cs="Arial" w:eastAsia="Arial" w:hAnsi="Arial"/>
                <w:sz w:val="13"/>
                <w:szCs w:val="13"/>
                <w:color w:val="0000FF"/>
              </w:rPr>
              <w:t>Innovators Alliance, Inc. d/b/a/ VentureWell and Daré</w:t>
            </w: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3100" w:type="dxa"/>
            <w:vAlign w:val="bottom"/>
            <w:tcBorders>
              <w:bottom w:val="single" w:sz="8" w:color="0000FF"/>
            </w:tcBorders>
            <w:gridSpan w:val="16"/>
          </w:tcPr>
          <w:p>
            <w:pPr>
              <w:spacing w:after="0" w:line="129" w:lineRule="exact"/>
              <w:rPr>
                <w:sz w:val="20"/>
                <w:szCs w:val="20"/>
                <w:color w:val="auto"/>
              </w:rPr>
            </w:pPr>
            <w:r>
              <w:rPr>
                <w:rFonts w:ascii="Arial" w:cs="Arial" w:eastAsia="Arial" w:hAnsi="Arial"/>
                <w:sz w:val="14"/>
                <w:szCs w:val="14"/>
                <w:color w:val="0000FF"/>
              </w:rPr>
              <w:t>Bioscience, Inc., effective as of October 12, 2024</w:t>
            </w:r>
          </w:p>
        </w:tc>
        <w:tc>
          <w:tcPr>
            <w:tcW w:w="280" w:type="dxa"/>
            <w:vAlign w:val="bottom"/>
            <w:gridSpan w:val="8"/>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920" w:type="dxa"/>
            <w:vAlign w:val="bottom"/>
          </w:tcPr>
          <w:p>
            <w:pPr>
              <w:spacing w:after="0"/>
              <w:rPr>
                <w:sz w:val="11"/>
                <w:szCs w:val="11"/>
                <w:color w:val="auto"/>
              </w:rPr>
            </w:pPr>
          </w:p>
        </w:tc>
      </w:tr>
      <w:tr>
        <w:trPr>
          <w:trHeight w:val="277"/>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10.14</w:t>
            </w:r>
          </w:p>
        </w:tc>
        <w:tc>
          <w:tcPr>
            <w:tcW w:w="3560" w:type="dxa"/>
            <w:vAlign w:val="bottom"/>
            <w:gridSpan w:val="30"/>
          </w:tcPr>
          <w:p>
            <w:pPr>
              <w:spacing w:after="0"/>
              <w:rPr>
                <w:rFonts w:ascii="Arial" w:cs="Arial" w:eastAsia="Arial" w:hAnsi="Arial"/>
                <w:sz w:val="14"/>
                <w:szCs w:val="14"/>
                <w:color w:val="0000FF"/>
              </w:rPr>
            </w:pPr>
            <w:hyperlink r:id="rId182">
              <w:r>
                <w:rPr>
                  <w:rFonts w:ascii="Arial" w:cs="Arial" w:eastAsia="Arial" w:hAnsi="Arial"/>
                  <w:sz w:val="14"/>
                  <w:szCs w:val="14"/>
                  <w:color w:val="0000FF"/>
                </w:rPr>
                <w:t>Royalty Interest Financing Agreement entered into as</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10-K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03/28/2024</w:t>
            </w:r>
          </w:p>
        </w:tc>
        <w:tc>
          <w:tcPr>
            <w:tcW w:w="2920" w:type="dxa"/>
            <w:vAlign w:val="bottom"/>
          </w:tcPr>
          <w:p>
            <w:pPr>
              <w:jc w:val="center"/>
              <w:ind w:right="1629"/>
              <w:spacing w:after="0"/>
              <w:rPr>
                <w:sz w:val="20"/>
                <w:szCs w:val="20"/>
                <w:color w:val="auto"/>
              </w:rPr>
            </w:pPr>
            <w:r>
              <w:rPr>
                <w:rFonts w:ascii="Arial" w:cs="Arial" w:eastAsia="Arial" w:hAnsi="Arial"/>
                <w:sz w:val="14"/>
                <w:szCs w:val="14"/>
                <w:color w:val="auto"/>
                <w:w w:val="96"/>
              </w:rPr>
              <w:t>10.12</w:t>
            </w:r>
          </w:p>
        </w:tc>
      </w:tr>
      <w:tr>
        <w:trPr>
          <w:trHeight w:val="118"/>
        </w:trPr>
        <w:tc>
          <w:tcPr>
            <w:tcW w:w="122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26"/>
          </w:tcPr>
          <w:p>
            <w:pPr>
              <w:spacing w:after="0" w:line="118" w:lineRule="exact"/>
              <w:rPr>
                <w:rFonts w:ascii="Arial" w:cs="Arial" w:eastAsia="Arial" w:hAnsi="Arial"/>
                <w:sz w:val="13"/>
                <w:szCs w:val="13"/>
                <w:color w:val="0000FF"/>
              </w:rPr>
            </w:pPr>
            <w:hyperlink r:id="rId182">
              <w:r>
                <w:rPr>
                  <w:rFonts w:ascii="Arial" w:cs="Arial" w:eastAsia="Arial" w:hAnsi="Arial"/>
                  <w:sz w:val="13"/>
                  <w:szCs w:val="13"/>
                  <w:color w:val="0000FF"/>
                </w:rPr>
                <w:t>of December 21, 2023 between Dare Bioscience, Inc.</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1820" w:type="dxa"/>
            <w:vAlign w:val="bottom"/>
            <w:tcBorders>
              <w:bottom w:val="single" w:sz="8" w:color="0000FF"/>
            </w:tcBorders>
            <w:gridSpan w:val="5"/>
          </w:tcPr>
          <w:p>
            <w:pPr>
              <w:spacing w:after="0" w:line="118" w:lineRule="exact"/>
              <w:rPr>
                <w:rFonts w:ascii="Arial" w:cs="Arial" w:eastAsia="Arial" w:hAnsi="Arial"/>
                <w:sz w:val="13"/>
                <w:szCs w:val="13"/>
                <w:color w:val="0000FF"/>
              </w:rPr>
            </w:pPr>
            <w:hyperlink r:id="rId182">
              <w:r>
                <w:rPr>
                  <w:rFonts w:ascii="Arial" w:cs="Arial" w:eastAsia="Arial" w:hAnsi="Arial"/>
                  <w:sz w:val="13"/>
                  <w:szCs w:val="13"/>
                  <w:color w:val="0000FF"/>
                </w:rPr>
                <w:t>and United in Endeavor, LLC</w:t>
              </w:r>
            </w:hyperlink>
          </w:p>
        </w:tc>
        <w:tc>
          <w:tcPr>
            <w:tcW w:w="1620" w:type="dxa"/>
            <w:vAlign w:val="bottom"/>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10.15</w:t>
            </w:r>
          </w:p>
        </w:tc>
        <w:tc>
          <w:tcPr>
            <w:tcW w:w="3560" w:type="dxa"/>
            <w:vAlign w:val="bottom"/>
            <w:gridSpan w:val="30"/>
          </w:tcPr>
          <w:p>
            <w:pPr>
              <w:spacing w:after="0"/>
              <w:rPr>
                <w:rFonts w:ascii="Arial" w:cs="Arial" w:eastAsia="Arial" w:hAnsi="Arial"/>
                <w:sz w:val="14"/>
                <w:szCs w:val="14"/>
                <w:color w:val="0000FF"/>
              </w:rPr>
            </w:pPr>
            <w:hyperlink r:id="rId183">
              <w:r>
                <w:rPr>
                  <w:rFonts w:ascii="Arial" w:cs="Arial" w:eastAsia="Arial" w:hAnsi="Arial"/>
                  <w:sz w:val="14"/>
                  <w:szCs w:val="14"/>
                  <w:color w:val="0000FF"/>
                </w:rPr>
                <w:t>Purchase Agreement, dated October 21, 2024, by and</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10/21/2024</w:t>
            </w:r>
          </w:p>
        </w:tc>
        <w:tc>
          <w:tcPr>
            <w:tcW w:w="2920" w:type="dxa"/>
            <w:vAlign w:val="bottom"/>
          </w:tcPr>
          <w:p>
            <w:pPr>
              <w:jc w:val="center"/>
              <w:ind w:right="1629"/>
              <w:spacing w:after="0"/>
              <w:rPr>
                <w:sz w:val="20"/>
                <w:szCs w:val="20"/>
                <w:color w:val="auto"/>
              </w:rPr>
            </w:pPr>
            <w:r>
              <w:rPr>
                <w:rFonts w:ascii="Arial" w:cs="Arial" w:eastAsia="Arial" w:hAnsi="Arial"/>
                <w:sz w:val="14"/>
                <w:szCs w:val="14"/>
                <w:color w:val="auto"/>
                <w:w w:val="95"/>
              </w:rPr>
              <w:t>10.1</w:t>
            </w:r>
          </w:p>
        </w:tc>
      </w:tr>
      <w:tr>
        <w:trPr>
          <w:trHeight w:val="118"/>
        </w:trPr>
        <w:tc>
          <w:tcPr>
            <w:tcW w:w="1220" w:type="dxa"/>
            <w:vAlign w:val="bottom"/>
          </w:tcPr>
          <w:p>
            <w:pPr>
              <w:spacing w:after="0"/>
              <w:rPr>
                <w:sz w:val="10"/>
                <w:szCs w:val="10"/>
                <w:color w:val="auto"/>
              </w:rPr>
            </w:pPr>
          </w:p>
        </w:tc>
        <w:tc>
          <w:tcPr>
            <w:tcW w:w="348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between Daré Bioscience, Inc. and Lincoln Park</w:t>
              </w:r>
            </w:hyperlink>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02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Capital Fund, LLC</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20" w:type="dxa"/>
            <w:vAlign w:val="bottom"/>
            <w:gridSpan w:val="12"/>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10.16</w:t>
            </w:r>
          </w:p>
        </w:tc>
        <w:tc>
          <w:tcPr>
            <w:tcW w:w="3560" w:type="dxa"/>
            <w:vAlign w:val="bottom"/>
            <w:gridSpan w:val="30"/>
          </w:tcPr>
          <w:p>
            <w:pPr>
              <w:spacing w:after="0"/>
              <w:rPr>
                <w:rFonts w:ascii="Arial" w:cs="Arial" w:eastAsia="Arial" w:hAnsi="Arial"/>
                <w:sz w:val="14"/>
                <w:szCs w:val="14"/>
                <w:color w:val="0000FF"/>
              </w:rPr>
            </w:pPr>
            <w:hyperlink r:id="rId184">
              <w:r>
                <w:rPr>
                  <w:rFonts w:ascii="Arial" w:cs="Arial" w:eastAsia="Arial" w:hAnsi="Arial"/>
                  <w:sz w:val="14"/>
                  <w:szCs w:val="14"/>
                  <w:color w:val="0000FF"/>
                </w:rPr>
                <w:t>Registration Rights Agreement, dated October 21,</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right"/>
              <w:ind w:right="269"/>
              <w:spacing w:after="0"/>
              <w:rPr>
                <w:sz w:val="20"/>
                <w:szCs w:val="20"/>
                <w:color w:val="auto"/>
              </w:rPr>
            </w:pPr>
            <w:r>
              <w:rPr>
                <w:rFonts w:ascii="Arial" w:cs="Arial" w:eastAsia="Arial" w:hAnsi="Arial"/>
                <w:sz w:val="14"/>
                <w:szCs w:val="14"/>
                <w:color w:val="auto"/>
              </w:rPr>
              <w:t>001-36395</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10/21/2024</w:t>
            </w:r>
          </w:p>
        </w:tc>
        <w:tc>
          <w:tcPr>
            <w:tcW w:w="2920" w:type="dxa"/>
            <w:vAlign w:val="bottom"/>
          </w:tcPr>
          <w:p>
            <w:pPr>
              <w:jc w:val="center"/>
              <w:ind w:right="1629"/>
              <w:spacing w:after="0"/>
              <w:rPr>
                <w:sz w:val="20"/>
                <w:szCs w:val="20"/>
                <w:color w:val="auto"/>
              </w:rPr>
            </w:pPr>
            <w:r>
              <w:rPr>
                <w:rFonts w:ascii="Arial" w:cs="Arial" w:eastAsia="Arial" w:hAnsi="Arial"/>
                <w:sz w:val="14"/>
                <w:szCs w:val="14"/>
                <w:color w:val="auto"/>
                <w:w w:val="95"/>
              </w:rPr>
              <w:t>10.2</w:t>
            </w:r>
          </w:p>
        </w:tc>
      </w:tr>
      <w:tr>
        <w:trPr>
          <w:trHeight w:val="118"/>
        </w:trPr>
        <w:tc>
          <w:tcPr>
            <w:tcW w:w="1220" w:type="dxa"/>
            <w:vAlign w:val="bottom"/>
          </w:tcPr>
          <w:p>
            <w:pPr>
              <w:spacing w:after="0"/>
              <w:rPr>
                <w:sz w:val="10"/>
                <w:szCs w:val="10"/>
                <w:color w:val="auto"/>
              </w:rPr>
            </w:pPr>
          </w:p>
        </w:tc>
        <w:tc>
          <w:tcPr>
            <w:tcW w:w="31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2024, by and between Daré Bioscience, Inc. and</w:t>
              </w:r>
            </w:hyperlink>
          </w:p>
        </w:tc>
        <w:tc>
          <w:tcPr>
            <w:tcW w:w="420" w:type="dxa"/>
            <w:vAlign w:val="bottom"/>
            <w:gridSpan w:val="12"/>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06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Lincoln Park Capital Fund, LLC</w:t>
              </w:r>
            </w:hyperlink>
          </w:p>
        </w:tc>
        <w:tc>
          <w:tcPr>
            <w:tcW w:w="500" w:type="dxa"/>
            <w:vAlign w:val="bottom"/>
            <w:gridSpan w:val="16"/>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682"/>
        </w:trPr>
        <w:tc>
          <w:tcPr>
            <w:tcW w:w="12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jc w:val="right"/>
              <w:ind w:right="1029"/>
              <w:spacing w:after="0"/>
              <w:rPr>
                <w:sz w:val="20"/>
                <w:szCs w:val="20"/>
                <w:color w:val="auto"/>
              </w:rPr>
            </w:pPr>
            <w:r>
              <w:rPr>
                <w:rFonts w:ascii="Arial" w:cs="Arial" w:eastAsia="Arial" w:hAnsi="Arial"/>
                <w:sz w:val="14"/>
                <w:szCs w:val="14"/>
                <w:color w:val="auto"/>
              </w:rPr>
              <w:t>137</w:t>
            </w:r>
          </w:p>
        </w:tc>
        <w:tc>
          <w:tcPr>
            <w:tcW w:w="15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85"/>
        </w:trPr>
        <w:tc>
          <w:tcPr>
            <w:tcW w:w="1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2"/>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10.17+</w:t>
            </w:r>
          </w:p>
        </w:tc>
        <w:tc>
          <w:tcPr>
            <w:tcW w:w="3540" w:type="dxa"/>
            <w:vAlign w:val="bottom"/>
            <w:gridSpan w:val="30"/>
          </w:tcPr>
          <w:p>
            <w:pPr>
              <w:spacing w:after="0"/>
              <w:rPr>
                <w:rFonts w:ascii="Arial" w:cs="Arial" w:eastAsia="Arial" w:hAnsi="Arial"/>
                <w:sz w:val="14"/>
                <w:szCs w:val="14"/>
                <w:color w:val="0000FF"/>
              </w:rPr>
            </w:pPr>
            <w:hyperlink r:id="rId187">
              <w:r>
                <w:rPr>
                  <w:rFonts w:ascii="Arial" w:cs="Arial" w:eastAsia="Arial" w:hAnsi="Arial"/>
                  <w:sz w:val="14"/>
                  <w:szCs w:val="14"/>
                  <w:color w:val="0000FF"/>
                </w:rPr>
                <w:t>Traditional Royalty Purchase Agreement between</w:t>
              </w:r>
            </w:hyperlink>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08/12/2024</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10.1</w:t>
            </w:r>
          </w:p>
        </w:tc>
        <w:tc>
          <w:tcPr>
            <w:tcW w:w="40" w:type="dxa"/>
            <w:vAlign w:val="bottom"/>
          </w:tcPr>
          <w:p>
            <w:pPr>
              <w:spacing w:after="0"/>
              <w:rPr>
                <w:sz w:val="14"/>
                <w:szCs w:val="14"/>
                <w:color w:val="auto"/>
              </w:rPr>
            </w:pPr>
          </w:p>
        </w:tc>
      </w:tr>
      <w:tr>
        <w:trPr>
          <w:trHeight w:val="127"/>
        </w:trPr>
        <w:tc>
          <w:tcPr>
            <w:tcW w:w="1220" w:type="dxa"/>
            <w:vAlign w:val="bottom"/>
          </w:tcPr>
          <w:p>
            <w:pPr>
              <w:spacing w:after="0"/>
              <w:rPr>
                <w:sz w:val="11"/>
                <w:szCs w:val="11"/>
                <w:color w:val="auto"/>
              </w:rPr>
            </w:pPr>
          </w:p>
        </w:tc>
        <w:tc>
          <w:tcPr>
            <w:tcW w:w="3140" w:type="dxa"/>
            <w:vAlign w:val="bottom"/>
            <w:tcBorders>
              <w:top w:val="single" w:sz="8" w:color="0000FF"/>
            </w:tcBorders>
            <w:gridSpan w:val="18"/>
          </w:tcPr>
          <w:p>
            <w:pPr>
              <w:spacing w:after="0" w:line="127" w:lineRule="exact"/>
              <w:rPr>
                <w:rFonts w:ascii="Arial" w:cs="Arial" w:eastAsia="Arial" w:hAnsi="Arial"/>
                <w:sz w:val="14"/>
                <w:szCs w:val="14"/>
                <w:color w:val="0000FF"/>
              </w:rPr>
            </w:pPr>
            <w:hyperlink r:id="rId187">
              <w:r>
                <w:rPr>
                  <w:rFonts w:ascii="Arial" w:cs="Arial" w:eastAsia="Arial" w:hAnsi="Arial"/>
                  <w:sz w:val="14"/>
                  <w:szCs w:val="14"/>
                  <w:color w:val="0000FF"/>
                </w:rPr>
                <w:t>Daré Bioscience, Inc. and XOMA (US) LLC, dated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10"/>
          </w:tcPr>
          <w:p>
            <w:pPr>
              <w:spacing w:after="0" w:line="127" w:lineRule="exact"/>
              <w:rPr>
                <w:rFonts w:ascii="Arial" w:cs="Arial" w:eastAsia="Arial" w:hAnsi="Arial"/>
                <w:sz w:val="14"/>
                <w:szCs w:val="14"/>
                <w:color w:val="0000FF"/>
              </w:rPr>
            </w:pPr>
            <w:hyperlink r:id="rId187">
              <w:r>
                <w:rPr>
                  <w:rFonts w:ascii="Arial" w:cs="Arial" w:eastAsia="Arial" w:hAnsi="Arial"/>
                  <w:sz w:val="14"/>
                  <w:szCs w:val="14"/>
                  <w:color w:val="0000FF"/>
                </w:rPr>
                <w:t>as</w:t>
              </w:r>
            </w:hyperlink>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87">
              <w:r>
                <w:rPr>
                  <w:rFonts w:ascii="Arial" w:cs="Arial" w:eastAsia="Arial" w:hAnsi="Arial"/>
                  <w:sz w:val="13"/>
                  <w:szCs w:val="13"/>
                  <w:color w:val="0000FF"/>
                </w:rPr>
                <w:t>of April 29, 2024</w:t>
              </w:r>
            </w:hyperlink>
          </w:p>
        </w:tc>
        <w:tc>
          <w:tcPr>
            <w:tcW w:w="230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10.18+</w:t>
            </w:r>
          </w:p>
        </w:tc>
        <w:tc>
          <w:tcPr>
            <w:tcW w:w="3540" w:type="dxa"/>
            <w:vAlign w:val="bottom"/>
            <w:gridSpan w:val="30"/>
          </w:tcPr>
          <w:p>
            <w:pPr>
              <w:spacing w:after="0"/>
              <w:rPr>
                <w:rFonts w:ascii="Arial" w:cs="Arial" w:eastAsia="Arial" w:hAnsi="Arial"/>
                <w:sz w:val="14"/>
                <w:szCs w:val="14"/>
                <w:color w:val="0000FF"/>
              </w:rPr>
            </w:pPr>
            <w:hyperlink r:id="rId188">
              <w:r>
                <w:rPr>
                  <w:rFonts w:ascii="Arial" w:cs="Arial" w:eastAsia="Arial" w:hAnsi="Arial"/>
                  <w:sz w:val="14"/>
                  <w:szCs w:val="14"/>
                  <w:color w:val="0000FF"/>
                </w:rPr>
                <w:t>Synthetic Royalty Purchase Agreement between Daré</w:t>
              </w:r>
            </w:hyperlink>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08/12/2024</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10.2</w:t>
            </w:r>
          </w:p>
        </w:tc>
        <w:tc>
          <w:tcPr>
            <w:tcW w:w="40" w:type="dxa"/>
            <w:vAlign w:val="bottom"/>
          </w:tcPr>
          <w:p>
            <w:pPr>
              <w:spacing w:after="0"/>
              <w:rPr>
                <w:sz w:val="24"/>
                <w:szCs w:val="24"/>
                <w:color w:val="auto"/>
              </w:rPr>
            </w:pPr>
          </w:p>
        </w:tc>
      </w:tr>
      <w:tr>
        <w:trPr>
          <w:trHeight w:val="118"/>
        </w:trPr>
        <w:tc>
          <w:tcPr>
            <w:tcW w:w="1220" w:type="dxa"/>
            <w:vAlign w:val="bottom"/>
          </w:tcPr>
          <w:p>
            <w:pPr>
              <w:spacing w:after="0"/>
              <w:rPr>
                <w:sz w:val="10"/>
                <w:szCs w:val="10"/>
                <w:color w:val="auto"/>
              </w:rPr>
            </w:pPr>
          </w:p>
        </w:tc>
        <w:tc>
          <w:tcPr>
            <w:tcW w:w="342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88">
              <w:r>
                <w:rPr>
                  <w:rFonts w:ascii="Arial" w:cs="Arial" w:eastAsia="Arial" w:hAnsi="Arial"/>
                  <w:sz w:val="13"/>
                  <w:szCs w:val="13"/>
                  <w:color w:val="0000FF"/>
                </w:rPr>
                <w:t>Bioscience, Inc. and XOMA (US) LLC, dated as of</w:t>
              </w:r>
            </w:hyperlink>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1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88">
              <w:r>
                <w:rPr>
                  <w:rFonts w:ascii="Arial" w:cs="Arial" w:eastAsia="Arial" w:hAnsi="Arial"/>
                  <w:sz w:val="13"/>
                  <w:szCs w:val="13"/>
                  <w:color w:val="0000FF"/>
                </w:rPr>
                <w:t>April 29, 2024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4760" w:type="dxa"/>
            <w:vAlign w:val="bottom"/>
            <w:tcBorders>
              <w:bottom w:val="single" w:sz="8" w:color="auto"/>
            </w:tcBorders>
            <w:gridSpan w:val="31"/>
          </w:tcPr>
          <w:p>
            <w:pPr>
              <w:ind w:left="20"/>
              <w:spacing w:after="0"/>
              <w:rPr>
                <w:sz w:val="20"/>
                <w:szCs w:val="20"/>
                <w:color w:val="auto"/>
              </w:rPr>
            </w:pPr>
            <w:r>
              <w:rPr>
                <w:rFonts w:ascii="Arial" w:cs="Arial" w:eastAsia="Arial" w:hAnsi="Arial"/>
                <w:sz w:val="14"/>
                <w:szCs w:val="14"/>
                <w:i w:val="1"/>
                <w:iCs w:val="1"/>
                <w:color w:val="auto"/>
              </w:rPr>
              <w:t>MANAGEMENT CONTRACTS AND COMPENSATORY PLANS</w:t>
            </w:r>
          </w:p>
        </w:tc>
        <w:tc>
          <w:tcPr>
            <w:tcW w:w="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39"/>
        </w:trPr>
        <w:tc>
          <w:tcPr>
            <w:tcW w:w="1220" w:type="dxa"/>
            <w:vAlign w:val="bottom"/>
          </w:tcPr>
          <w:p>
            <w:pPr>
              <w:jc w:val="center"/>
              <w:ind w:right="129"/>
              <w:spacing w:after="0" w:line="139" w:lineRule="exact"/>
              <w:rPr>
                <w:sz w:val="20"/>
                <w:szCs w:val="20"/>
                <w:color w:val="auto"/>
              </w:rPr>
            </w:pPr>
            <w:r>
              <w:rPr>
                <w:rFonts w:ascii="Arial" w:cs="Arial" w:eastAsia="Arial" w:hAnsi="Arial"/>
                <w:sz w:val="14"/>
                <w:szCs w:val="14"/>
                <w:color w:val="auto"/>
              </w:rPr>
              <w:t>10.13(a)*</w:t>
            </w:r>
          </w:p>
        </w:tc>
        <w:tc>
          <w:tcPr>
            <w:tcW w:w="3540" w:type="dxa"/>
            <w:vAlign w:val="bottom"/>
            <w:gridSpan w:val="30"/>
          </w:tcPr>
          <w:p>
            <w:pPr>
              <w:spacing w:after="0" w:line="139" w:lineRule="exact"/>
              <w:rPr>
                <w:rFonts w:ascii="Arial" w:cs="Arial" w:eastAsia="Arial" w:hAnsi="Arial"/>
                <w:sz w:val="14"/>
                <w:szCs w:val="14"/>
                <w:color w:val="0000FF"/>
              </w:rPr>
            </w:pPr>
            <w:hyperlink r:id="rId189">
              <w:r>
                <w:rPr>
                  <w:rFonts w:ascii="Arial" w:cs="Arial" w:eastAsia="Arial" w:hAnsi="Arial"/>
                  <w:sz w:val="14"/>
                  <w:szCs w:val="14"/>
                  <w:color w:val="0000FF"/>
                </w:rPr>
                <w:t>Daré Bioscience, Inc. Amended and Restated 2014</w:t>
              </w:r>
            </w:hyperlink>
          </w:p>
        </w:tc>
        <w:tc>
          <w:tcPr>
            <w:tcW w:w="640" w:type="dxa"/>
            <w:vAlign w:val="bottom"/>
          </w:tcPr>
          <w:p>
            <w:pPr>
              <w:jc w:val="center"/>
              <w:spacing w:after="0" w:line="139" w:lineRule="exact"/>
              <w:rPr>
                <w:sz w:val="20"/>
                <w:szCs w:val="20"/>
                <w:color w:val="auto"/>
              </w:rPr>
            </w:pPr>
            <w:r>
              <w:rPr>
                <w:rFonts w:ascii="Arial" w:cs="Arial" w:eastAsia="Arial" w:hAnsi="Arial"/>
                <w:sz w:val="14"/>
                <w:szCs w:val="14"/>
                <w:color w:val="auto"/>
              </w:rPr>
              <w:t>8-K</w:t>
            </w:r>
          </w:p>
        </w:tc>
        <w:tc>
          <w:tcPr>
            <w:tcW w:w="1480" w:type="dxa"/>
            <w:vAlign w:val="bottom"/>
          </w:tcPr>
          <w:p>
            <w:pPr>
              <w:jc w:val="center"/>
              <w:spacing w:after="0" w:line="139" w:lineRule="exact"/>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rPr>
              <w:t>7/12/2018</w:t>
            </w:r>
          </w:p>
        </w:tc>
        <w:tc>
          <w:tcPr>
            <w:tcW w:w="2900" w:type="dxa"/>
            <w:vAlign w:val="bottom"/>
          </w:tcPr>
          <w:p>
            <w:pPr>
              <w:jc w:val="center"/>
              <w:ind w:right="1569"/>
              <w:spacing w:after="0" w:line="139" w:lineRule="exact"/>
              <w:rPr>
                <w:sz w:val="20"/>
                <w:szCs w:val="20"/>
                <w:color w:val="auto"/>
              </w:rPr>
            </w:pPr>
            <w:r>
              <w:rPr>
                <w:rFonts w:ascii="Arial" w:cs="Arial" w:eastAsia="Arial" w:hAnsi="Arial"/>
                <w:sz w:val="14"/>
                <w:szCs w:val="14"/>
                <w:color w:val="auto"/>
                <w:w w:val="95"/>
              </w:rPr>
              <w:t>10.1</w:t>
            </w:r>
          </w:p>
        </w:tc>
        <w:tc>
          <w:tcPr>
            <w:tcW w:w="40" w:type="dxa"/>
            <w:vAlign w:val="bottom"/>
          </w:tcPr>
          <w:p>
            <w:pPr>
              <w:spacing w:after="0"/>
              <w:rPr>
                <w:sz w:val="12"/>
                <w:szCs w:val="12"/>
                <w:color w:val="auto"/>
              </w:rPr>
            </w:pPr>
          </w:p>
        </w:tc>
      </w:tr>
      <w:tr>
        <w:trPr>
          <w:trHeight w:val="118"/>
        </w:trPr>
        <w:tc>
          <w:tcPr>
            <w:tcW w:w="1220" w:type="dxa"/>
            <w:vAlign w:val="bottom"/>
          </w:tcPr>
          <w:p>
            <w:pPr>
              <w:spacing w:after="0"/>
              <w:rPr>
                <w:sz w:val="10"/>
                <w:szCs w:val="10"/>
                <w:color w:val="auto"/>
              </w:rPr>
            </w:pPr>
          </w:p>
        </w:tc>
        <w:tc>
          <w:tcPr>
            <w:tcW w:w="324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89">
              <w:r>
                <w:rPr>
                  <w:rFonts w:ascii="Arial" w:cs="Arial" w:eastAsia="Arial" w:hAnsi="Arial"/>
                  <w:sz w:val="13"/>
                  <w:szCs w:val="13"/>
                  <w:color w:val="0000FF"/>
                </w:rPr>
                <w:t>Stock Incentive Plan</w:t>
              </w:r>
            </w:hyperlink>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10.13(b)*</w:t>
            </w:r>
          </w:p>
        </w:tc>
        <w:tc>
          <w:tcPr>
            <w:tcW w:w="3540" w:type="dxa"/>
            <w:vAlign w:val="bottom"/>
            <w:gridSpan w:val="30"/>
          </w:tcPr>
          <w:p>
            <w:pPr>
              <w:spacing w:after="0"/>
              <w:rPr>
                <w:rFonts w:ascii="Arial" w:cs="Arial" w:eastAsia="Arial" w:hAnsi="Arial"/>
                <w:sz w:val="14"/>
                <w:szCs w:val="14"/>
                <w:color w:val="0000FF"/>
              </w:rPr>
            </w:pPr>
            <w:hyperlink r:id="rId190">
              <w:r>
                <w:rPr>
                  <w:rFonts w:ascii="Arial" w:cs="Arial" w:eastAsia="Arial" w:hAnsi="Arial"/>
                  <w:sz w:val="14"/>
                  <w:szCs w:val="14"/>
                  <w:color w:val="0000FF"/>
                </w:rPr>
                <w:t>Form of Incentive Stock Option Agreement for grants</w:t>
              </w:r>
            </w:hyperlink>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8/13/2018</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10.3</w:t>
            </w:r>
          </w:p>
        </w:tc>
        <w:tc>
          <w:tcPr>
            <w:tcW w:w="40" w:type="dxa"/>
            <w:vAlign w:val="bottom"/>
          </w:tcPr>
          <w:p>
            <w:pPr>
              <w:spacing w:after="0"/>
              <w:rPr>
                <w:sz w:val="24"/>
                <w:szCs w:val="24"/>
                <w:color w:val="auto"/>
              </w:rPr>
            </w:pPr>
          </w:p>
        </w:tc>
      </w:tr>
      <w:tr>
        <w:trPr>
          <w:trHeight w:val="118"/>
        </w:trPr>
        <w:tc>
          <w:tcPr>
            <w:tcW w:w="1220" w:type="dxa"/>
            <w:vAlign w:val="bottom"/>
          </w:tcPr>
          <w:p>
            <w:pPr>
              <w:spacing w:after="0"/>
              <w:rPr>
                <w:sz w:val="10"/>
                <w:szCs w:val="10"/>
                <w:color w:val="auto"/>
              </w:rPr>
            </w:pPr>
          </w:p>
        </w:tc>
        <w:tc>
          <w:tcPr>
            <w:tcW w:w="332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90">
              <w:r>
                <w:rPr>
                  <w:rFonts w:ascii="Arial" w:cs="Arial" w:eastAsia="Arial" w:hAnsi="Arial"/>
                  <w:sz w:val="13"/>
                  <w:szCs w:val="13"/>
                  <w:color w:val="0000FF"/>
                </w:rPr>
                <w:t>under the Daré Bioscience, Inc. Amended and</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90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190">
              <w:r>
                <w:rPr>
                  <w:rFonts w:ascii="Arial" w:cs="Arial" w:eastAsia="Arial" w:hAnsi="Arial"/>
                  <w:sz w:val="13"/>
                  <w:szCs w:val="13"/>
                  <w:color w:val="0000FF"/>
                </w:rPr>
                <w:t>Restated 2014 Stock Incentive Plan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10.13(c)*</w:t>
            </w:r>
          </w:p>
        </w:tc>
        <w:tc>
          <w:tcPr>
            <w:tcW w:w="3540" w:type="dxa"/>
            <w:vAlign w:val="bottom"/>
            <w:gridSpan w:val="30"/>
          </w:tcPr>
          <w:p>
            <w:pPr>
              <w:spacing w:after="0"/>
              <w:rPr>
                <w:rFonts w:ascii="Arial" w:cs="Arial" w:eastAsia="Arial" w:hAnsi="Arial"/>
                <w:sz w:val="14"/>
                <w:szCs w:val="14"/>
                <w:color w:val="0000FF"/>
              </w:rPr>
            </w:pPr>
            <w:hyperlink r:id="rId191">
              <w:r>
                <w:rPr>
                  <w:rFonts w:ascii="Arial" w:cs="Arial" w:eastAsia="Arial" w:hAnsi="Arial"/>
                  <w:sz w:val="14"/>
                  <w:szCs w:val="14"/>
                  <w:color w:val="0000FF"/>
                </w:rPr>
                <w:t>Form of Nonstatutory Stock Option Agreement for</w:t>
              </w:r>
            </w:hyperlink>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8/13/2018</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10.4</w:t>
            </w:r>
          </w:p>
        </w:tc>
        <w:tc>
          <w:tcPr>
            <w:tcW w:w="40" w:type="dxa"/>
            <w:vAlign w:val="bottom"/>
          </w:tcPr>
          <w:p>
            <w:pPr>
              <w:spacing w:after="0"/>
              <w:rPr>
                <w:sz w:val="24"/>
                <w:szCs w:val="24"/>
                <w:color w:val="auto"/>
              </w:rPr>
            </w:pPr>
          </w:p>
        </w:tc>
      </w:tr>
      <w:tr>
        <w:trPr>
          <w:trHeight w:val="127"/>
        </w:trPr>
        <w:tc>
          <w:tcPr>
            <w:tcW w:w="1220" w:type="dxa"/>
            <w:vAlign w:val="bottom"/>
          </w:tcPr>
          <w:p>
            <w:pPr>
              <w:spacing w:after="0"/>
              <w:rPr>
                <w:sz w:val="11"/>
                <w:szCs w:val="11"/>
                <w:color w:val="auto"/>
              </w:rPr>
            </w:pPr>
          </w:p>
        </w:tc>
        <w:tc>
          <w:tcPr>
            <w:tcW w:w="3160" w:type="dxa"/>
            <w:vAlign w:val="bottom"/>
            <w:tcBorders>
              <w:top w:val="single" w:sz="8" w:color="0000FF"/>
            </w:tcBorders>
            <w:gridSpan w:val="19"/>
          </w:tcPr>
          <w:p>
            <w:pPr>
              <w:spacing w:after="0" w:line="127" w:lineRule="exact"/>
              <w:rPr>
                <w:rFonts w:ascii="Arial" w:cs="Arial" w:eastAsia="Arial" w:hAnsi="Arial"/>
                <w:sz w:val="14"/>
                <w:szCs w:val="14"/>
                <w:color w:val="0000FF"/>
              </w:rPr>
            </w:pPr>
            <w:hyperlink r:id="rId191">
              <w:r>
                <w:rPr>
                  <w:rFonts w:ascii="Arial" w:cs="Arial" w:eastAsia="Arial" w:hAnsi="Arial"/>
                  <w:sz w:val="14"/>
                  <w:szCs w:val="14"/>
                  <w:color w:val="0000FF"/>
                </w:rPr>
                <w:t>grants under the Daré Bioscience, Inc. Amended</w:t>
              </w:r>
            </w:hyperlink>
          </w:p>
        </w:tc>
        <w:tc>
          <w:tcPr>
            <w:tcW w:w="380" w:type="dxa"/>
            <w:vAlign w:val="bottom"/>
            <w:gridSpan w:val="11"/>
          </w:tcPr>
          <w:p>
            <w:pPr>
              <w:spacing w:after="0" w:line="127" w:lineRule="exact"/>
              <w:rPr>
                <w:rFonts w:ascii="Arial" w:cs="Arial" w:eastAsia="Arial" w:hAnsi="Arial"/>
                <w:sz w:val="14"/>
                <w:szCs w:val="14"/>
                <w:color w:val="0000FF"/>
              </w:rPr>
            </w:pPr>
            <w:hyperlink r:id="rId191">
              <w:r>
                <w:rPr>
                  <w:rFonts w:ascii="Arial" w:cs="Arial" w:eastAsia="Arial" w:hAnsi="Arial"/>
                  <w:sz w:val="14"/>
                  <w:szCs w:val="14"/>
                  <w:color w:val="0000FF"/>
                </w:rPr>
                <w:t>and</w:t>
              </w:r>
            </w:hyperlink>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336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91">
              <w:r>
                <w:rPr>
                  <w:rFonts w:ascii="Arial" w:cs="Arial" w:eastAsia="Arial" w:hAnsi="Arial"/>
                  <w:sz w:val="13"/>
                  <w:szCs w:val="13"/>
                  <w:color w:val="0000FF"/>
                </w:rPr>
                <w:t>Restated 2014 Stock Incentive Plan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10.14*</w:t>
            </w:r>
          </w:p>
        </w:tc>
        <w:tc>
          <w:tcPr>
            <w:tcW w:w="3540" w:type="dxa"/>
            <w:vAlign w:val="bottom"/>
            <w:gridSpan w:val="30"/>
          </w:tcPr>
          <w:p>
            <w:pPr>
              <w:spacing w:after="0"/>
              <w:rPr>
                <w:rFonts w:ascii="Arial" w:cs="Arial" w:eastAsia="Arial" w:hAnsi="Arial"/>
                <w:sz w:val="14"/>
                <w:szCs w:val="14"/>
                <w:color w:val="0000FF"/>
              </w:rPr>
            </w:pPr>
            <w:hyperlink r:id="rId192">
              <w:r>
                <w:rPr>
                  <w:rFonts w:ascii="Arial" w:cs="Arial" w:eastAsia="Arial" w:hAnsi="Arial"/>
                  <w:sz w:val="14"/>
                  <w:szCs w:val="14"/>
                  <w:color w:val="0000FF"/>
                </w:rPr>
                <w:t>2014 Employee Stock Purchase Plan</w:t>
              </w:r>
            </w:hyperlink>
          </w:p>
        </w:tc>
        <w:tc>
          <w:tcPr>
            <w:tcW w:w="64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333-194442</w:t>
            </w:r>
          </w:p>
        </w:tc>
        <w:tc>
          <w:tcPr>
            <w:tcW w:w="1460" w:type="dxa"/>
            <w:vAlign w:val="bottom"/>
          </w:tcPr>
          <w:p>
            <w:pPr>
              <w:jc w:val="center"/>
              <w:spacing w:after="0"/>
              <w:rPr>
                <w:sz w:val="20"/>
                <w:szCs w:val="20"/>
                <w:color w:val="auto"/>
              </w:rPr>
            </w:pPr>
            <w:r>
              <w:rPr>
                <w:rFonts w:ascii="Arial" w:cs="Arial" w:eastAsia="Arial" w:hAnsi="Arial"/>
                <w:sz w:val="14"/>
                <w:szCs w:val="14"/>
                <w:color w:val="auto"/>
              </w:rPr>
              <w:t>3/31/2014</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6"/>
              </w:rPr>
              <w:t>10.26</w:t>
            </w:r>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10.15(a)*</w:t>
            </w:r>
          </w:p>
        </w:tc>
        <w:tc>
          <w:tcPr>
            <w:tcW w:w="3040" w:type="dxa"/>
            <w:vAlign w:val="bottom"/>
            <w:tcBorders>
              <w:bottom w:val="single" w:sz="8" w:color="0000FF"/>
            </w:tcBorders>
            <w:gridSpan w:val="16"/>
          </w:tcPr>
          <w:p>
            <w:pPr>
              <w:spacing w:after="0"/>
              <w:rPr>
                <w:rFonts w:ascii="Arial" w:cs="Arial" w:eastAsia="Arial" w:hAnsi="Arial"/>
                <w:sz w:val="14"/>
                <w:szCs w:val="14"/>
                <w:color w:val="0000FF"/>
              </w:rPr>
            </w:pPr>
            <w:hyperlink r:id="rId193">
              <w:r>
                <w:rPr>
                  <w:rFonts w:ascii="Arial" w:cs="Arial" w:eastAsia="Arial" w:hAnsi="Arial"/>
                  <w:sz w:val="14"/>
                  <w:szCs w:val="14"/>
                  <w:color w:val="0000FF"/>
                </w:rPr>
                <w:t>Daré Bioscience, Inc. 2022 Stock Incentive Plan</w:t>
              </w:r>
            </w:hyperlink>
          </w:p>
        </w:tc>
        <w:tc>
          <w:tcPr>
            <w:tcW w:w="500" w:type="dxa"/>
            <w:vAlign w:val="bottom"/>
            <w:gridSpan w:val="14"/>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8/12/2024</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10.7</w:t>
            </w:r>
          </w:p>
        </w:tc>
        <w:tc>
          <w:tcPr>
            <w:tcW w:w="40" w:type="dxa"/>
            <w:vAlign w:val="bottom"/>
          </w:tcPr>
          <w:p>
            <w:pPr>
              <w:spacing w:after="0"/>
              <w:rPr>
                <w:sz w:val="13"/>
                <w:szCs w:val="13"/>
                <w:color w:val="auto"/>
              </w:rPr>
            </w:pPr>
          </w:p>
        </w:tc>
      </w:tr>
      <w:tr>
        <w:trPr>
          <w:trHeight w:val="245"/>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10.15(b)*</w:t>
            </w:r>
          </w:p>
        </w:tc>
        <w:tc>
          <w:tcPr>
            <w:tcW w:w="3540" w:type="dxa"/>
            <w:vAlign w:val="bottom"/>
            <w:gridSpan w:val="30"/>
          </w:tcPr>
          <w:p>
            <w:pPr>
              <w:spacing w:after="0"/>
              <w:rPr>
                <w:rFonts w:ascii="Arial" w:cs="Arial" w:eastAsia="Arial" w:hAnsi="Arial"/>
                <w:sz w:val="14"/>
                <w:szCs w:val="14"/>
                <w:color w:val="0000FF"/>
              </w:rPr>
            </w:pPr>
            <w:hyperlink r:id="rId194">
              <w:r>
                <w:rPr>
                  <w:rFonts w:ascii="Arial" w:cs="Arial" w:eastAsia="Arial" w:hAnsi="Arial"/>
                  <w:sz w:val="14"/>
                  <w:szCs w:val="14"/>
                  <w:color w:val="0000FF"/>
                </w:rPr>
                <w:t>Form of Incentive Stock Option Agreement for Grants</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8-K</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6/24/2022</w:t>
            </w:r>
          </w:p>
        </w:tc>
        <w:tc>
          <w:tcPr>
            <w:tcW w:w="2940" w:type="dxa"/>
            <w:vAlign w:val="bottom"/>
            <w:gridSpan w:val="2"/>
          </w:tcPr>
          <w:p>
            <w:pPr>
              <w:jc w:val="center"/>
              <w:ind w:right="1680"/>
              <w:spacing w:after="0"/>
              <w:rPr>
                <w:sz w:val="20"/>
                <w:szCs w:val="20"/>
                <w:color w:val="auto"/>
              </w:rPr>
            </w:pPr>
            <w:r>
              <w:rPr>
                <w:rFonts w:ascii="Arial" w:cs="Arial" w:eastAsia="Arial" w:hAnsi="Arial"/>
                <w:sz w:val="14"/>
                <w:szCs w:val="14"/>
                <w:color w:val="auto"/>
              </w:rPr>
              <w:t>10.1(b)</w:t>
            </w:r>
          </w:p>
        </w:tc>
      </w:tr>
      <w:tr>
        <w:trPr>
          <w:trHeight w:val="118"/>
        </w:trPr>
        <w:tc>
          <w:tcPr>
            <w:tcW w:w="1220" w:type="dxa"/>
            <w:vAlign w:val="bottom"/>
          </w:tcPr>
          <w:p>
            <w:pPr>
              <w:spacing w:after="0"/>
              <w:rPr>
                <w:sz w:val="10"/>
                <w:szCs w:val="10"/>
                <w:color w:val="auto"/>
              </w:rPr>
            </w:pPr>
          </w:p>
        </w:tc>
        <w:tc>
          <w:tcPr>
            <w:tcW w:w="340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94">
              <w:r>
                <w:rPr>
                  <w:rFonts w:ascii="Arial" w:cs="Arial" w:eastAsia="Arial" w:hAnsi="Arial"/>
                  <w:sz w:val="13"/>
                  <w:szCs w:val="13"/>
                  <w:color w:val="0000FF"/>
                </w:rPr>
                <w:t>under the Daré Bioscience, Inc. 2022 Stock Incentive</w:t>
              </w:r>
            </w:hyperlink>
          </w:p>
        </w:tc>
        <w:tc>
          <w:tcPr>
            <w:tcW w:w="1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3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194">
              <w:r>
                <w:rPr>
                  <w:rFonts w:ascii="Arial" w:cs="Arial" w:eastAsia="Arial" w:hAnsi="Arial"/>
                  <w:sz w:val="13"/>
                  <w:szCs w:val="13"/>
                  <w:color w:val="0000FF"/>
                </w:rPr>
                <w:t>Plan</w:t>
              </w:r>
            </w:hyperlink>
          </w:p>
        </w:tc>
        <w:tc>
          <w:tcPr>
            <w:tcW w:w="306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6"/>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10.15(c)*</w:t>
            </w:r>
          </w:p>
        </w:tc>
        <w:tc>
          <w:tcPr>
            <w:tcW w:w="3540" w:type="dxa"/>
            <w:vAlign w:val="bottom"/>
            <w:gridSpan w:val="30"/>
          </w:tcPr>
          <w:p>
            <w:pPr>
              <w:spacing w:after="0"/>
              <w:rPr>
                <w:rFonts w:ascii="Arial" w:cs="Arial" w:eastAsia="Arial" w:hAnsi="Arial"/>
                <w:sz w:val="14"/>
                <w:szCs w:val="14"/>
                <w:color w:val="0000FF"/>
              </w:rPr>
            </w:pPr>
            <w:hyperlink r:id="rId195">
              <w:r>
                <w:rPr>
                  <w:rFonts w:ascii="Arial" w:cs="Arial" w:eastAsia="Arial" w:hAnsi="Arial"/>
                  <w:sz w:val="14"/>
                  <w:szCs w:val="14"/>
                  <w:color w:val="0000FF"/>
                </w:rPr>
                <w:t>Form of Nonstatutory Stock Option Agreement for</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8-K</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6/24/2022</w:t>
            </w:r>
          </w:p>
        </w:tc>
        <w:tc>
          <w:tcPr>
            <w:tcW w:w="2940" w:type="dxa"/>
            <w:vAlign w:val="bottom"/>
            <w:gridSpan w:val="2"/>
          </w:tcPr>
          <w:p>
            <w:pPr>
              <w:jc w:val="center"/>
              <w:ind w:right="1660"/>
              <w:spacing w:after="0"/>
              <w:rPr>
                <w:sz w:val="20"/>
                <w:szCs w:val="20"/>
                <w:color w:val="auto"/>
              </w:rPr>
            </w:pPr>
            <w:r>
              <w:rPr>
                <w:rFonts w:ascii="Arial" w:cs="Arial" w:eastAsia="Arial" w:hAnsi="Arial"/>
                <w:sz w:val="14"/>
                <w:szCs w:val="14"/>
                <w:color w:val="auto"/>
              </w:rPr>
              <w:t>10.2(c)</w:t>
            </w:r>
          </w:p>
        </w:tc>
      </w:tr>
      <w:tr>
        <w:trPr>
          <w:trHeight w:val="118"/>
        </w:trPr>
        <w:tc>
          <w:tcPr>
            <w:tcW w:w="1220" w:type="dxa"/>
            <w:vAlign w:val="bottom"/>
          </w:tcPr>
          <w:p>
            <w:pPr>
              <w:spacing w:after="0"/>
              <w:rPr>
                <w:sz w:val="10"/>
                <w:szCs w:val="10"/>
                <w:color w:val="auto"/>
              </w:rPr>
            </w:pPr>
          </w:p>
        </w:tc>
        <w:tc>
          <w:tcPr>
            <w:tcW w:w="3160" w:type="dxa"/>
            <w:vAlign w:val="bottom"/>
            <w:tcBorders>
              <w:top w:val="single" w:sz="8" w:color="0000FF"/>
              <w:bottom w:val="single" w:sz="8" w:color="0000FF"/>
            </w:tcBorders>
            <w:gridSpan w:val="19"/>
          </w:tcPr>
          <w:p>
            <w:pPr>
              <w:spacing w:after="0" w:line="118" w:lineRule="exact"/>
              <w:rPr>
                <w:rFonts w:ascii="Arial" w:cs="Arial" w:eastAsia="Arial" w:hAnsi="Arial"/>
                <w:sz w:val="13"/>
                <w:szCs w:val="13"/>
                <w:color w:val="0000FF"/>
              </w:rPr>
            </w:pPr>
            <w:hyperlink r:id="rId195">
              <w:r>
                <w:rPr>
                  <w:rFonts w:ascii="Arial" w:cs="Arial" w:eastAsia="Arial" w:hAnsi="Arial"/>
                  <w:sz w:val="13"/>
                  <w:szCs w:val="13"/>
                  <w:color w:val="0000FF"/>
                </w:rPr>
                <w:t>Grants under the Daré Bioscience, Inc. 2022 Stock</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60" w:type="dxa"/>
            <w:vAlign w:val="bottom"/>
            <w:gridSpan w:val="5"/>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900" w:type="dxa"/>
            <w:vAlign w:val="bottom"/>
            <w:tcBorders>
              <w:bottom w:val="single" w:sz="8" w:color="0000FF"/>
            </w:tcBorders>
            <w:gridSpan w:val="5"/>
          </w:tcPr>
          <w:p>
            <w:pPr>
              <w:spacing w:after="0" w:line="118" w:lineRule="exact"/>
              <w:rPr>
                <w:rFonts w:ascii="Arial" w:cs="Arial" w:eastAsia="Arial" w:hAnsi="Arial"/>
                <w:sz w:val="13"/>
                <w:szCs w:val="13"/>
                <w:color w:val="0000FF"/>
              </w:rPr>
            </w:pPr>
            <w:hyperlink r:id="rId195">
              <w:r>
                <w:rPr>
                  <w:rFonts w:ascii="Arial" w:cs="Arial" w:eastAsia="Arial" w:hAnsi="Arial"/>
                  <w:sz w:val="13"/>
                  <w:szCs w:val="13"/>
                  <w:color w:val="0000FF"/>
                </w:rPr>
                <w:t>Incentive Plan</w:t>
              </w:r>
            </w:hyperlink>
          </w:p>
        </w:tc>
        <w:tc>
          <w:tcPr>
            <w:tcW w:w="2320" w:type="dxa"/>
            <w:vAlign w:val="bottom"/>
            <w:gridSpan w:val="17"/>
          </w:tcPr>
          <w:p>
            <w:pPr>
              <w:spacing w:after="0"/>
              <w:rPr>
                <w:sz w:val="10"/>
                <w:szCs w:val="10"/>
                <w:color w:val="auto"/>
              </w:rPr>
            </w:pPr>
          </w:p>
        </w:tc>
        <w:tc>
          <w:tcPr>
            <w:tcW w:w="160" w:type="dxa"/>
            <w:vAlign w:val="bottom"/>
            <w:gridSpan w:val="5"/>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6"/>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10.16*</w:t>
            </w:r>
          </w:p>
        </w:tc>
        <w:tc>
          <w:tcPr>
            <w:tcW w:w="3540" w:type="dxa"/>
            <w:vAlign w:val="bottom"/>
            <w:gridSpan w:val="30"/>
          </w:tcPr>
          <w:p>
            <w:pPr>
              <w:spacing w:after="0"/>
              <w:rPr>
                <w:rFonts w:ascii="Arial" w:cs="Arial" w:eastAsia="Arial" w:hAnsi="Arial"/>
                <w:sz w:val="14"/>
                <w:szCs w:val="14"/>
                <w:color w:val="0000FF"/>
              </w:rPr>
            </w:pPr>
            <w:hyperlink r:id="rId196">
              <w:r>
                <w:rPr>
                  <w:rFonts w:ascii="Arial" w:cs="Arial" w:eastAsia="Arial" w:hAnsi="Arial"/>
                  <w:sz w:val="14"/>
                  <w:szCs w:val="14"/>
                  <w:color w:val="0000FF"/>
                </w:rPr>
                <w:t>Daré Bioscience, Inc. Performance Bonus Plan, as</w:t>
              </w:r>
            </w:hyperlink>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6"/>
              </w:rPr>
              <w:t>11/9/2023</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10.3</w:t>
            </w:r>
          </w:p>
        </w:tc>
        <w:tc>
          <w:tcPr>
            <w:tcW w:w="40" w:type="dxa"/>
            <w:vAlign w:val="bottom"/>
          </w:tcPr>
          <w:p>
            <w:pPr>
              <w:spacing w:after="0"/>
              <w:rPr>
                <w:sz w:val="22"/>
                <w:szCs w:val="22"/>
                <w:color w:val="auto"/>
              </w:rPr>
            </w:pPr>
          </w:p>
        </w:tc>
      </w:tr>
      <w:tr>
        <w:trPr>
          <w:trHeight w:val="118"/>
        </w:trPr>
        <w:tc>
          <w:tcPr>
            <w:tcW w:w="1220" w:type="dxa"/>
            <w:vAlign w:val="bottom"/>
          </w:tcPr>
          <w:p>
            <w:pPr>
              <w:spacing w:after="0"/>
              <w:rPr>
                <w:sz w:val="10"/>
                <w:szCs w:val="10"/>
                <w:color w:val="auto"/>
              </w:rPr>
            </w:pPr>
          </w:p>
        </w:tc>
        <w:tc>
          <w:tcPr>
            <w:tcW w:w="60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96">
              <w:r>
                <w:rPr>
                  <w:rFonts w:ascii="Arial" w:cs="Arial" w:eastAsia="Arial" w:hAnsi="Arial"/>
                  <w:sz w:val="13"/>
                  <w:szCs w:val="13"/>
                  <w:color w:val="0000FF"/>
                </w:rPr>
                <w:t>amended</w:t>
              </w:r>
            </w:hyperlink>
          </w:p>
        </w:tc>
        <w:tc>
          <w:tcPr>
            <w:tcW w:w="2600" w:type="dxa"/>
            <w:vAlign w:val="bottom"/>
            <w:tcBorders>
              <w:top w:val="single" w:sz="8" w:color="0000FF"/>
            </w:tcBorders>
            <w:gridSpan w:val="18"/>
          </w:tcPr>
          <w:p>
            <w:pPr>
              <w:spacing w:after="0"/>
              <w:rPr>
                <w:sz w:val="10"/>
                <w:szCs w:val="10"/>
                <w:color w:val="auto"/>
              </w:rPr>
            </w:pPr>
          </w:p>
        </w:tc>
        <w:tc>
          <w:tcPr>
            <w:tcW w:w="180" w:type="dxa"/>
            <w:vAlign w:val="bottom"/>
            <w:gridSpan w:val="6"/>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6"/>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10.17*</w:t>
            </w:r>
          </w:p>
        </w:tc>
        <w:tc>
          <w:tcPr>
            <w:tcW w:w="3540" w:type="dxa"/>
            <w:vAlign w:val="bottom"/>
            <w:gridSpan w:val="30"/>
          </w:tcPr>
          <w:p>
            <w:pPr>
              <w:spacing w:after="0"/>
              <w:rPr>
                <w:rFonts w:ascii="Arial" w:cs="Arial" w:eastAsia="Arial" w:hAnsi="Arial"/>
                <w:sz w:val="14"/>
                <w:szCs w:val="14"/>
                <w:color w:val="0000FF"/>
              </w:rPr>
            </w:pPr>
            <w:hyperlink r:id="rId197">
              <w:r>
                <w:rPr>
                  <w:rFonts w:ascii="Arial" w:cs="Arial" w:eastAsia="Arial" w:hAnsi="Arial"/>
                  <w:sz w:val="14"/>
                  <w:szCs w:val="14"/>
                  <w:color w:val="0000FF"/>
                </w:rPr>
                <w:t>Form of indemnification agreement between the</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333-194442</w:t>
            </w:r>
          </w:p>
        </w:tc>
        <w:tc>
          <w:tcPr>
            <w:tcW w:w="1460" w:type="dxa"/>
            <w:vAlign w:val="bottom"/>
          </w:tcPr>
          <w:p>
            <w:pPr>
              <w:jc w:val="center"/>
              <w:spacing w:after="0"/>
              <w:rPr>
                <w:sz w:val="20"/>
                <w:szCs w:val="20"/>
                <w:color w:val="auto"/>
              </w:rPr>
            </w:pPr>
            <w:r>
              <w:rPr>
                <w:rFonts w:ascii="Arial" w:cs="Arial" w:eastAsia="Arial" w:hAnsi="Arial"/>
                <w:sz w:val="14"/>
                <w:szCs w:val="14"/>
                <w:color w:val="auto"/>
              </w:rPr>
              <w:t>03/10/2014</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6"/>
              </w:rPr>
              <w:t>10.16</w:t>
            </w:r>
          </w:p>
        </w:tc>
        <w:tc>
          <w:tcPr>
            <w:tcW w:w="40" w:type="dxa"/>
            <w:vAlign w:val="bottom"/>
          </w:tcPr>
          <w:p>
            <w:pPr>
              <w:spacing w:after="0"/>
              <w:rPr>
                <w:sz w:val="22"/>
                <w:szCs w:val="22"/>
                <w:color w:val="auto"/>
              </w:rPr>
            </w:pPr>
          </w:p>
        </w:tc>
      </w:tr>
      <w:tr>
        <w:trPr>
          <w:trHeight w:val="118"/>
        </w:trPr>
        <w:tc>
          <w:tcPr>
            <w:tcW w:w="1220" w:type="dxa"/>
            <w:vAlign w:val="bottom"/>
          </w:tcPr>
          <w:p>
            <w:pPr>
              <w:spacing w:after="0"/>
              <w:rPr>
                <w:sz w:val="10"/>
                <w:szCs w:val="10"/>
                <w:color w:val="auto"/>
              </w:rPr>
            </w:pPr>
          </w:p>
        </w:tc>
        <w:tc>
          <w:tcPr>
            <w:tcW w:w="302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registrant and each of its executive officers and</w:t>
              </w:r>
            </w:hyperlink>
          </w:p>
        </w:tc>
        <w:tc>
          <w:tcPr>
            <w:tcW w:w="100" w:type="dxa"/>
            <w:vAlign w:val="bottom"/>
            <w:gridSpan w:val="2"/>
          </w:tcPr>
          <w:p>
            <w:pPr>
              <w:spacing w:after="0"/>
              <w:rPr>
                <w:sz w:val="10"/>
                <w:szCs w:val="10"/>
                <w:color w:val="auto"/>
              </w:rPr>
            </w:pPr>
          </w:p>
        </w:tc>
        <w:tc>
          <w:tcPr>
            <w:tcW w:w="260" w:type="dxa"/>
            <w:vAlign w:val="bottom"/>
            <w:gridSpan w:val="10"/>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directors</w:t>
              </w:r>
            </w:hyperlink>
          </w:p>
        </w:tc>
        <w:tc>
          <w:tcPr>
            <w:tcW w:w="2400" w:type="dxa"/>
            <w:vAlign w:val="bottom"/>
            <w:tcBorders>
              <w:top w:val="single" w:sz="8" w:color="0000FF"/>
            </w:tcBorders>
            <w:gridSpan w:val="11"/>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260" w:type="dxa"/>
            <w:vAlign w:val="bottom"/>
            <w:gridSpan w:val="10"/>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10.18*</w:t>
            </w:r>
          </w:p>
        </w:tc>
        <w:tc>
          <w:tcPr>
            <w:tcW w:w="3000" w:type="dxa"/>
            <w:vAlign w:val="bottom"/>
            <w:tcBorders>
              <w:bottom w:val="single" w:sz="8" w:color="0000FF"/>
            </w:tcBorders>
            <w:gridSpan w:val="14"/>
          </w:tcPr>
          <w:p>
            <w:pPr>
              <w:spacing w:after="0"/>
              <w:rPr>
                <w:rFonts w:ascii="Arial" w:cs="Arial" w:eastAsia="Arial" w:hAnsi="Arial"/>
                <w:sz w:val="14"/>
                <w:szCs w:val="14"/>
                <w:color w:val="0000FF"/>
              </w:rPr>
            </w:pPr>
            <w:hyperlink r:id="rId198">
              <w:r>
                <w:rPr>
                  <w:rFonts w:ascii="Arial" w:cs="Arial" w:eastAsia="Arial" w:hAnsi="Arial"/>
                  <w:sz w:val="14"/>
                  <w:szCs w:val="14"/>
                  <w:color w:val="0000FF"/>
                </w:rPr>
                <w:t>Amended and Restated Non-Employee Director</w:t>
              </w:r>
            </w:hyperlink>
          </w:p>
        </w:tc>
        <w:tc>
          <w:tcPr>
            <w:tcW w:w="540" w:type="dxa"/>
            <w:vAlign w:val="bottom"/>
            <w:gridSpan w:val="16"/>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8/12/2024</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10.4</w:t>
            </w:r>
          </w:p>
        </w:tc>
        <w:tc>
          <w:tcPr>
            <w:tcW w:w="40" w:type="dxa"/>
            <w:vAlign w:val="bottom"/>
          </w:tcPr>
          <w:p>
            <w:pPr>
              <w:spacing w:after="0"/>
              <w:rPr>
                <w:sz w:val="24"/>
                <w:szCs w:val="24"/>
                <w:color w:val="auto"/>
              </w:rPr>
            </w:pPr>
          </w:p>
        </w:tc>
      </w:tr>
      <w:tr>
        <w:trPr>
          <w:trHeight w:val="118"/>
        </w:trPr>
        <w:tc>
          <w:tcPr>
            <w:tcW w:w="1220" w:type="dxa"/>
            <w:vAlign w:val="bottom"/>
          </w:tcPr>
          <w:p>
            <w:pPr>
              <w:spacing w:after="0"/>
              <w:rPr>
                <w:sz w:val="10"/>
                <w:szCs w:val="10"/>
                <w:color w:val="auto"/>
              </w:rPr>
            </w:pPr>
          </w:p>
        </w:tc>
        <w:tc>
          <w:tcPr>
            <w:tcW w:w="3120" w:type="dxa"/>
            <w:vAlign w:val="bottom"/>
            <w:tcBorders>
              <w:bottom w:val="single" w:sz="8" w:color="0000FF"/>
            </w:tcBorders>
            <w:gridSpan w:val="17"/>
          </w:tcPr>
          <w:p>
            <w:pPr>
              <w:spacing w:after="0" w:line="118" w:lineRule="exact"/>
              <w:rPr>
                <w:rFonts w:ascii="Arial" w:cs="Arial" w:eastAsia="Arial" w:hAnsi="Arial"/>
                <w:sz w:val="13"/>
                <w:szCs w:val="13"/>
                <w:color w:val="0000FF"/>
              </w:rPr>
            </w:pPr>
            <w:hyperlink r:id="rId198">
              <w:r>
                <w:rPr>
                  <w:rFonts w:ascii="Arial" w:cs="Arial" w:eastAsia="Arial" w:hAnsi="Arial"/>
                  <w:sz w:val="13"/>
                  <w:szCs w:val="13"/>
                  <w:color w:val="0000FF"/>
                </w:rPr>
                <w:t>Compensation Policy (as amended on April 2024)</w:t>
              </w:r>
            </w:hyperlink>
          </w:p>
        </w:tc>
        <w:tc>
          <w:tcPr>
            <w:tcW w:w="420" w:type="dxa"/>
            <w:vAlign w:val="bottom"/>
            <w:gridSpan w:val="1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89"/>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10.19(a)*</w:t>
            </w:r>
          </w:p>
        </w:tc>
        <w:tc>
          <w:tcPr>
            <w:tcW w:w="3540" w:type="dxa"/>
            <w:vAlign w:val="bottom"/>
            <w:gridSpan w:val="30"/>
          </w:tcPr>
          <w:p>
            <w:pPr>
              <w:spacing w:after="0"/>
              <w:rPr>
                <w:rFonts w:ascii="Arial" w:cs="Arial" w:eastAsia="Arial" w:hAnsi="Arial"/>
                <w:sz w:val="14"/>
                <w:szCs w:val="14"/>
                <w:color w:val="0000FF"/>
              </w:rPr>
            </w:pPr>
            <w:hyperlink r:id="rId199">
              <w:r>
                <w:rPr>
                  <w:rFonts w:ascii="Arial" w:cs="Arial" w:eastAsia="Arial" w:hAnsi="Arial"/>
                  <w:sz w:val="14"/>
                  <w:szCs w:val="14"/>
                  <w:color w:val="0000FF"/>
                </w:rPr>
                <w:t>Employment Agreement by and between Daré</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8-K</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rPr>
              <w:t>08/18/2017</w:t>
            </w:r>
          </w:p>
        </w:tc>
        <w:tc>
          <w:tcPr>
            <w:tcW w:w="2900" w:type="dxa"/>
            <w:vAlign w:val="bottom"/>
          </w:tcPr>
          <w:p>
            <w:pPr>
              <w:jc w:val="center"/>
              <w:ind w:right="1569"/>
              <w:spacing w:after="0"/>
              <w:rPr>
                <w:sz w:val="20"/>
                <w:szCs w:val="20"/>
                <w:color w:val="auto"/>
              </w:rPr>
            </w:pPr>
            <w:r>
              <w:rPr>
                <w:rFonts w:ascii="Arial" w:cs="Arial" w:eastAsia="Arial" w:hAnsi="Arial"/>
                <w:sz w:val="14"/>
                <w:szCs w:val="14"/>
                <w:color w:val="auto"/>
                <w:w w:val="95"/>
              </w:rPr>
              <w:t>10.1</w:t>
            </w:r>
          </w:p>
        </w:tc>
        <w:tc>
          <w:tcPr>
            <w:tcW w:w="40" w:type="dxa"/>
            <w:vAlign w:val="bottom"/>
          </w:tcPr>
          <w:p>
            <w:pPr>
              <w:spacing w:after="0"/>
              <w:rPr>
                <w:sz w:val="24"/>
                <w:szCs w:val="24"/>
                <w:color w:val="auto"/>
              </w:rPr>
            </w:pPr>
          </w:p>
        </w:tc>
      </w:tr>
      <w:tr>
        <w:trPr>
          <w:trHeight w:val="127"/>
        </w:trPr>
        <w:tc>
          <w:tcPr>
            <w:tcW w:w="1220" w:type="dxa"/>
            <w:vAlign w:val="bottom"/>
          </w:tcPr>
          <w:p>
            <w:pPr>
              <w:spacing w:after="0"/>
              <w:rPr>
                <w:sz w:val="11"/>
                <w:szCs w:val="11"/>
                <w:color w:val="auto"/>
              </w:rPr>
            </w:pPr>
          </w:p>
        </w:tc>
        <w:tc>
          <w:tcPr>
            <w:tcW w:w="2920" w:type="dxa"/>
            <w:vAlign w:val="bottom"/>
            <w:tcBorders>
              <w:top w:val="single" w:sz="8" w:color="0000FF"/>
            </w:tcBorders>
            <w:gridSpan w:val="12"/>
          </w:tcPr>
          <w:p>
            <w:pPr>
              <w:spacing w:after="0" w:line="127" w:lineRule="exact"/>
              <w:rPr>
                <w:rFonts w:ascii="Arial" w:cs="Arial" w:eastAsia="Arial" w:hAnsi="Arial"/>
                <w:sz w:val="14"/>
                <w:szCs w:val="14"/>
                <w:color w:val="0000FF"/>
                <w:w w:val="99"/>
              </w:rPr>
            </w:pPr>
            <w:hyperlink r:id="rId199">
              <w:r>
                <w:rPr>
                  <w:rFonts w:ascii="Arial" w:cs="Arial" w:eastAsia="Arial" w:hAnsi="Arial"/>
                  <w:sz w:val="14"/>
                  <w:szCs w:val="14"/>
                  <w:color w:val="0000FF"/>
                  <w:w w:val="99"/>
                </w:rPr>
                <w:t>Bioscience, Inc. and Sabrina Martucci Johnson</w:t>
              </w:r>
            </w:hyperlink>
          </w:p>
        </w:tc>
        <w:tc>
          <w:tcPr>
            <w:tcW w:w="620" w:type="dxa"/>
            <w:vAlign w:val="bottom"/>
            <w:gridSpan w:val="18"/>
          </w:tcPr>
          <w:p>
            <w:pPr>
              <w:ind w:left="60"/>
              <w:spacing w:after="0" w:line="127" w:lineRule="exact"/>
              <w:rPr>
                <w:rFonts w:ascii="Arial" w:cs="Arial" w:eastAsia="Arial" w:hAnsi="Arial"/>
                <w:sz w:val="14"/>
                <w:szCs w:val="14"/>
                <w:color w:val="0000FF"/>
              </w:rPr>
            </w:pPr>
            <w:hyperlink r:id="rId199">
              <w:r>
                <w:rPr>
                  <w:rFonts w:ascii="Arial" w:cs="Arial" w:eastAsia="Arial" w:hAnsi="Arial"/>
                  <w:sz w:val="14"/>
                  <w:szCs w:val="14"/>
                  <w:color w:val="0000FF"/>
                </w:rPr>
                <w:t>dated</w:t>
              </w:r>
            </w:hyperlink>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338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as of August 15, 2017</w:t>
              </w:r>
            </w:hyperlink>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724"/>
        </w:trPr>
        <w:tc>
          <w:tcPr>
            <w:tcW w:w="12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ind w:right="1049"/>
              <w:spacing w:after="0"/>
              <w:rPr>
                <w:sz w:val="20"/>
                <w:szCs w:val="20"/>
                <w:color w:val="auto"/>
              </w:rPr>
            </w:pPr>
            <w:r>
              <w:rPr>
                <w:rFonts w:ascii="Arial" w:cs="Arial" w:eastAsia="Arial" w:hAnsi="Arial"/>
                <w:sz w:val="14"/>
                <w:szCs w:val="14"/>
                <w:color w:val="auto"/>
              </w:rPr>
              <w:t>138</w:t>
            </w:r>
          </w:p>
        </w:tc>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1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1"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2"/>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10.19(b)*</w:t>
            </w:r>
          </w:p>
        </w:tc>
        <w:tc>
          <w:tcPr>
            <w:tcW w:w="3340" w:type="dxa"/>
            <w:vAlign w:val="bottom"/>
            <w:gridSpan w:val="21"/>
          </w:tcPr>
          <w:p>
            <w:pPr>
              <w:spacing w:after="0"/>
              <w:rPr>
                <w:rFonts w:ascii="Arial" w:cs="Arial" w:eastAsia="Arial" w:hAnsi="Arial"/>
                <w:sz w:val="14"/>
                <w:szCs w:val="14"/>
                <w:color w:val="0000FF"/>
              </w:rPr>
            </w:pPr>
            <w:hyperlink r:id="rId202">
              <w:r>
                <w:rPr>
                  <w:rFonts w:ascii="Arial" w:cs="Arial" w:eastAsia="Arial" w:hAnsi="Arial"/>
                  <w:sz w:val="14"/>
                  <w:szCs w:val="14"/>
                  <w:color w:val="0000FF"/>
                </w:rPr>
                <w:t>Amendment No. 1 to Employment Agreement</w:t>
              </w:r>
            </w:hyperlink>
          </w:p>
        </w:tc>
        <w:tc>
          <w:tcPr>
            <w:tcW w:w="820" w:type="dxa"/>
            <w:vAlign w:val="bottom"/>
          </w:tcPr>
          <w:p>
            <w:pPr>
              <w:jc w:val="center"/>
              <w:ind w:left="169"/>
              <w:spacing w:after="0"/>
              <w:rPr>
                <w:sz w:val="20"/>
                <w:szCs w:val="20"/>
                <w:color w:val="auto"/>
              </w:rPr>
            </w:pPr>
            <w:r>
              <w:rPr>
                <w:rFonts w:ascii="Arial" w:cs="Arial" w:eastAsia="Arial" w:hAnsi="Arial"/>
                <w:sz w:val="14"/>
                <w:szCs w:val="14"/>
                <w:color w:val="auto"/>
                <w:w w:val="96"/>
              </w:rPr>
              <w:t>10-Q</w:t>
            </w:r>
          </w:p>
        </w:tc>
        <w:tc>
          <w:tcPr>
            <w:tcW w:w="1500" w:type="dxa"/>
            <w:vAlign w:val="bottom"/>
          </w:tcPr>
          <w:p>
            <w:pPr>
              <w:jc w:val="center"/>
              <w:ind w:left="9"/>
              <w:spacing w:after="0"/>
              <w:rPr>
                <w:sz w:val="20"/>
                <w:szCs w:val="20"/>
                <w:color w:val="auto"/>
              </w:rPr>
            </w:pPr>
            <w:r>
              <w:rPr>
                <w:rFonts w:ascii="Arial" w:cs="Arial" w:eastAsia="Arial" w:hAnsi="Arial"/>
                <w:sz w:val="14"/>
                <w:szCs w:val="14"/>
                <w:color w:val="auto"/>
                <w:w w:val="98"/>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05/14/2020</w:t>
            </w:r>
          </w:p>
        </w:tc>
        <w:tc>
          <w:tcPr>
            <w:tcW w:w="2960" w:type="dxa"/>
            <w:vAlign w:val="bottom"/>
            <w:gridSpan w:val="2"/>
          </w:tcPr>
          <w:p>
            <w:pPr>
              <w:jc w:val="center"/>
              <w:ind w:right="1660"/>
              <w:spacing w:after="0"/>
              <w:rPr>
                <w:sz w:val="20"/>
                <w:szCs w:val="20"/>
                <w:color w:val="auto"/>
              </w:rPr>
            </w:pPr>
            <w:r>
              <w:rPr>
                <w:rFonts w:ascii="Arial" w:cs="Arial" w:eastAsia="Arial" w:hAnsi="Arial"/>
                <w:sz w:val="14"/>
                <w:szCs w:val="14"/>
                <w:color w:val="auto"/>
              </w:rPr>
              <w:t>10.13(b)</w:t>
            </w:r>
          </w:p>
        </w:tc>
      </w:tr>
      <w:tr>
        <w:trPr>
          <w:trHeight w:val="127"/>
        </w:trPr>
        <w:tc>
          <w:tcPr>
            <w:tcW w:w="1220" w:type="dxa"/>
            <w:vAlign w:val="bottom"/>
          </w:tcPr>
          <w:p>
            <w:pPr>
              <w:spacing w:after="0"/>
              <w:rPr>
                <w:sz w:val="11"/>
                <w:szCs w:val="11"/>
                <w:color w:val="auto"/>
              </w:rPr>
            </w:pPr>
          </w:p>
        </w:tc>
        <w:tc>
          <w:tcPr>
            <w:tcW w:w="2860" w:type="dxa"/>
            <w:vAlign w:val="bottom"/>
            <w:tcBorders>
              <w:top w:val="single" w:sz="8" w:color="0000FF"/>
            </w:tcBorders>
            <w:gridSpan w:val="11"/>
          </w:tcPr>
          <w:p>
            <w:pPr>
              <w:spacing w:after="0" w:line="127" w:lineRule="exact"/>
              <w:rPr>
                <w:rFonts w:ascii="Arial" w:cs="Arial" w:eastAsia="Arial" w:hAnsi="Arial"/>
                <w:sz w:val="14"/>
                <w:szCs w:val="14"/>
                <w:color w:val="0000FF"/>
              </w:rPr>
            </w:pPr>
            <w:hyperlink r:id="rId202">
              <w:r>
                <w:rPr>
                  <w:rFonts w:ascii="Arial" w:cs="Arial" w:eastAsia="Arial" w:hAnsi="Arial"/>
                  <w:sz w:val="14"/>
                  <w:szCs w:val="14"/>
                  <w:color w:val="0000FF"/>
                </w:rPr>
                <w:t>between Daré Bioscience, Inc. and Sabrina</w:t>
              </w:r>
            </w:hyperlink>
          </w:p>
        </w:tc>
        <w:tc>
          <w:tcPr>
            <w:tcW w:w="480" w:type="dxa"/>
            <w:vAlign w:val="bottom"/>
            <w:gridSpan w:val="10"/>
          </w:tcPr>
          <w:p>
            <w:pPr>
              <w:jc w:val="right"/>
              <w:ind w:right="40"/>
              <w:spacing w:after="0" w:line="127" w:lineRule="exact"/>
              <w:rPr>
                <w:rFonts w:ascii="Arial" w:cs="Arial" w:eastAsia="Arial" w:hAnsi="Arial"/>
                <w:sz w:val="14"/>
                <w:szCs w:val="14"/>
                <w:color w:val="0000FF"/>
                <w:w w:val="79"/>
              </w:rPr>
            </w:pPr>
            <w:hyperlink r:id="rId202">
              <w:r>
                <w:rPr>
                  <w:rFonts w:ascii="Arial" w:cs="Arial" w:eastAsia="Arial" w:hAnsi="Arial"/>
                  <w:sz w:val="14"/>
                  <w:szCs w:val="14"/>
                  <w:color w:val="0000FF"/>
                  <w:w w:val="79"/>
                </w:rPr>
                <w:t>Martucci</w:t>
              </w:r>
            </w:hyperlink>
          </w:p>
        </w:tc>
        <w:tc>
          <w:tcPr>
            <w:tcW w:w="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rPr>
            </w:pPr>
            <w:hyperlink r:id="rId202">
              <w:r>
                <w:rPr>
                  <w:rFonts w:ascii="Arial" w:cs="Arial" w:eastAsia="Arial" w:hAnsi="Arial"/>
                  <w:sz w:val="13"/>
                  <w:szCs w:val="13"/>
                  <w:color w:val="0000FF"/>
                </w:rPr>
                <w:t>Johnson dated as of March 9, 2020</w:t>
              </w:r>
            </w:hyperlink>
          </w:p>
        </w:tc>
        <w:tc>
          <w:tcPr>
            <w:tcW w:w="1060" w:type="dxa"/>
            <w:vAlign w:val="bottom"/>
            <w:tcBorders>
              <w:top w:val="single" w:sz="8" w:color="0000FF"/>
            </w:tcBorders>
            <w:gridSpan w:val="12"/>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89"/>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10.19(c)*</w:t>
            </w:r>
          </w:p>
        </w:tc>
        <w:tc>
          <w:tcPr>
            <w:tcW w:w="3340" w:type="dxa"/>
            <w:vAlign w:val="bottom"/>
            <w:gridSpan w:val="21"/>
          </w:tcPr>
          <w:p>
            <w:pPr>
              <w:spacing w:after="0"/>
              <w:rPr>
                <w:rFonts w:ascii="Arial" w:cs="Arial" w:eastAsia="Arial" w:hAnsi="Arial"/>
                <w:sz w:val="14"/>
                <w:szCs w:val="14"/>
                <w:color w:val="0000FF"/>
              </w:rPr>
            </w:pPr>
            <w:hyperlink r:id="rId203">
              <w:r>
                <w:rPr>
                  <w:rFonts w:ascii="Arial" w:cs="Arial" w:eastAsia="Arial" w:hAnsi="Arial"/>
                  <w:sz w:val="14"/>
                  <w:szCs w:val="14"/>
                  <w:color w:val="0000FF"/>
                </w:rPr>
                <w:t>Amendment No. 2 to Employment Agreement</w:t>
              </w:r>
            </w:hyperlink>
          </w:p>
        </w:tc>
        <w:tc>
          <w:tcPr>
            <w:tcW w:w="820" w:type="dxa"/>
            <w:vAlign w:val="bottom"/>
          </w:tcPr>
          <w:p>
            <w:pPr>
              <w:jc w:val="center"/>
              <w:ind w:left="169"/>
              <w:spacing w:after="0"/>
              <w:rPr>
                <w:sz w:val="20"/>
                <w:szCs w:val="20"/>
                <w:color w:val="auto"/>
              </w:rPr>
            </w:pPr>
            <w:r>
              <w:rPr>
                <w:rFonts w:ascii="Arial" w:cs="Arial" w:eastAsia="Arial" w:hAnsi="Arial"/>
                <w:sz w:val="14"/>
                <w:szCs w:val="14"/>
                <w:color w:val="auto"/>
                <w:w w:val="96"/>
              </w:rPr>
              <w:t>10-Q</w:t>
            </w:r>
          </w:p>
        </w:tc>
        <w:tc>
          <w:tcPr>
            <w:tcW w:w="1500" w:type="dxa"/>
            <w:vAlign w:val="bottom"/>
          </w:tcPr>
          <w:p>
            <w:pPr>
              <w:jc w:val="center"/>
              <w:ind w:left="9"/>
              <w:spacing w:after="0"/>
              <w:rPr>
                <w:sz w:val="20"/>
                <w:szCs w:val="20"/>
                <w:color w:val="auto"/>
              </w:rPr>
            </w:pPr>
            <w:r>
              <w:rPr>
                <w:rFonts w:ascii="Arial" w:cs="Arial" w:eastAsia="Arial" w:hAnsi="Arial"/>
                <w:sz w:val="14"/>
                <w:szCs w:val="14"/>
                <w:color w:val="auto"/>
                <w:w w:val="98"/>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08/12/2024</w:t>
            </w:r>
          </w:p>
        </w:tc>
        <w:tc>
          <w:tcPr>
            <w:tcW w:w="2920" w:type="dxa"/>
            <w:vAlign w:val="bottom"/>
          </w:tcPr>
          <w:p>
            <w:pPr>
              <w:jc w:val="center"/>
              <w:ind w:right="1549"/>
              <w:spacing w:after="0"/>
              <w:rPr>
                <w:sz w:val="20"/>
                <w:szCs w:val="20"/>
                <w:color w:val="auto"/>
              </w:rPr>
            </w:pPr>
            <w:r>
              <w:rPr>
                <w:rFonts w:ascii="Arial" w:cs="Arial" w:eastAsia="Arial" w:hAnsi="Arial"/>
                <w:sz w:val="14"/>
                <w:szCs w:val="14"/>
                <w:color w:val="auto"/>
                <w:w w:val="95"/>
              </w:rPr>
              <w:t>10.5</w:t>
            </w:r>
          </w:p>
        </w:tc>
        <w:tc>
          <w:tcPr>
            <w:tcW w:w="40" w:type="dxa"/>
            <w:vAlign w:val="bottom"/>
          </w:tcPr>
          <w:p>
            <w:pPr>
              <w:spacing w:after="0"/>
              <w:rPr>
                <w:sz w:val="24"/>
                <w:szCs w:val="24"/>
                <w:color w:val="auto"/>
              </w:rPr>
            </w:pPr>
          </w:p>
        </w:tc>
      </w:tr>
      <w:tr>
        <w:trPr>
          <w:trHeight w:val="127"/>
        </w:trPr>
        <w:tc>
          <w:tcPr>
            <w:tcW w:w="1220" w:type="dxa"/>
            <w:vAlign w:val="bottom"/>
          </w:tcPr>
          <w:p>
            <w:pPr>
              <w:spacing w:after="0"/>
              <w:rPr>
                <w:sz w:val="11"/>
                <w:szCs w:val="11"/>
                <w:color w:val="auto"/>
              </w:rPr>
            </w:pPr>
          </w:p>
        </w:tc>
        <w:tc>
          <w:tcPr>
            <w:tcW w:w="2860" w:type="dxa"/>
            <w:vAlign w:val="bottom"/>
            <w:tcBorders>
              <w:top w:val="single" w:sz="8" w:color="0000FF"/>
            </w:tcBorders>
            <w:gridSpan w:val="11"/>
          </w:tcPr>
          <w:p>
            <w:pPr>
              <w:spacing w:after="0" w:line="127" w:lineRule="exact"/>
              <w:rPr>
                <w:rFonts w:ascii="Arial" w:cs="Arial" w:eastAsia="Arial" w:hAnsi="Arial"/>
                <w:sz w:val="14"/>
                <w:szCs w:val="14"/>
                <w:color w:val="0000FF"/>
              </w:rPr>
            </w:pPr>
            <w:hyperlink r:id="rId203">
              <w:r>
                <w:rPr>
                  <w:rFonts w:ascii="Arial" w:cs="Arial" w:eastAsia="Arial" w:hAnsi="Arial"/>
                  <w:sz w:val="14"/>
                  <w:szCs w:val="14"/>
                  <w:color w:val="0000FF"/>
                </w:rPr>
                <w:t>between Daré Bioscience, Inc. and Sabrina</w:t>
              </w:r>
            </w:hyperlink>
          </w:p>
        </w:tc>
        <w:tc>
          <w:tcPr>
            <w:tcW w:w="480" w:type="dxa"/>
            <w:vAlign w:val="bottom"/>
            <w:gridSpan w:val="10"/>
          </w:tcPr>
          <w:p>
            <w:pPr>
              <w:jc w:val="right"/>
              <w:ind w:right="40"/>
              <w:spacing w:after="0" w:line="127" w:lineRule="exact"/>
              <w:rPr>
                <w:rFonts w:ascii="Arial" w:cs="Arial" w:eastAsia="Arial" w:hAnsi="Arial"/>
                <w:sz w:val="14"/>
                <w:szCs w:val="14"/>
                <w:color w:val="0000FF"/>
                <w:w w:val="79"/>
              </w:rPr>
            </w:pPr>
            <w:hyperlink r:id="rId203">
              <w:r>
                <w:rPr>
                  <w:rFonts w:ascii="Arial" w:cs="Arial" w:eastAsia="Arial" w:hAnsi="Arial"/>
                  <w:sz w:val="14"/>
                  <w:szCs w:val="14"/>
                  <w:color w:val="0000FF"/>
                  <w:w w:val="79"/>
                </w:rPr>
                <w:t>Martucci</w:t>
              </w:r>
            </w:hyperlink>
          </w:p>
        </w:tc>
        <w:tc>
          <w:tcPr>
            <w:tcW w:w="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Johnson, dated as of May 20, 2024</w:t>
              </w:r>
            </w:hyperlink>
          </w:p>
        </w:tc>
        <w:tc>
          <w:tcPr>
            <w:tcW w:w="1080" w:type="dxa"/>
            <w:vAlign w:val="bottom"/>
            <w:tcBorders>
              <w:top w:val="single" w:sz="8" w:color="0000FF"/>
            </w:tcBorders>
            <w:gridSpan w:val="13"/>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89"/>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10.20(a)*</w:t>
            </w:r>
          </w:p>
        </w:tc>
        <w:tc>
          <w:tcPr>
            <w:tcW w:w="3340" w:type="dxa"/>
            <w:vAlign w:val="bottom"/>
            <w:gridSpan w:val="21"/>
          </w:tcPr>
          <w:p>
            <w:pPr>
              <w:spacing w:after="0"/>
              <w:rPr>
                <w:rFonts w:ascii="Arial" w:cs="Arial" w:eastAsia="Arial" w:hAnsi="Arial"/>
                <w:sz w:val="14"/>
                <w:szCs w:val="14"/>
                <w:color w:val="0000FF"/>
              </w:rPr>
            </w:pPr>
            <w:hyperlink r:id="rId204">
              <w:r>
                <w:rPr>
                  <w:rFonts w:ascii="Arial" w:cs="Arial" w:eastAsia="Arial" w:hAnsi="Arial"/>
                  <w:sz w:val="14"/>
                  <w:szCs w:val="14"/>
                  <w:color w:val="0000FF"/>
                </w:rPr>
                <w:t>Employment Agreement by and between Daré</w:t>
              </w:r>
            </w:hyperlink>
          </w:p>
        </w:tc>
        <w:tc>
          <w:tcPr>
            <w:tcW w:w="820" w:type="dxa"/>
            <w:vAlign w:val="bottom"/>
          </w:tcPr>
          <w:p>
            <w:pPr>
              <w:jc w:val="center"/>
              <w:ind w:left="169"/>
              <w:spacing w:after="0"/>
              <w:rPr>
                <w:sz w:val="20"/>
                <w:szCs w:val="20"/>
                <w:color w:val="auto"/>
              </w:rPr>
            </w:pPr>
            <w:r>
              <w:rPr>
                <w:rFonts w:ascii="Arial" w:cs="Arial" w:eastAsia="Arial" w:hAnsi="Arial"/>
                <w:sz w:val="14"/>
                <w:szCs w:val="14"/>
                <w:color w:val="auto"/>
              </w:rPr>
              <w:t>8-K</w:t>
            </w:r>
          </w:p>
        </w:tc>
        <w:tc>
          <w:tcPr>
            <w:tcW w:w="1500" w:type="dxa"/>
            <w:vAlign w:val="bottom"/>
          </w:tcPr>
          <w:p>
            <w:pPr>
              <w:jc w:val="center"/>
              <w:ind w:left="9"/>
              <w:spacing w:after="0"/>
              <w:rPr>
                <w:sz w:val="20"/>
                <w:szCs w:val="20"/>
                <w:color w:val="auto"/>
              </w:rPr>
            </w:pPr>
            <w:r>
              <w:rPr>
                <w:rFonts w:ascii="Arial" w:cs="Arial" w:eastAsia="Arial" w:hAnsi="Arial"/>
                <w:sz w:val="14"/>
                <w:szCs w:val="14"/>
                <w:color w:val="auto"/>
                <w:w w:val="98"/>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08/18/2017</w:t>
            </w:r>
          </w:p>
        </w:tc>
        <w:tc>
          <w:tcPr>
            <w:tcW w:w="2920" w:type="dxa"/>
            <w:vAlign w:val="bottom"/>
          </w:tcPr>
          <w:p>
            <w:pPr>
              <w:jc w:val="center"/>
              <w:ind w:right="1549"/>
              <w:spacing w:after="0"/>
              <w:rPr>
                <w:sz w:val="20"/>
                <w:szCs w:val="20"/>
                <w:color w:val="auto"/>
              </w:rPr>
            </w:pPr>
            <w:r>
              <w:rPr>
                <w:rFonts w:ascii="Arial" w:cs="Arial" w:eastAsia="Arial" w:hAnsi="Arial"/>
                <w:sz w:val="14"/>
                <w:szCs w:val="14"/>
                <w:color w:val="auto"/>
                <w:w w:val="95"/>
              </w:rPr>
              <w:t>10.2</w:t>
            </w:r>
          </w:p>
        </w:tc>
        <w:tc>
          <w:tcPr>
            <w:tcW w:w="40" w:type="dxa"/>
            <w:vAlign w:val="bottom"/>
          </w:tcPr>
          <w:p>
            <w:pPr>
              <w:spacing w:after="0"/>
              <w:rPr>
                <w:sz w:val="24"/>
                <w:szCs w:val="24"/>
                <w:color w:val="auto"/>
              </w:rPr>
            </w:pPr>
          </w:p>
        </w:tc>
      </w:tr>
      <w:tr>
        <w:trPr>
          <w:trHeight w:val="127"/>
        </w:trPr>
        <w:tc>
          <w:tcPr>
            <w:tcW w:w="1220" w:type="dxa"/>
            <w:vAlign w:val="bottom"/>
          </w:tcPr>
          <w:p>
            <w:pPr>
              <w:spacing w:after="0"/>
              <w:rPr>
                <w:sz w:val="11"/>
                <w:szCs w:val="11"/>
                <w:color w:val="auto"/>
              </w:rPr>
            </w:pPr>
          </w:p>
        </w:tc>
        <w:tc>
          <w:tcPr>
            <w:tcW w:w="2900" w:type="dxa"/>
            <w:vAlign w:val="bottom"/>
            <w:tcBorders>
              <w:top w:val="single" w:sz="8" w:color="0000FF"/>
            </w:tcBorders>
            <w:gridSpan w:val="13"/>
          </w:tcPr>
          <w:p>
            <w:pPr>
              <w:spacing w:after="0" w:line="127" w:lineRule="exact"/>
              <w:rPr>
                <w:rFonts w:ascii="Arial" w:cs="Arial" w:eastAsia="Arial" w:hAnsi="Arial"/>
                <w:sz w:val="14"/>
                <w:szCs w:val="14"/>
                <w:color w:val="0000FF"/>
                <w:w w:val="98"/>
              </w:rPr>
            </w:pPr>
            <w:hyperlink r:id="rId204">
              <w:r>
                <w:rPr>
                  <w:rFonts w:ascii="Arial" w:cs="Arial" w:eastAsia="Arial" w:hAnsi="Arial"/>
                  <w:sz w:val="14"/>
                  <w:szCs w:val="14"/>
                  <w:color w:val="0000FF"/>
                  <w:w w:val="98"/>
                </w:rPr>
                <w:t>Bioscience, Inc. and Lisa Walters-Hoffert dated</w:t>
              </w:r>
            </w:hyperlink>
          </w:p>
        </w:tc>
        <w:tc>
          <w:tcPr>
            <w:tcW w:w="440" w:type="dxa"/>
            <w:vAlign w:val="bottom"/>
            <w:gridSpan w:val="8"/>
          </w:tcPr>
          <w:p>
            <w:pPr>
              <w:jc w:val="right"/>
              <w:ind w:right="40"/>
              <w:spacing w:after="0" w:line="127" w:lineRule="exact"/>
              <w:rPr>
                <w:rFonts w:ascii="Arial" w:cs="Arial" w:eastAsia="Arial" w:hAnsi="Arial"/>
                <w:sz w:val="14"/>
                <w:szCs w:val="14"/>
                <w:color w:val="0000FF"/>
              </w:rPr>
            </w:pPr>
            <w:hyperlink r:id="rId204">
              <w:r>
                <w:rPr>
                  <w:rFonts w:ascii="Arial" w:cs="Arial" w:eastAsia="Arial" w:hAnsi="Arial"/>
                  <w:sz w:val="14"/>
                  <w:szCs w:val="14"/>
                  <w:color w:val="0000FF"/>
                </w:rPr>
                <w:t>as of</w:t>
              </w:r>
            </w:hyperlink>
          </w:p>
        </w:tc>
        <w:tc>
          <w:tcPr>
            <w:tcW w:w="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10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204">
              <w:r>
                <w:rPr>
                  <w:rFonts w:ascii="Arial" w:cs="Arial" w:eastAsia="Arial" w:hAnsi="Arial"/>
                  <w:sz w:val="13"/>
                  <w:szCs w:val="13"/>
                  <w:color w:val="0000FF"/>
                </w:rPr>
                <w:t>August 15, 2017</w:t>
              </w:r>
            </w:hyperlink>
          </w:p>
        </w:tc>
        <w:tc>
          <w:tcPr>
            <w:tcW w:w="2260" w:type="dxa"/>
            <w:vAlign w:val="bottom"/>
            <w:tcBorders>
              <w:top w:val="single" w:sz="8" w:color="0000FF"/>
            </w:tcBorders>
            <w:gridSpan w:val="19"/>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10.20(b)*</w:t>
            </w:r>
          </w:p>
        </w:tc>
        <w:tc>
          <w:tcPr>
            <w:tcW w:w="3340" w:type="dxa"/>
            <w:vAlign w:val="bottom"/>
            <w:gridSpan w:val="21"/>
          </w:tcPr>
          <w:p>
            <w:pPr>
              <w:spacing w:after="0"/>
              <w:rPr>
                <w:rFonts w:ascii="Arial" w:cs="Arial" w:eastAsia="Arial" w:hAnsi="Arial"/>
                <w:sz w:val="14"/>
                <w:szCs w:val="14"/>
                <w:color w:val="0000FF"/>
              </w:rPr>
            </w:pPr>
            <w:hyperlink r:id="rId205">
              <w:r>
                <w:rPr>
                  <w:rFonts w:ascii="Arial" w:cs="Arial" w:eastAsia="Arial" w:hAnsi="Arial"/>
                  <w:sz w:val="14"/>
                  <w:szCs w:val="14"/>
                  <w:color w:val="0000FF"/>
                </w:rPr>
                <w:t>Amendment No. 1 to Employment Agreement</w:t>
              </w:r>
            </w:hyperlink>
          </w:p>
        </w:tc>
        <w:tc>
          <w:tcPr>
            <w:tcW w:w="820" w:type="dxa"/>
            <w:vAlign w:val="bottom"/>
          </w:tcPr>
          <w:p>
            <w:pPr>
              <w:jc w:val="center"/>
              <w:ind w:left="169"/>
              <w:spacing w:after="0"/>
              <w:rPr>
                <w:sz w:val="20"/>
                <w:szCs w:val="20"/>
                <w:color w:val="auto"/>
              </w:rPr>
            </w:pPr>
            <w:r>
              <w:rPr>
                <w:rFonts w:ascii="Arial" w:cs="Arial" w:eastAsia="Arial" w:hAnsi="Arial"/>
                <w:sz w:val="14"/>
                <w:szCs w:val="14"/>
                <w:color w:val="auto"/>
                <w:w w:val="96"/>
              </w:rPr>
              <w:t>10-Q</w:t>
            </w:r>
          </w:p>
        </w:tc>
        <w:tc>
          <w:tcPr>
            <w:tcW w:w="1500" w:type="dxa"/>
            <w:vAlign w:val="bottom"/>
          </w:tcPr>
          <w:p>
            <w:pPr>
              <w:jc w:val="center"/>
              <w:ind w:left="9"/>
              <w:spacing w:after="0"/>
              <w:rPr>
                <w:sz w:val="20"/>
                <w:szCs w:val="20"/>
                <w:color w:val="auto"/>
              </w:rPr>
            </w:pPr>
            <w:r>
              <w:rPr>
                <w:rFonts w:ascii="Arial" w:cs="Arial" w:eastAsia="Arial" w:hAnsi="Arial"/>
                <w:sz w:val="14"/>
                <w:szCs w:val="14"/>
                <w:color w:val="auto"/>
                <w:w w:val="98"/>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05/14/2020</w:t>
            </w:r>
          </w:p>
        </w:tc>
        <w:tc>
          <w:tcPr>
            <w:tcW w:w="2960" w:type="dxa"/>
            <w:vAlign w:val="bottom"/>
            <w:gridSpan w:val="2"/>
          </w:tcPr>
          <w:p>
            <w:pPr>
              <w:jc w:val="center"/>
              <w:ind w:right="1660"/>
              <w:spacing w:after="0"/>
              <w:rPr>
                <w:sz w:val="20"/>
                <w:szCs w:val="20"/>
                <w:color w:val="auto"/>
              </w:rPr>
            </w:pPr>
            <w:r>
              <w:rPr>
                <w:rFonts w:ascii="Arial" w:cs="Arial" w:eastAsia="Arial" w:hAnsi="Arial"/>
                <w:sz w:val="14"/>
                <w:szCs w:val="14"/>
                <w:color w:val="auto"/>
              </w:rPr>
              <w:t>10.14(b)</w:t>
            </w:r>
          </w:p>
        </w:tc>
      </w:tr>
      <w:tr>
        <w:trPr>
          <w:trHeight w:val="20"/>
        </w:trPr>
        <w:tc>
          <w:tcPr>
            <w:tcW w:w="12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340" w:type="dxa"/>
            <w:vAlign w:val="bottom"/>
            <w:gridSpan w:val="21"/>
          </w:tcPr>
          <w:p>
            <w:pPr>
              <w:spacing w:after="0" w:line="118" w:lineRule="exact"/>
              <w:rPr>
                <w:rFonts w:ascii="Arial" w:cs="Arial" w:eastAsia="Arial" w:hAnsi="Arial"/>
                <w:sz w:val="13"/>
                <w:szCs w:val="13"/>
                <w:color w:val="0000FF"/>
              </w:rPr>
            </w:pPr>
            <w:hyperlink r:id="rId205">
              <w:r>
                <w:rPr>
                  <w:rFonts w:ascii="Arial" w:cs="Arial" w:eastAsia="Arial" w:hAnsi="Arial"/>
                  <w:sz w:val="13"/>
                  <w:szCs w:val="13"/>
                  <w:color w:val="0000FF"/>
                </w:rPr>
                <w:t>between Daré Bioscience, Inc. and Lisa Walters-</w:t>
              </w:r>
            </w:hyperlink>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220" w:type="dxa"/>
            <w:vAlign w:val="bottom"/>
          </w:tcPr>
          <w:p>
            <w:pPr>
              <w:spacing w:after="0"/>
              <w:rPr>
                <w:sz w:val="10"/>
                <w:szCs w:val="10"/>
                <w:color w:val="auto"/>
              </w:rPr>
            </w:pPr>
          </w:p>
        </w:tc>
        <w:tc>
          <w:tcPr>
            <w:tcW w:w="212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205">
              <w:r>
                <w:rPr>
                  <w:rFonts w:ascii="Arial" w:cs="Arial" w:eastAsia="Arial" w:hAnsi="Arial"/>
                  <w:sz w:val="13"/>
                  <w:szCs w:val="13"/>
                  <w:color w:val="0000FF"/>
                </w:rPr>
                <w:t>Hoffert dated as of March 9, 2020</w:t>
              </w:r>
            </w:hyperlink>
          </w:p>
        </w:tc>
        <w:tc>
          <w:tcPr>
            <w:tcW w:w="940" w:type="dxa"/>
            <w:vAlign w:val="bottom"/>
            <w:tcBorders>
              <w:top w:val="single" w:sz="8" w:color="0000FF"/>
            </w:tcBorders>
            <w:gridSpan w:val="10"/>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9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10.21*</w:t>
            </w:r>
          </w:p>
        </w:tc>
        <w:tc>
          <w:tcPr>
            <w:tcW w:w="3340" w:type="dxa"/>
            <w:vAlign w:val="bottom"/>
            <w:gridSpan w:val="21"/>
          </w:tcPr>
          <w:p>
            <w:pPr>
              <w:spacing w:after="0"/>
              <w:rPr>
                <w:rFonts w:ascii="Arial" w:cs="Arial" w:eastAsia="Arial" w:hAnsi="Arial"/>
                <w:sz w:val="14"/>
                <w:szCs w:val="14"/>
                <w:color w:val="0000FF"/>
              </w:rPr>
            </w:pPr>
            <w:hyperlink r:id="rId206">
              <w:r>
                <w:rPr>
                  <w:rFonts w:ascii="Arial" w:cs="Arial" w:eastAsia="Arial" w:hAnsi="Arial"/>
                  <w:sz w:val="14"/>
                  <w:szCs w:val="14"/>
                  <w:color w:val="0000FF"/>
                </w:rPr>
                <w:t>Daré Bioscience, Inc. Change in Control Policy (as</w:t>
              </w:r>
            </w:hyperlink>
          </w:p>
        </w:tc>
        <w:tc>
          <w:tcPr>
            <w:tcW w:w="820" w:type="dxa"/>
            <w:vAlign w:val="bottom"/>
          </w:tcPr>
          <w:p>
            <w:pPr>
              <w:jc w:val="center"/>
              <w:ind w:left="169"/>
              <w:spacing w:after="0"/>
              <w:rPr>
                <w:sz w:val="20"/>
                <w:szCs w:val="20"/>
                <w:color w:val="auto"/>
              </w:rPr>
            </w:pPr>
            <w:r>
              <w:rPr>
                <w:rFonts w:ascii="Arial" w:cs="Arial" w:eastAsia="Arial" w:hAnsi="Arial"/>
                <w:sz w:val="14"/>
                <w:szCs w:val="14"/>
                <w:color w:val="auto"/>
                <w:w w:val="96"/>
              </w:rPr>
              <w:t>10-Q</w:t>
            </w:r>
          </w:p>
        </w:tc>
        <w:tc>
          <w:tcPr>
            <w:tcW w:w="1500" w:type="dxa"/>
            <w:vAlign w:val="bottom"/>
          </w:tcPr>
          <w:p>
            <w:pPr>
              <w:jc w:val="center"/>
              <w:ind w:left="9"/>
              <w:spacing w:after="0"/>
              <w:rPr>
                <w:sz w:val="20"/>
                <w:szCs w:val="20"/>
                <w:color w:val="auto"/>
              </w:rPr>
            </w:pPr>
            <w:r>
              <w:rPr>
                <w:rFonts w:ascii="Arial" w:cs="Arial" w:eastAsia="Arial" w:hAnsi="Arial"/>
                <w:sz w:val="14"/>
                <w:szCs w:val="14"/>
                <w:color w:val="auto"/>
                <w:w w:val="98"/>
              </w:rPr>
              <w:t>333-251599</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08/12/2024</w:t>
            </w:r>
          </w:p>
        </w:tc>
        <w:tc>
          <w:tcPr>
            <w:tcW w:w="2920" w:type="dxa"/>
            <w:vAlign w:val="bottom"/>
          </w:tcPr>
          <w:p>
            <w:pPr>
              <w:jc w:val="center"/>
              <w:ind w:right="1549"/>
              <w:spacing w:after="0"/>
              <w:rPr>
                <w:sz w:val="20"/>
                <w:szCs w:val="20"/>
                <w:color w:val="auto"/>
              </w:rPr>
            </w:pPr>
            <w:r>
              <w:rPr>
                <w:rFonts w:ascii="Arial" w:cs="Arial" w:eastAsia="Arial" w:hAnsi="Arial"/>
                <w:sz w:val="14"/>
                <w:szCs w:val="14"/>
                <w:color w:val="auto"/>
                <w:w w:val="95"/>
              </w:rPr>
              <w:t>10.6</w:t>
            </w:r>
          </w:p>
        </w:tc>
        <w:tc>
          <w:tcPr>
            <w:tcW w:w="40" w:type="dxa"/>
            <w:vAlign w:val="bottom"/>
          </w:tcPr>
          <w:p>
            <w:pPr>
              <w:spacing w:after="0"/>
              <w:rPr>
                <w:sz w:val="24"/>
                <w:szCs w:val="24"/>
                <w:color w:val="auto"/>
              </w:rPr>
            </w:pPr>
          </w:p>
        </w:tc>
      </w:tr>
      <w:tr>
        <w:trPr>
          <w:trHeight w:val="118"/>
        </w:trPr>
        <w:tc>
          <w:tcPr>
            <w:tcW w:w="1220" w:type="dxa"/>
            <w:vAlign w:val="bottom"/>
          </w:tcPr>
          <w:p>
            <w:pPr>
              <w:spacing w:after="0"/>
              <w:rPr>
                <w:sz w:val="10"/>
                <w:szCs w:val="10"/>
                <w:color w:val="auto"/>
              </w:rPr>
            </w:pPr>
          </w:p>
        </w:tc>
        <w:tc>
          <w:tcPr>
            <w:tcW w:w="31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06">
              <w:r>
                <w:rPr>
                  <w:rFonts w:ascii="Arial" w:cs="Arial" w:eastAsia="Arial" w:hAnsi="Arial"/>
                  <w:sz w:val="13"/>
                  <w:szCs w:val="13"/>
                  <w:color w:val="0000FF"/>
                </w:rPr>
                <w:t>amended on April 29, 2024)</w:t>
              </w:r>
            </w:hyperlink>
          </w:p>
        </w:tc>
        <w:tc>
          <w:tcPr>
            <w:tcW w:w="16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88"/>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OTHER EXHIBITS</w:t>
            </w:r>
          </w:p>
        </w:tc>
        <w:tc>
          <w:tcPr>
            <w:tcW w:w="1040" w:type="dxa"/>
            <w:vAlign w:val="bottom"/>
            <w:tcBorders>
              <w:top w:val="single" w:sz="8" w:color="0000FF"/>
              <w:bottom w:val="single" w:sz="8" w:color="auto"/>
            </w:tcBorders>
          </w:tcPr>
          <w:p>
            <w:pPr>
              <w:spacing w:after="0"/>
              <w:rPr>
                <w:sz w:val="24"/>
                <w:szCs w:val="24"/>
                <w:color w:val="auto"/>
              </w:rPr>
            </w:pPr>
          </w:p>
        </w:tc>
        <w:tc>
          <w:tcPr>
            <w:tcW w:w="140" w:type="dxa"/>
            <w:vAlign w:val="bottom"/>
            <w:tcBorders>
              <w:top w:val="single" w:sz="8" w:color="0000FF"/>
              <w:bottom w:val="single" w:sz="8" w:color="auto"/>
            </w:tcBorders>
          </w:tcPr>
          <w:p>
            <w:pPr>
              <w:spacing w:after="0"/>
              <w:rPr>
                <w:sz w:val="24"/>
                <w:szCs w:val="24"/>
                <w:color w:val="auto"/>
              </w:rPr>
            </w:pPr>
          </w:p>
        </w:tc>
        <w:tc>
          <w:tcPr>
            <w:tcW w:w="580" w:type="dxa"/>
            <w:vAlign w:val="bottom"/>
            <w:tcBorders>
              <w:top w:val="single" w:sz="8" w:color="0000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9"/>
        </w:trPr>
        <w:tc>
          <w:tcPr>
            <w:tcW w:w="1220" w:type="dxa"/>
            <w:vAlign w:val="bottom"/>
          </w:tcPr>
          <w:p>
            <w:pPr>
              <w:jc w:val="center"/>
              <w:ind w:right="109"/>
              <w:spacing w:after="0" w:line="139" w:lineRule="exact"/>
              <w:rPr>
                <w:sz w:val="20"/>
                <w:szCs w:val="20"/>
                <w:color w:val="auto"/>
              </w:rPr>
            </w:pPr>
            <w:r>
              <w:rPr>
                <w:rFonts w:ascii="Arial" w:cs="Arial" w:eastAsia="Arial" w:hAnsi="Arial"/>
                <w:sz w:val="14"/>
                <w:szCs w:val="14"/>
                <w:color w:val="auto"/>
              </w:rPr>
              <w:t>19.1</w:t>
            </w:r>
          </w:p>
        </w:tc>
        <w:tc>
          <w:tcPr>
            <w:tcW w:w="3340" w:type="dxa"/>
            <w:vAlign w:val="bottom"/>
            <w:tcBorders>
              <w:bottom w:val="single" w:sz="8" w:color="0000FF"/>
            </w:tcBorders>
            <w:gridSpan w:val="21"/>
          </w:tcPr>
          <w:p>
            <w:pPr>
              <w:spacing w:after="0" w:line="139" w:lineRule="exact"/>
              <w:rPr>
                <w:sz w:val="20"/>
                <w:szCs w:val="20"/>
                <w:color w:val="auto"/>
              </w:rPr>
            </w:pPr>
            <w:r>
              <w:rPr>
                <w:rFonts w:ascii="Arial" w:cs="Arial" w:eastAsia="Arial" w:hAnsi="Arial"/>
                <w:sz w:val="14"/>
                <w:szCs w:val="14"/>
                <w:color w:val="0000FF"/>
              </w:rPr>
              <w:t>Daré Bioscience, Inc. Amended and Restated Insider</w:t>
            </w:r>
          </w:p>
        </w:tc>
        <w:tc>
          <w:tcPr>
            <w:tcW w:w="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920" w:type="dxa"/>
            <w:vAlign w:val="bottom"/>
          </w:tcPr>
          <w:p>
            <w:pPr>
              <w:ind w:left="2100"/>
              <w:spacing w:after="0" w:line="139" w:lineRule="exact"/>
              <w:rPr>
                <w:sz w:val="20"/>
                <w:szCs w:val="20"/>
                <w:color w:val="auto"/>
              </w:rPr>
            </w:pPr>
            <w:r>
              <w:rPr>
                <w:rFonts w:ascii="Arial" w:cs="Arial" w:eastAsia="Arial" w:hAnsi="Arial"/>
                <w:sz w:val="14"/>
                <w:szCs w:val="14"/>
                <w:color w:val="auto"/>
              </w:rPr>
              <w:t>X</w:t>
            </w:r>
          </w:p>
        </w:tc>
        <w:tc>
          <w:tcPr>
            <w:tcW w:w="40" w:type="dxa"/>
            <w:vAlign w:val="bottom"/>
          </w:tcPr>
          <w:p>
            <w:pPr>
              <w:spacing w:after="0"/>
              <w:rPr>
                <w:sz w:val="12"/>
                <w:szCs w:val="12"/>
                <w:color w:val="auto"/>
              </w:rPr>
            </w:pPr>
          </w:p>
        </w:tc>
      </w:tr>
      <w:tr>
        <w:trPr>
          <w:trHeight w:val="118"/>
        </w:trPr>
        <w:tc>
          <w:tcPr>
            <w:tcW w:w="1220" w:type="dxa"/>
            <w:vAlign w:val="bottom"/>
          </w:tcPr>
          <w:p>
            <w:pPr>
              <w:spacing w:after="0"/>
              <w:rPr>
                <w:sz w:val="10"/>
                <w:szCs w:val="10"/>
                <w:color w:val="auto"/>
              </w:rPr>
            </w:pPr>
          </w:p>
        </w:tc>
        <w:tc>
          <w:tcPr>
            <w:tcW w:w="3340" w:type="dxa"/>
            <w:vAlign w:val="bottom"/>
            <w:gridSpan w:val="21"/>
          </w:tcPr>
          <w:p>
            <w:pPr>
              <w:spacing w:after="0" w:line="118" w:lineRule="exact"/>
              <w:rPr>
                <w:sz w:val="20"/>
                <w:szCs w:val="20"/>
                <w:color w:val="auto"/>
              </w:rPr>
            </w:pPr>
            <w:r>
              <w:rPr>
                <w:rFonts w:ascii="Arial" w:cs="Arial" w:eastAsia="Arial" w:hAnsi="Arial"/>
                <w:sz w:val="13"/>
                <w:szCs w:val="13"/>
                <w:color w:val="0000FF"/>
              </w:rPr>
              <w:t>Trading Policy (October 22, 2024)</w:t>
            </w: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9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21.1</w:t>
            </w:r>
          </w:p>
        </w:tc>
        <w:tc>
          <w:tcPr>
            <w:tcW w:w="212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Subsidiaries of the registrant</w:t>
            </w:r>
          </w:p>
        </w:tc>
        <w:tc>
          <w:tcPr>
            <w:tcW w:w="122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20"/>
        </w:trPr>
        <w:tc>
          <w:tcPr>
            <w:tcW w:w="12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8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23.1</w:t>
            </w:r>
          </w:p>
        </w:tc>
        <w:tc>
          <w:tcPr>
            <w:tcW w:w="3340" w:type="dxa"/>
            <w:vAlign w:val="bottom"/>
            <w:gridSpan w:val="21"/>
          </w:tcPr>
          <w:p>
            <w:pPr>
              <w:spacing w:after="0"/>
              <w:rPr>
                <w:sz w:val="20"/>
                <w:szCs w:val="20"/>
                <w:color w:val="auto"/>
              </w:rPr>
            </w:pPr>
            <w:r>
              <w:rPr>
                <w:rFonts w:ascii="Arial" w:cs="Arial" w:eastAsia="Arial" w:hAnsi="Arial"/>
                <w:sz w:val="14"/>
                <w:szCs w:val="14"/>
                <w:color w:val="0000FF"/>
              </w:rPr>
              <w:t>Consent of Haskell &amp; White LLP</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20"/>
        </w:trPr>
        <w:tc>
          <w:tcPr>
            <w:tcW w:w="12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88"/>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31.1</w:t>
            </w: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of Principal Executive Officer and</w:t>
            </w:r>
          </w:p>
        </w:tc>
        <w:tc>
          <w:tcPr>
            <w:tcW w:w="46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109"/>
        </w:trPr>
        <w:tc>
          <w:tcPr>
            <w:tcW w:w="1220" w:type="dxa"/>
            <w:vAlign w:val="bottom"/>
          </w:tcPr>
          <w:p>
            <w:pPr>
              <w:spacing w:after="0"/>
              <w:rPr>
                <w:sz w:val="9"/>
                <w:szCs w:val="9"/>
                <w:color w:val="auto"/>
              </w:rPr>
            </w:pPr>
          </w:p>
        </w:tc>
        <w:tc>
          <w:tcPr>
            <w:tcW w:w="3340" w:type="dxa"/>
            <w:vAlign w:val="bottom"/>
            <w:gridSpan w:val="21"/>
          </w:tcPr>
          <w:p>
            <w:pPr>
              <w:spacing w:after="0" w:line="107" w:lineRule="exact"/>
              <w:rPr>
                <w:sz w:val="20"/>
                <w:szCs w:val="20"/>
                <w:color w:val="auto"/>
              </w:rPr>
            </w:pPr>
            <w:r>
              <w:rPr>
                <w:rFonts w:ascii="Arial" w:cs="Arial" w:eastAsia="Arial" w:hAnsi="Arial"/>
                <w:sz w:val="12"/>
                <w:szCs w:val="12"/>
                <w:color w:val="0000FF"/>
              </w:rPr>
              <w:t>Principal Financial Officer pursuant to Rule 13a-</w:t>
            </w:r>
          </w:p>
        </w:tc>
        <w:tc>
          <w:tcPr>
            <w:tcW w:w="8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7"/>
        </w:trPr>
        <w:tc>
          <w:tcPr>
            <w:tcW w:w="1220" w:type="dxa"/>
            <w:vAlign w:val="bottom"/>
          </w:tcPr>
          <w:p>
            <w:pPr>
              <w:spacing w:after="0"/>
              <w:rPr>
                <w:sz w:val="11"/>
                <w:szCs w:val="11"/>
                <w:color w:val="auto"/>
              </w:rPr>
            </w:pPr>
          </w:p>
        </w:tc>
        <w:tc>
          <w:tcPr>
            <w:tcW w:w="3020" w:type="dxa"/>
            <w:vAlign w:val="bottom"/>
            <w:tcBorders>
              <w:top w:val="single" w:sz="8" w:color="0000FF"/>
            </w:tcBorders>
            <w:gridSpan w:val="15"/>
          </w:tcPr>
          <w:p>
            <w:pPr>
              <w:spacing w:after="0" w:line="127" w:lineRule="exact"/>
              <w:rPr>
                <w:sz w:val="20"/>
                <w:szCs w:val="20"/>
                <w:color w:val="auto"/>
              </w:rPr>
            </w:pPr>
            <w:r>
              <w:rPr>
                <w:rFonts w:ascii="Arial" w:cs="Arial" w:eastAsia="Arial" w:hAnsi="Arial"/>
                <w:sz w:val="14"/>
                <w:szCs w:val="14"/>
                <w:color w:val="0000FF"/>
              </w:rPr>
              <w:t>14(a)/15d-14(a) of the Securities Exchange Act</w:t>
            </w:r>
          </w:p>
        </w:tc>
        <w:tc>
          <w:tcPr>
            <w:tcW w:w="320" w:type="dxa"/>
            <w:vAlign w:val="bottom"/>
            <w:gridSpan w:val="6"/>
          </w:tcPr>
          <w:p>
            <w:pPr>
              <w:spacing w:after="0" w:line="127" w:lineRule="exact"/>
              <w:rPr>
                <w:sz w:val="20"/>
                <w:szCs w:val="20"/>
                <w:color w:val="auto"/>
              </w:rPr>
            </w:pPr>
            <w:r>
              <w:rPr>
                <w:rFonts w:ascii="Arial" w:cs="Arial" w:eastAsia="Arial" w:hAnsi="Arial"/>
                <w:sz w:val="14"/>
                <w:szCs w:val="14"/>
                <w:color w:val="0000FF"/>
              </w:rPr>
              <w:t>of</w:t>
            </w:r>
          </w:p>
        </w:tc>
        <w:tc>
          <w:tcPr>
            <w:tcW w:w="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1220" w:type="dxa"/>
            <w:vAlign w:val="bottom"/>
          </w:tcPr>
          <w:p>
            <w:pPr>
              <w:spacing w:after="0"/>
              <w:rPr>
                <w:sz w:val="11"/>
                <w:szCs w:val="11"/>
                <w:color w:val="auto"/>
              </w:rPr>
            </w:pPr>
          </w:p>
        </w:tc>
        <w:tc>
          <w:tcPr>
            <w:tcW w:w="118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w w:val="99"/>
              </w:rPr>
              <w:t>1934, as amended</w:t>
            </w:r>
          </w:p>
        </w:tc>
        <w:tc>
          <w:tcPr>
            <w:tcW w:w="1940" w:type="dxa"/>
            <w:vAlign w:val="bottom"/>
            <w:tcBorders>
              <w:top w:val="single" w:sz="8" w:color="0000FF"/>
            </w:tcBorders>
            <w:gridSpan w:val="16"/>
          </w:tcPr>
          <w:p>
            <w:pPr>
              <w:spacing w:after="0"/>
              <w:rPr>
                <w:sz w:val="11"/>
                <w:szCs w:val="11"/>
                <w:color w:val="auto"/>
              </w:rPr>
            </w:pPr>
          </w:p>
        </w:tc>
        <w:tc>
          <w:tcPr>
            <w:tcW w:w="22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35"/>
        </w:trPr>
        <w:tc>
          <w:tcPr>
            <w:tcW w:w="1220" w:type="dxa"/>
            <w:vAlign w:val="bottom"/>
          </w:tcPr>
          <w:p>
            <w:pPr>
              <w:jc w:val="center"/>
              <w:ind w:right="109"/>
              <w:spacing w:after="0"/>
              <w:rPr>
                <w:sz w:val="20"/>
                <w:szCs w:val="20"/>
                <w:color w:val="auto"/>
              </w:rPr>
            </w:pPr>
            <w:r>
              <w:rPr>
                <w:rFonts w:ascii="Arial" w:cs="Arial" w:eastAsia="Arial" w:hAnsi="Arial"/>
                <w:sz w:val="14"/>
                <w:szCs w:val="14"/>
                <w:color w:val="auto"/>
              </w:rPr>
              <w:t>32.1#</w:t>
            </w: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of Principal Executive Officer and</w:t>
            </w:r>
          </w:p>
        </w:tc>
        <w:tc>
          <w:tcPr>
            <w:tcW w:w="46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118"/>
        </w:trPr>
        <w:tc>
          <w:tcPr>
            <w:tcW w:w="1220" w:type="dxa"/>
            <w:vAlign w:val="bottom"/>
          </w:tcPr>
          <w:p>
            <w:pPr>
              <w:spacing w:after="0"/>
              <w:rPr>
                <w:sz w:val="10"/>
                <w:szCs w:val="10"/>
                <w:color w:val="auto"/>
              </w:rPr>
            </w:pPr>
          </w:p>
        </w:tc>
        <w:tc>
          <w:tcPr>
            <w:tcW w:w="3340" w:type="dxa"/>
            <w:vAlign w:val="bottom"/>
            <w:gridSpan w:val="21"/>
          </w:tcPr>
          <w:p>
            <w:pPr>
              <w:spacing w:after="0" w:line="118" w:lineRule="exact"/>
              <w:rPr>
                <w:sz w:val="20"/>
                <w:szCs w:val="20"/>
                <w:color w:val="auto"/>
              </w:rPr>
            </w:pPr>
            <w:r>
              <w:rPr>
                <w:rFonts w:ascii="Arial" w:cs="Arial" w:eastAsia="Arial" w:hAnsi="Arial"/>
                <w:sz w:val="13"/>
                <w:szCs w:val="13"/>
                <w:color w:val="0000FF"/>
              </w:rPr>
              <w:t>Principal Financial Officer pursuant to 18 U.S.C.</w:t>
            </w: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340" w:type="dxa"/>
            <w:vAlign w:val="bottom"/>
            <w:gridSpan w:val="21"/>
          </w:tcPr>
          <w:p>
            <w:pPr>
              <w:spacing w:after="0" w:line="118" w:lineRule="exact"/>
              <w:rPr>
                <w:sz w:val="20"/>
                <w:szCs w:val="20"/>
                <w:color w:val="auto"/>
              </w:rPr>
            </w:pPr>
            <w:r>
              <w:rPr>
                <w:rFonts w:ascii="Arial" w:cs="Arial" w:eastAsia="Arial" w:hAnsi="Arial"/>
                <w:sz w:val="13"/>
                <w:szCs w:val="13"/>
                <w:color w:val="0000FF"/>
              </w:rPr>
              <w:t>§1350, as adopted pursuant to Section 906 of the</w:t>
            </w: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180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Sarbanes-Oxley Act of 2002</w:t>
            </w:r>
          </w:p>
        </w:tc>
        <w:tc>
          <w:tcPr>
            <w:tcW w:w="1300" w:type="dxa"/>
            <w:vAlign w:val="bottom"/>
            <w:tcBorders>
              <w:top w:val="single" w:sz="8" w:color="0000FF"/>
            </w:tcBorders>
            <w:gridSpan w:val="13"/>
          </w:tcPr>
          <w:p>
            <w:pPr>
              <w:spacing w:after="0"/>
              <w:rPr>
                <w:sz w:val="11"/>
                <w:szCs w:val="11"/>
                <w:color w:val="auto"/>
              </w:rPr>
            </w:pPr>
          </w:p>
        </w:tc>
        <w:tc>
          <w:tcPr>
            <w:tcW w:w="240" w:type="dxa"/>
            <w:vAlign w:val="bottom"/>
            <w:gridSpan w:val="4"/>
          </w:tcPr>
          <w:p>
            <w:pPr>
              <w:spacing w:after="0"/>
              <w:rPr>
                <w:sz w:val="11"/>
                <w:szCs w:val="11"/>
                <w:color w:val="auto"/>
              </w:rPr>
            </w:pPr>
          </w:p>
        </w:tc>
        <w:tc>
          <w:tcPr>
            <w:tcW w:w="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8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97*</w:t>
            </w:r>
          </w:p>
        </w:tc>
        <w:tc>
          <w:tcPr>
            <w:tcW w:w="3340" w:type="dxa"/>
            <w:vAlign w:val="bottom"/>
            <w:gridSpan w:val="21"/>
          </w:tcPr>
          <w:p>
            <w:pPr>
              <w:spacing w:after="0"/>
              <w:rPr>
                <w:rFonts w:ascii="Arial" w:cs="Arial" w:eastAsia="Arial" w:hAnsi="Arial"/>
                <w:sz w:val="14"/>
                <w:szCs w:val="14"/>
                <w:color w:val="0000FF"/>
              </w:rPr>
            </w:pPr>
            <w:hyperlink r:id="rId207">
              <w:r>
                <w:rPr>
                  <w:rFonts w:ascii="Arial" w:cs="Arial" w:eastAsia="Arial" w:hAnsi="Arial"/>
                  <w:sz w:val="14"/>
                  <w:szCs w:val="14"/>
                  <w:color w:val="0000FF"/>
                </w:rPr>
                <w:t>Dare Bioscience, Inc. Policy on Recovery of</w:t>
              </w:r>
            </w:hyperlink>
          </w:p>
        </w:tc>
        <w:tc>
          <w:tcPr>
            <w:tcW w:w="820" w:type="dxa"/>
            <w:vAlign w:val="bottom"/>
          </w:tcPr>
          <w:p>
            <w:pPr>
              <w:ind w:left="200"/>
              <w:spacing w:after="0"/>
              <w:rPr>
                <w:sz w:val="20"/>
                <w:szCs w:val="20"/>
                <w:color w:val="auto"/>
              </w:rPr>
            </w:pPr>
            <w:r>
              <w:rPr>
                <w:rFonts w:ascii="Arial" w:cs="Arial" w:eastAsia="Arial" w:hAnsi="Arial"/>
                <w:sz w:val="14"/>
                <w:szCs w:val="14"/>
                <w:color w:val="auto"/>
              </w:rPr>
              <w:t>10-K</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1220" w:type="dxa"/>
            <w:vAlign w:val="bottom"/>
          </w:tcPr>
          <w:p>
            <w:pPr>
              <w:spacing w:after="0"/>
              <w:rPr>
                <w:sz w:val="10"/>
                <w:szCs w:val="10"/>
                <w:color w:val="auto"/>
              </w:rPr>
            </w:pPr>
          </w:p>
        </w:tc>
        <w:tc>
          <w:tcPr>
            <w:tcW w:w="27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Erroneously Awarded Compensation</w:t>
              </w:r>
            </w:hyperlink>
          </w:p>
        </w:tc>
        <w:tc>
          <w:tcPr>
            <w:tcW w:w="580" w:type="dxa"/>
            <w:vAlign w:val="bottom"/>
            <w:gridSpan w:val="11"/>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32"/>
        </w:trPr>
        <w:tc>
          <w:tcPr>
            <w:tcW w:w="1220" w:type="dxa"/>
            <w:vAlign w:val="bottom"/>
          </w:tcPr>
          <w:p>
            <w:pPr>
              <w:jc w:val="center"/>
              <w:ind w:right="129"/>
              <w:spacing w:after="0"/>
              <w:rPr>
                <w:sz w:val="20"/>
                <w:szCs w:val="20"/>
                <w:color w:val="auto"/>
              </w:rPr>
            </w:pPr>
            <w:r>
              <w:rPr>
                <w:rFonts w:ascii="Arial" w:cs="Arial" w:eastAsia="Arial" w:hAnsi="Arial"/>
                <w:sz w:val="14"/>
                <w:szCs w:val="14"/>
                <w:color w:val="auto"/>
                <w:w w:val="98"/>
              </w:rPr>
              <w:t>101.INS</w:t>
            </w:r>
          </w:p>
        </w:tc>
        <w:tc>
          <w:tcPr>
            <w:tcW w:w="230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auto"/>
              </w:rPr>
              <w:t>XBRL Instance Document</w:t>
            </w:r>
          </w:p>
        </w:tc>
        <w:tc>
          <w:tcPr>
            <w:tcW w:w="104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308"/>
        </w:trPr>
        <w:tc>
          <w:tcPr>
            <w:tcW w:w="1220" w:type="dxa"/>
            <w:vAlign w:val="bottom"/>
          </w:tcPr>
          <w:p>
            <w:pPr>
              <w:jc w:val="center"/>
              <w:ind w:right="129"/>
              <w:spacing w:after="0"/>
              <w:rPr>
                <w:sz w:val="20"/>
                <w:szCs w:val="20"/>
                <w:color w:val="auto"/>
              </w:rPr>
            </w:pPr>
            <w:r>
              <w:rPr>
                <w:rFonts w:ascii="Arial" w:cs="Arial" w:eastAsia="Arial" w:hAnsi="Arial"/>
                <w:sz w:val="14"/>
                <w:szCs w:val="14"/>
                <w:color w:val="auto"/>
              </w:rPr>
              <w:t>101.SCH</w:t>
            </w:r>
          </w:p>
        </w:tc>
        <w:tc>
          <w:tcPr>
            <w:tcW w:w="3340" w:type="dxa"/>
            <w:vAlign w:val="bottom"/>
            <w:gridSpan w:val="21"/>
          </w:tcPr>
          <w:p>
            <w:pPr>
              <w:spacing w:after="0"/>
              <w:rPr>
                <w:sz w:val="20"/>
                <w:szCs w:val="20"/>
                <w:color w:val="auto"/>
              </w:rPr>
            </w:pPr>
            <w:r>
              <w:rPr>
                <w:rFonts w:ascii="Arial" w:cs="Arial" w:eastAsia="Arial" w:hAnsi="Arial"/>
                <w:sz w:val="14"/>
                <w:szCs w:val="14"/>
                <w:color w:val="auto"/>
              </w:rPr>
              <w:t>XBRL Taxonomy Extension Schema Document</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308"/>
        </w:trPr>
        <w:tc>
          <w:tcPr>
            <w:tcW w:w="1220" w:type="dxa"/>
            <w:vAlign w:val="bottom"/>
          </w:tcPr>
          <w:p>
            <w:pPr>
              <w:jc w:val="center"/>
              <w:ind w:right="129"/>
              <w:spacing w:after="0"/>
              <w:rPr>
                <w:sz w:val="20"/>
                <w:szCs w:val="20"/>
                <w:color w:val="auto"/>
              </w:rPr>
            </w:pPr>
            <w:r>
              <w:rPr>
                <w:rFonts w:ascii="Arial" w:cs="Arial" w:eastAsia="Arial" w:hAnsi="Arial"/>
                <w:sz w:val="14"/>
                <w:szCs w:val="14"/>
                <w:color w:val="auto"/>
                <w:w w:val="99"/>
              </w:rPr>
              <w:t>101.CAL</w:t>
            </w:r>
          </w:p>
        </w:tc>
        <w:tc>
          <w:tcPr>
            <w:tcW w:w="3340" w:type="dxa"/>
            <w:vAlign w:val="bottom"/>
            <w:gridSpan w:val="21"/>
          </w:tcPr>
          <w:p>
            <w:pPr>
              <w:spacing w:after="0"/>
              <w:rPr>
                <w:sz w:val="20"/>
                <w:szCs w:val="20"/>
                <w:color w:val="auto"/>
              </w:rPr>
            </w:pPr>
            <w:r>
              <w:rPr>
                <w:rFonts w:ascii="Arial" w:cs="Arial" w:eastAsia="Arial" w:hAnsi="Arial"/>
                <w:sz w:val="14"/>
                <w:szCs w:val="14"/>
                <w:color w:val="auto"/>
              </w:rPr>
              <w:t>XBRL Taxonomy Calculation Linkbase Document</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gridSpan w:val="2"/>
          </w:tcPr>
          <w:p>
            <w:pPr>
              <w:ind w:left="2100"/>
              <w:spacing w:after="0"/>
              <w:rPr>
                <w:sz w:val="20"/>
                <w:szCs w:val="20"/>
                <w:color w:val="auto"/>
              </w:rPr>
            </w:pPr>
            <w:r>
              <w:rPr>
                <w:rFonts w:ascii="Arial" w:cs="Arial" w:eastAsia="Arial" w:hAnsi="Arial"/>
                <w:sz w:val="14"/>
                <w:szCs w:val="14"/>
                <w:color w:val="auto"/>
              </w:rPr>
              <w:t>X</w:t>
            </w:r>
          </w:p>
        </w:tc>
      </w:tr>
      <w:tr>
        <w:trPr>
          <w:trHeight w:val="700"/>
        </w:trPr>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jc w:val="right"/>
              <w:ind w:right="1049"/>
              <w:spacing w:after="0"/>
              <w:rPr>
                <w:sz w:val="20"/>
                <w:szCs w:val="20"/>
                <w:color w:val="auto"/>
              </w:rPr>
            </w:pPr>
            <w:r>
              <w:rPr>
                <w:rFonts w:ascii="Arial" w:cs="Arial" w:eastAsia="Arial" w:hAnsi="Arial"/>
                <w:sz w:val="14"/>
                <w:szCs w:val="14"/>
                <w:color w:val="auto"/>
              </w:rPr>
              <w:t>139</w:t>
            </w:r>
          </w:p>
        </w:tc>
        <w:tc>
          <w:tcPr>
            <w:tcW w:w="1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1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1" w:right="319" w:bottom="1440" w:gutter="0" w:footer="0" w:header="0"/>
        </w:sectPr>
      </w:pPr>
    </w:p>
    <w:bookmarkStart w:id="141" w:name="page142"/>
    <w:bookmarkEnd w:id="141"/>
    <w:tbl>
      <w:tblPr>
        <w:tblLayout w:type="fixed"/>
        <w:tblInd w:w="240" w:type="dxa"/>
        <w:tblCellMar>
          <w:top w:w="0" w:type="dxa"/>
          <w:left w:w="0" w:type="dxa"/>
          <w:bottom w:w="0" w:type="dxa"/>
          <w:right w:w="0" w:type="dxa"/>
        </w:tblCellMar>
      </w:tblPr>
      <w:tr>
        <w:trPr>
          <w:trHeight w:val="161"/>
        </w:trPr>
        <w:tc>
          <w:tcPr>
            <w:tcW w:w="780" w:type="dxa"/>
            <w:vAlign w:val="bottom"/>
          </w:tcPr>
          <w:p>
            <w:pPr>
              <w:jc w:val="center"/>
              <w:ind w:right="149"/>
              <w:spacing w:after="0"/>
              <w:rPr>
                <w:sz w:val="20"/>
                <w:szCs w:val="20"/>
                <w:color w:val="auto"/>
              </w:rPr>
            </w:pPr>
            <w:r>
              <w:rPr>
                <w:rFonts w:ascii="Arial" w:cs="Arial" w:eastAsia="Arial" w:hAnsi="Arial"/>
                <w:sz w:val="14"/>
                <w:szCs w:val="14"/>
                <w:color w:val="auto"/>
              </w:rPr>
              <w:t>101.DEF</w:t>
            </w:r>
          </w:p>
        </w:tc>
        <w:tc>
          <w:tcPr>
            <w:tcW w:w="644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w:t>
            </w:r>
          </w:p>
        </w:tc>
        <w:tc>
          <w:tcPr>
            <w:tcW w:w="3040" w:type="dxa"/>
            <w:vAlign w:val="bottom"/>
          </w:tcPr>
          <w:p>
            <w:pPr>
              <w:ind w:left="2960"/>
              <w:spacing w:after="0"/>
              <w:rPr>
                <w:sz w:val="20"/>
                <w:szCs w:val="20"/>
                <w:color w:val="auto"/>
              </w:rPr>
            </w:pPr>
            <w:r>
              <w:rPr>
                <w:rFonts w:ascii="Arial" w:cs="Arial" w:eastAsia="Arial" w:hAnsi="Arial"/>
                <w:sz w:val="12"/>
                <w:szCs w:val="12"/>
                <w:color w:val="auto"/>
                <w:w w:val="74"/>
              </w:rPr>
              <w:t>X</w:t>
            </w:r>
          </w:p>
        </w:tc>
      </w:tr>
      <w:tr>
        <w:trPr>
          <w:trHeight w:val="186"/>
        </w:trPr>
        <w:tc>
          <w:tcPr>
            <w:tcW w:w="780" w:type="dxa"/>
            <w:vAlign w:val="bottom"/>
          </w:tcPr>
          <w:p>
            <w:pPr>
              <w:spacing w:after="0"/>
              <w:rPr>
                <w:sz w:val="16"/>
                <w:szCs w:val="16"/>
                <w:color w:val="auto"/>
              </w:rPr>
            </w:pPr>
          </w:p>
        </w:tc>
        <w:tc>
          <w:tcPr>
            <w:tcW w:w="6440" w:type="dxa"/>
            <w:vAlign w:val="bottom"/>
          </w:tcPr>
          <w:p>
            <w:pPr>
              <w:ind w:left="220"/>
              <w:spacing w:after="0"/>
              <w:rPr>
                <w:sz w:val="20"/>
                <w:szCs w:val="20"/>
                <w:color w:val="auto"/>
              </w:rPr>
            </w:pPr>
            <w:r>
              <w:rPr>
                <w:rFonts w:ascii="Arial" w:cs="Arial" w:eastAsia="Arial" w:hAnsi="Arial"/>
                <w:sz w:val="14"/>
                <w:szCs w:val="14"/>
                <w:color w:val="auto"/>
              </w:rPr>
              <w:t>Document</w:t>
            </w:r>
          </w:p>
        </w:tc>
        <w:tc>
          <w:tcPr>
            <w:tcW w:w="3040" w:type="dxa"/>
            <w:vAlign w:val="bottom"/>
          </w:tcPr>
          <w:p>
            <w:pPr>
              <w:spacing w:after="0"/>
              <w:rPr>
                <w:sz w:val="16"/>
                <w:szCs w:val="16"/>
                <w:color w:val="auto"/>
              </w:rPr>
            </w:pPr>
          </w:p>
        </w:tc>
      </w:tr>
      <w:tr>
        <w:trPr>
          <w:trHeight w:val="314"/>
        </w:trPr>
        <w:tc>
          <w:tcPr>
            <w:tcW w:w="780" w:type="dxa"/>
            <w:vAlign w:val="bottom"/>
          </w:tcPr>
          <w:p>
            <w:pPr>
              <w:jc w:val="center"/>
              <w:ind w:right="149"/>
              <w:spacing w:after="0"/>
              <w:rPr>
                <w:sz w:val="20"/>
                <w:szCs w:val="20"/>
                <w:color w:val="auto"/>
              </w:rPr>
            </w:pPr>
            <w:r>
              <w:rPr>
                <w:rFonts w:ascii="Arial" w:cs="Arial" w:eastAsia="Arial" w:hAnsi="Arial"/>
                <w:sz w:val="14"/>
                <w:szCs w:val="14"/>
                <w:color w:val="auto"/>
              </w:rPr>
              <w:t>101.LAB</w:t>
            </w:r>
          </w:p>
        </w:tc>
        <w:tc>
          <w:tcPr>
            <w:tcW w:w="6440" w:type="dxa"/>
            <w:vAlign w:val="bottom"/>
          </w:tcPr>
          <w:p>
            <w:pPr>
              <w:ind w:left="220"/>
              <w:spacing w:after="0"/>
              <w:rPr>
                <w:sz w:val="20"/>
                <w:szCs w:val="20"/>
                <w:color w:val="auto"/>
              </w:rPr>
            </w:pPr>
            <w:r>
              <w:rPr>
                <w:rFonts w:ascii="Arial" w:cs="Arial" w:eastAsia="Arial" w:hAnsi="Arial"/>
                <w:sz w:val="14"/>
                <w:szCs w:val="14"/>
                <w:color w:val="auto"/>
              </w:rPr>
              <w:t>XBRL Taxonomy Label Linkbase Document</w:t>
            </w:r>
          </w:p>
        </w:tc>
        <w:tc>
          <w:tcPr>
            <w:tcW w:w="3040" w:type="dxa"/>
            <w:vAlign w:val="bottom"/>
          </w:tcPr>
          <w:p>
            <w:pPr>
              <w:ind w:left="2960"/>
              <w:spacing w:after="0"/>
              <w:rPr>
                <w:sz w:val="20"/>
                <w:szCs w:val="20"/>
                <w:color w:val="auto"/>
              </w:rPr>
            </w:pPr>
            <w:r>
              <w:rPr>
                <w:rFonts w:ascii="Arial" w:cs="Arial" w:eastAsia="Arial" w:hAnsi="Arial"/>
                <w:sz w:val="12"/>
                <w:szCs w:val="12"/>
                <w:color w:val="auto"/>
                <w:w w:val="74"/>
              </w:rPr>
              <w:t>X</w:t>
            </w:r>
          </w:p>
        </w:tc>
      </w:tr>
      <w:tr>
        <w:trPr>
          <w:trHeight w:val="308"/>
        </w:trPr>
        <w:tc>
          <w:tcPr>
            <w:tcW w:w="780" w:type="dxa"/>
            <w:vAlign w:val="bottom"/>
          </w:tcPr>
          <w:p>
            <w:pPr>
              <w:jc w:val="center"/>
              <w:ind w:right="149"/>
              <w:spacing w:after="0"/>
              <w:rPr>
                <w:sz w:val="20"/>
                <w:szCs w:val="20"/>
                <w:color w:val="auto"/>
              </w:rPr>
            </w:pPr>
            <w:r>
              <w:rPr>
                <w:rFonts w:ascii="Arial" w:cs="Arial" w:eastAsia="Arial" w:hAnsi="Arial"/>
                <w:sz w:val="14"/>
                <w:szCs w:val="14"/>
                <w:color w:val="auto"/>
                <w:w w:val="99"/>
              </w:rPr>
              <w:t>101.PRE</w:t>
            </w:r>
          </w:p>
        </w:tc>
        <w:tc>
          <w:tcPr>
            <w:tcW w:w="6440" w:type="dxa"/>
            <w:vAlign w:val="bottom"/>
          </w:tcPr>
          <w:p>
            <w:pPr>
              <w:ind w:left="220"/>
              <w:spacing w:after="0"/>
              <w:rPr>
                <w:sz w:val="20"/>
                <w:szCs w:val="20"/>
                <w:color w:val="auto"/>
              </w:rPr>
            </w:pPr>
            <w:r>
              <w:rPr>
                <w:rFonts w:ascii="Arial" w:cs="Arial" w:eastAsia="Arial" w:hAnsi="Arial"/>
                <w:sz w:val="14"/>
                <w:szCs w:val="14"/>
                <w:color w:val="auto"/>
              </w:rPr>
              <w:t>XBRL Taxonomy Presentation Linkbase Document</w:t>
            </w:r>
          </w:p>
        </w:tc>
        <w:tc>
          <w:tcPr>
            <w:tcW w:w="3040" w:type="dxa"/>
            <w:vAlign w:val="bottom"/>
          </w:tcPr>
          <w:p>
            <w:pPr>
              <w:ind w:left="2960"/>
              <w:spacing w:after="0"/>
              <w:rPr>
                <w:sz w:val="20"/>
                <w:szCs w:val="20"/>
                <w:color w:val="auto"/>
              </w:rPr>
            </w:pPr>
            <w:r>
              <w:rPr>
                <w:rFonts w:ascii="Arial" w:cs="Arial" w:eastAsia="Arial" w:hAnsi="Arial"/>
                <w:sz w:val="12"/>
                <w:szCs w:val="12"/>
                <w:color w:val="auto"/>
                <w:w w:val="74"/>
              </w:rPr>
              <w:t>X</w:t>
            </w:r>
          </w:p>
        </w:tc>
      </w:tr>
      <w:tr>
        <w:trPr>
          <w:trHeight w:val="264"/>
        </w:trPr>
        <w:tc>
          <w:tcPr>
            <w:tcW w:w="780" w:type="dxa"/>
            <w:vAlign w:val="bottom"/>
          </w:tcPr>
          <w:p>
            <w:pPr>
              <w:jc w:val="center"/>
              <w:ind w:right="149"/>
              <w:spacing w:after="0"/>
              <w:rPr>
                <w:sz w:val="20"/>
                <w:szCs w:val="20"/>
                <w:color w:val="auto"/>
              </w:rPr>
            </w:pPr>
            <w:r>
              <w:rPr>
                <w:rFonts w:ascii="Arial" w:cs="Arial" w:eastAsia="Arial" w:hAnsi="Arial"/>
                <w:sz w:val="14"/>
                <w:szCs w:val="14"/>
                <w:color w:val="auto"/>
              </w:rPr>
              <w:t>104</w:t>
            </w:r>
          </w:p>
        </w:tc>
        <w:tc>
          <w:tcPr>
            <w:tcW w:w="6440" w:type="dxa"/>
            <w:vAlign w:val="bottom"/>
          </w:tcPr>
          <w:p>
            <w:pPr>
              <w:ind w:left="220"/>
              <w:spacing w:after="0"/>
              <w:rPr>
                <w:sz w:val="20"/>
                <w:szCs w:val="20"/>
                <w:color w:val="auto"/>
              </w:rPr>
            </w:pPr>
            <w:r>
              <w:rPr>
                <w:rFonts w:ascii="Arial" w:cs="Arial" w:eastAsia="Arial" w:hAnsi="Arial"/>
                <w:sz w:val="14"/>
                <w:szCs w:val="14"/>
                <w:color w:val="auto"/>
              </w:rPr>
              <w:t>Cover Page Interactive Data File (formatted as inline</w:t>
            </w:r>
          </w:p>
        </w:tc>
        <w:tc>
          <w:tcPr>
            <w:tcW w:w="3040" w:type="dxa"/>
            <w:vAlign w:val="bottom"/>
          </w:tcPr>
          <w:p>
            <w:pPr>
              <w:ind w:left="2960"/>
              <w:spacing w:after="0"/>
              <w:rPr>
                <w:sz w:val="20"/>
                <w:szCs w:val="20"/>
                <w:color w:val="auto"/>
              </w:rPr>
            </w:pPr>
            <w:r>
              <w:rPr>
                <w:rFonts w:ascii="Arial" w:cs="Arial" w:eastAsia="Arial" w:hAnsi="Arial"/>
                <w:sz w:val="12"/>
                <w:szCs w:val="12"/>
                <w:color w:val="auto"/>
                <w:w w:val="74"/>
              </w:rPr>
              <w:t>X</w:t>
            </w:r>
          </w:p>
        </w:tc>
      </w:tr>
      <w:tr>
        <w:trPr>
          <w:trHeight w:val="186"/>
        </w:trPr>
        <w:tc>
          <w:tcPr>
            <w:tcW w:w="780" w:type="dxa"/>
            <w:vAlign w:val="bottom"/>
          </w:tcPr>
          <w:p>
            <w:pPr>
              <w:spacing w:after="0"/>
              <w:rPr>
                <w:sz w:val="16"/>
                <w:szCs w:val="16"/>
                <w:color w:val="auto"/>
              </w:rPr>
            </w:pPr>
          </w:p>
        </w:tc>
        <w:tc>
          <w:tcPr>
            <w:tcW w:w="6440" w:type="dxa"/>
            <w:vAlign w:val="bottom"/>
          </w:tcPr>
          <w:p>
            <w:pPr>
              <w:ind w:left="220"/>
              <w:spacing w:after="0"/>
              <w:rPr>
                <w:sz w:val="20"/>
                <w:szCs w:val="20"/>
                <w:color w:val="auto"/>
              </w:rPr>
            </w:pPr>
            <w:r>
              <w:rPr>
                <w:rFonts w:ascii="Arial" w:cs="Arial" w:eastAsia="Arial" w:hAnsi="Arial"/>
                <w:sz w:val="14"/>
                <w:szCs w:val="14"/>
                <w:color w:val="auto"/>
              </w:rPr>
              <w:t>XBRL and contained in Exhibit 101)</w:t>
            </w:r>
          </w:p>
        </w:tc>
        <w:tc>
          <w:tcPr>
            <w:tcW w:w="3040" w:type="dxa"/>
            <w:vAlign w:val="bottom"/>
          </w:tcPr>
          <w:p>
            <w:pPr>
              <w:spacing w:after="0"/>
              <w:rPr>
                <w:sz w:val="16"/>
                <w:szCs w:val="16"/>
                <w:color w:val="auto"/>
              </w:rPr>
            </w:pPr>
          </w:p>
        </w:tc>
      </w:tr>
    </w:tbl>
    <w:p>
      <w:pPr>
        <w:spacing w:after="0" w:line="128" w:lineRule="exact"/>
        <w:rPr>
          <w:sz w:val="20"/>
          <w:szCs w:val="20"/>
          <w:color w:val="auto"/>
        </w:rPr>
      </w:pPr>
    </w:p>
    <w:p>
      <w:pPr>
        <w:ind w:left="1240" w:right="160" w:hanging="760"/>
        <w:spacing w:after="0" w:line="242" w:lineRule="auto"/>
        <w:tabs>
          <w:tab w:leader="none" w:pos="1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Confidential treatment has been requested or granted to certain confidential information contained in this exhibit.</w:t>
      </w:r>
    </w:p>
    <w:p>
      <w:pPr>
        <w:spacing w:after="0" w:line="25" w:lineRule="exact"/>
        <w:rPr>
          <w:sz w:val="20"/>
          <w:szCs w:val="20"/>
          <w:color w:val="auto"/>
        </w:rPr>
      </w:pPr>
    </w:p>
    <w:p>
      <w:pPr>
        <w:ind w:left="1240" w:right="180" w:hanging="762"/>
        <w:spacing w:after="0" w:line="237" w:lineRule="auto"/>
        <w:tabs>
          <w:tab w:leader="none" w:pos="1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 601(b)(10). The omitted information is not material and would likely cause competitive harm to the Company if publicly disclosed.</w:t>
      </w:r>
    </w:p>
    <w:p>
      <w:pPr>
        <w:spacing w:after="0" w:line="5" w:lineRule="exact"/>
        <w:rPr>
          <w:sz w:val="20"/>
          <w:szCs w:val="20"/>
          <w:color w:val="auto"/>
        </w:rPr>
      </w:pPr>
    </w:p>
    <w:p>
      <w:pPr>
        <w:ind w:left="1240" w:hanging="748"/>
        <w:spacing w:after="0"/>
        <w:tabs>
          <w:tab w:leader="none" w:pos="1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5" w:lineRule="exact"/>
        <w:rPr>
          <w:sz w:val="20"/>
          <w:szCs w:val="20"/>
          <w:color w:val="auto"/>
        </w:rPr>
      </w:pPr>
    </w:p>
    <w:p>
      <w:pPr>
        <w:ind w:left="1240" w:hanging="760"/>
        <w:spacing w:after="0" w:line="226" w:lineRule="auto"/>
        <w:tabs>
          <w:tab w:leader="none" w:pos="12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1" w:right="37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color w:val="auto"/>
        </w:rPr>
        <w:t>SIGNATURES</w:t>
      </w:r>
    </w:p>
    <w:p>
      <w:pPr>
        <w:spacing w:after="0" w:line="157"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2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Daré Bioscience, Inc.</w:t>
            </w:r>
          </w:p>
        </w:tc>
      </w:tr>
      <w:tr>
        <w:trPr>
          <w:trHeight w:val="184"/>
        </w:trPr>
        <w:tc>
          <w:tcPr>
            <w:tcW w:w="6220" w:type="dxa"/>
            <w:vAlign w:val="bottom"/>
          </w:tcPr>
          <w:p>
            <w:pPr>
              <w:ind w:left="5260"/>
              <w:spacing w:after="0"/>
              <w:rPr>
                <w:sz w:val="20"/>
                <w:szCs w:val="20"/>
                <w:color w:val="auto"/>
              </w:rPr>
            </w:pPr>
            <w:r>
              <w:rPr>
                <w:rFonts w:ascii="Arial" w:cs="Arial" w:eastAsia="Arial" w:hAnsi="Arial"/>
                <w:sz w:val="14"/>
                <w:szCs w:val="14"/>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SABRINA MARTUCCI JOHNSON</w:t>
            </w:r>
          </w:p>
        </w:tc>
      </w:tr>
      <w:tr>
        <w:trPr>
          <w:trHeight w:val="177"/>
        </w:trPr>
        <w:tc>
          <w:tcPr>
            <w:tcW w:w="6220" w:type="dxa"/>
            <w:vAlign w:val="bottom"/>
          </w:tcPr>
          <w:p>
            <w:pPr>
              <w:spacing w:after="0"/>
              <w:rPr>
                <w:sz w:val="20"/>
                <w:szCs w:val="20"/>
                <w:color w:val="auto"/>
              </w:rPr>
            </w:pPr>
            <w:r>
              <w:rPr>
                <w:rFonts w:ascii="Arial" w:cs="Arial" w:eastAsia="Arial" w:hAnsi="Arial"/>
                <w:sz w:val="14"/>
                <w:szCs w:val="14"/>
                <w:color w:val="auto"/>
              </w:rPr>
              <w:t>Date: March 31, 2025</w:t>
            </w:r>
          </w:p>
        </w:tc>
        <w:tc>
          <w:tcPr>
            <w:tcW w:w="504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bl>
    <w:p>
      <w:pPr>
        <w:spacing w:after="0" w:line="1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140" w:type="dxa"/>
            <w:vAlign w:val="bottom"/>
          </w:tcPr>
          <w:p>
            <w:pPr>
              <w:spacing w:after="0"/>
              <w:rPr>
                <w:sz w:val="14"/>
                <w:szCs w:val="1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Title</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SABRINA MARTUCCI JOHNSON</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40" w:type="dxa"/>
            <w:vAlign w:val="bottom"/>
            <w:vMerge w:val="restart"/>
          </w:tcPr>
          <w:p>
            <w:pPr>
              <w:spacing w:after="0"/>
              <w:rPr>
                <w:sz w:val="6"/>
                <w:szCs w:val="6"/>
                <w:color w:val="auto"/>
              </w:rPr>
            </w:pPr>
          </w:p>
        </w:tc>
        <w:tc>
          <w:tcPr>
            <w:tcW w:w="4540" w:type="dxa"/>
            <w:vAlign w:val="bottom"/>
            <w:gridSpan w:val="2"/>
            <w:vMerge w:val="restart"/>
          </w:tcPr>
          <w:p>
            <w:pPr>
              <w:spacing w:after="0"/>
              <w:rPr>
                <w:sz w:val="20"/>
                <w:szCs w:val="20"/>
                <w:color w:val="auto"/>
              </w:rPr>
            </w:pPr>
            <w:r>
              <w:rPr>
                <w:rFonts w:ascii="Arial" w:cs="Arial" w:eastAsia="Arial" w:hAnsi="Arial"/>
                <w:sz w:val="14"/>
                <w:szCs w:val="14"/>
                <w:color w:val="auto"/>
              </w:rPr>
              <w:t>(Principal Executive Officer and Principal Financial Officer) and Director</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Sabrina Martucci Johnson</w:t>
            </w:r>
          </w:p>
        </w:tc>
        <w:tc>
          <w:tcPr>
            <w:tcW w:w="140" w:type="dxa"/>
            <w:vAlign w:val="bottom"/>
            <w:vMerge w:val="continue"/>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MARDEE HARING-LAYTON</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Chief Accounting Officer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MarDee Haring-Layton</w:t>
            </w:r>
          </w:p>
        </w:tc>
        <w:tc>
          <w:tcPr>
            <w:tcW w:w="14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(Principal Accounting Officer)</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WILLIAM H. RASTETTER</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Chairman of the Board and Director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William H. Rastetter, Ph.D.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JESSICA D. GROSSMAN</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Jessica D. Grossman, M.D.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SUSAN L. KELLEY</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Susan L. Kelley, M.D.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GREGORY W. MATZ</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Gregory W. Matz, CPA</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ROBIN STEELE</w:t>
            </w:r>
          </w:p>
        </w:tc>
        <w:tc>
          <w:tcPr>
            <w:tcW w:w="1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Robin Steele, J.D., L.L.M.</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680" w:type="dxa"/>
            <w:vAlign w:val="bottom"/>
            <w:gridSpan w:val="3"/>
          </w:tcPr>
          <w:p>
            <w:pPr>
              <w:jc w:val="right"/>
              <w:ind w:right="3340"/>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rPr>
              <w:t>Page</w:t>
            </w:r>
          </w:p>
        </w:tc>
      </w:tr>
      <w:tr>
        <w:trPr>
          <w:trHeight w:val="135"/>
        </w:trPr>
        <w:tc>
          <w:tcPr>
            <w:tcW w:w="20" w:type="dxa"/>
            <w:vAlign w:val="bottom"/>
          </w:tcPr>
          <w:p>
            <w:pPr>
              <w:spacing w:after="0"/>
              <w:rPr>
                <w:sz w:val="11"/>
                <w:szCs w:val="11"/>
                <w:color w:val="auto"/>
              </w:rPr>
            </w:pPr>
          </w:p>
        </w:tc>
        <w:tc>
          <w:tcPr>
            <w:tcW w:w="10220" w:type="dxa"/>
            <w:vAlign w:val="bottom"/>
            <w:gridSpan w:val="7"/>
          </w:tcPr>
          <w:p>
            <w:pPr>
              <w:spacing w:after="0" w:line="115" w:lineRule="exact"/>
              <w:rPr>
                <w:sz w:val="20"/>
                <w:szCs w:val="20"/>
                <w:color w:val="auto"/>
              </w:rPr>
            </w:pPr>
            <w:r>
              <w:rPr>
                <w:rFonts w:ascii="Arial" w:cs="Arial" w:eastAsia="Arial" w:hAnsi="Arial"/>
                <w:sz w:val="13"/>
                <w:szCs w:val="13"/>
                <w:color w:val="0000FF"/>
              </w:rPr>
              <w:t xml:space="preserve">Report of Independent Registered Public Accounting Firm </w:t>
            </w:r>
            <w:r>
              <w:rPr>
                <w:rFonts w:ascii="Arial" w:cs="Arial" w:eastAsia="Arial" w:hAnsi="Arial"/>
                <w:sz w:val="13"/>
                <w:szCs w:val="13"/>
                <w:color w:val="000000"/>
              </w:rPr>
              <w:t>(PCAOB ID 200)</w:t>
            </w:r>
          </w:p>
        </w:tc>
        <w:tc>
          <w:tcPr>
            <w:tcW w:w="420" w:type="dxa"/>
            <w:vAlign w:val="bottom"/>
          </w:tcPr>
          <w:p>
            <w:pPr>
              <w:spacing w:after="0"/>
              <w:rPr>
                <w:sz w:val="11"/>
                <w:szCs w:val="11"/>
                <w:color w:val="auto"/>
              </w:rPr>
            </w:pPr>
          </w:p>
        </w:tc>
        <w:tc>
          <w:tcPr>
            <w:tcW w:w="620" w:type="dxa"/>
            <w:vAlign w:val="bottom"/>
            <w:gridSpan w:val="2"/>
          </w:tcPr>
          <w:p>
            <w:pPr>
              <w:jc w:val="center"/>
              <w:ind w:right="420"/>
              <w:spacing w:after="0" w:line="118" w:lineRule="exact"/>
              <w:rPr>
                <w:sz w:val="20"/>
                <w:szCs w:val="20"/>
                <w:color w:val="auto"/>
              </w:rPr>
            </w:pPr>
            <w:r>
              <w:rPr>
                <w:rFonts w:ascii="Arial" w:cs="Arial" w:eastAsia="Arial" w:hAnsi="Arial"/>
                <w:sz w:val="13"/>
                <w:szCs w:val="13"/>
                <w:color w:val="0000FF"/>
              </w:rPr>
              <w:t>F-2</w:t>
            </w:r>
          </w:p>
        </w:tc>
      </w:tr>
      <w:tr>
        <w:trPr>
          <w:trHeight w:val="21"/>
        </w:trPr>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gridSpan w:val="3"/>
          </w:tcPr>
          <w:p>
            <w:pPr>
              <w:spacing w:after="0"/>
              <w:rPr>
                <w:sz w:val="20"/>
                <w:szCs w:val="20"/>
                <w:color w:val="auto"/>
              </w:rPr>
            </w:pPr>
            <w:r>
              <w:rPr>
                <w:rFonts w:ascii="Arial" w:cs="Arial" w:eastAsia="Arial" w:hAnsi="Arial"/>
                <w:sz w:val="14"/>
                <w:szCs w:val="14"/>
                <w:color w:val="0000FF"/>
              </w:rPr>
              <w:t>Consolidated Balance Sheets as of December 31, 2024 and 2023</w:t>
            </w:r>
          </w:p>
        </w:tc>
        <w:tc>
          <w:tcPr>
            <w:tcW w:w="6100" w:type="dxa"/>
            <w:vAlign w:val="bottom"/>
            <w:gridSpan w:val="4"/>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jc w:val="center"/>
              <w:ind w:right="420"/>
              <w:spacing w:after="0"/>
              <w:rPr>
                <w:sz w:val="20"/>
                <w:szCs w:val="20"/>
                <w:color w:val="auto"/>
              </w:rPr>
            </w:pPr>
            <w:r>
              <w:rPr>
                <w:rFonts w:ascii="Arial" w:cs="Arial" w:eastAsia="Arial" w:hAnsi="Arial"/>
                <w:sz w:val="14"/>
                <w:szCs w:val="14"/>
                <w:color w:val="0000FF"/>
                <w:w w:val="95"/>
              </w:rPr>
              <w:t>F-4</w:t>
            </w: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280" w:type="dxa"/>
            <w:vAlign w:val="bottom"/>
            <w:gridSpan w:val="6"/>
          </w:tcPr>
          <w:p>
            <w:pPr>
              <w:spacing w:after="0"/>
              <w:rPr>
                <w:sz w:val="20"/>
                <w:szCs w:val="20"/>
                <w:color w:val="auto"/>
              </w:rPr>
            </w:pPr>
            <w:r>
              <w:rPr>
                <w:rFonts w:ascii="Arial" w:cs="Arial" w:eastAsia="Arial" w:hAnsi="Arial"/>
                <w:sz w:val="14"/>
                <w:szCs w:val="14"/>
                <w:color w:val="0000FF"/>
              </w:rPr>
              <w:t>Consolidated Statements of Operations and Comprehensive Loss for the years ended December 31, 2024 and 2023</w:t>
            </w:r>
          </w:p>
        </w:tc>
        <w:tc>
          <w:tcPr>
            <w:tcW w:w="2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jc w:val="center"/>
              <w:ind w:right="420"/>
              <w:spacing w:after="0"/>
              <w:rPr>
                <w:sz w:val="20"/>
                <w:szCs w:val="20"/>
                <w:color w:val="auto"/>
              </w:rPr>
            </w:pPr>
            <w:r>
              <w:rPr>
                <w:rFonts w:ascii="Arial" w:cs="Arial" w:eastAsia="Arial" w:hAnsi="Arial"/>
                <w:sz w:val="14"/>
                <w:szCs w:val="14"/>
                <w:color w:val="0000FF"/>
                <w:w w:val="95"/>
              </w:rPr>
              <w:t>F-5</w:t>
            </w: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760" w:type="dxa"/>
            <w:vAlign w:val="bottom"/>
            <w:gridSpan w:val="5"/>
          </w:tcPr>
          <w:p>
            <w:pPr>
              <w:spacing w:after="0"/>
              <w:rPr>
                <w:sz w:val="20"/>
                <w:szCs w:val="20"/>
                <w:color w:val="auto"/>
              </w:rPr>
            </w:pPr>
            <w:r>
              <w:rPr>
                <w:rFonts w:ascii="Arial" w:cs="Arial" w:eastAsia="Arial" w:hAnsi="Arial"/>
                <w:sz w:val="14"/>
                <w:szCs w:val="14"/>
                <w:color w:val="0000FF"/>
              </w:rPr>
              <w:t>Consolidated Statements of Stockholders’ Equity (Deficit) for the years ended December 31, 2024 and 2023</w:t>
            </w:r>
          </w:p>
        </w:tc>
        <w:tc>
          <w:tcPr>
            <w:tcW w:w="5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jc w:val="center"/>
              <w:ind w:right="420"/>
              <w:spacing w:after="0"/>
              <w:rPr>
                <w:sz w:val="20"/>
                <w:szCs w:val="20"/>
                <w:color w:val="auto"/>
              </w:rPr>
            </w:pPr>
            <w:r>
              <w:rPr>
                <w:rFonts w:ascii="Arial" w:cs="Arial" w:eastAsia="Arial" w:hAnsi="Arial"/>
                <w:sz w:val="14"/>
                <w:szCs w:val="14"/>
                <w:color w:val="0000FF"/>
                <w:w w:val="95"/>
              </w:rPr>
              <w:t>F-6</w:t>
            </w: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760" w:type="dxa"/>
            <w:vAlign w:val="bottom"/>
            <w:gridSpan w:val="5"/>
          </w:tcPr>
          <w:p>
            <w:pPr>
              <w:spacing w:after="0"/>
              <w:rPr>
                <w:sz w:val="20"/>
                <w:szCs w:val="20"/>
                <w:color w:val="auto"/>
              </w:rPr>
            </w:pPr>
            <w:r>
              <w:rPr>
                <w:rFonts w:ascii="Arial" w:cs="Arial" w:eastAsia="Arial" w:hAnsi="Arial"/>
                <w:sz w:val="14"/>
                <w:szCs w:val="14"/>
                <w:color w:val="0000FF"/>
              </w:rPr>
              <w:t>Consolidated Statements of Cash Flows for the years ended December 31, 2024 and 2023</w:t>
            </w:r>
          </w:p>
        </w:tc>
        <w:tc>
          <w:tcPr>
            <w:tcW w:w="34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jc w:val="center"/>
              <w:ind w:right="420"/>
              <w:spacing w:after="0"/>
              <w:rPr>
                <w:sz w:val="20"/>
                <w:szCs w:val="20"/>
                <w:color w:val="auto"/>
              </w:rPr>
            </w:pPr>
            <w:r>
              <w:rPr>
                <w:rFonts w:ascii="Arial" w:cs="Arial" w:eastAsia="Arial" w:hAnsi="Arial"/>
                <w:sz w:val="14"/>
                <w:szCs w:val="14"/>
                <w:color w:val="0000FF"/>
                <w:w w:val="95"/>
              </w:rPr>
              <w:t>F-7</w:t>
            </w: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0000FF"/>
              </w:rPr>
              <w:t>Notes to Consolidated Financial Statements</w:t>
            </w:r>
          </w:p>
        </w:tc>
        <w:tc>
          <w:tcPr>
            <w:tcW w:w="454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jc w:val="center"/>
              <w:ind w:right="420"/>
              <w:spacing w:after="0"/>
              <w:rPr>
                <w:sz w:val="20"/>
                <w:szCs w:val="20"/>
                <w:color w:val="auto"/>
              </w:rPr>
            </w:pPr>
            <w:r>
              <w:rPr>
                <w:rFonts w:ascii="Arial" w:cs="Arial" w:eastAsia="Arial" w:hAnsi="Arial"/>
                <w:sz w:val="14"/>
                <w:szCs w:val="14"/>
                <w:color w:val="0000FF"/>
                <w:w w:val="95"/>
              </w:rPr>
              <w:t>F-8</w:t>
            </w:r>
          </w:p>
        </w:tc>
      </w:tr>
      <w:tr>
        <w:trPr>
          <w:trHeight w:val="788"/>
        </w:trPr>
        <w:tc>
          <w:tcPr>
            <w:tcW w:w="20" w:type="dxa"/>
            <w:vAlign w:val="bottom"/>
          </w:tcPr>
          <w:p>
            <w:pPr>
              <w:spacing w:after="0"/>
              <w:rPr>
                <w:sz w:val="24"/>
                <w:szCs w:val="24"/>
                <w:color w:val="auto"/>
              </w:rPr>
            </w:pPr>
          </w:p>
        </w:tc>
        <w:tc>
          <w:tcPr>
            <w:tcW w:w="27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4"/>
          </w:tcPr>
          <w:p>
            <w:pPr>
              <w:ind w:left="1400"/>
              <w:spacing w:after="0"/>
              <w:rPr>
                <w:sz w:val="20"/>
                <w:szCs w:val="20"/>
                <w:color w:val="auto"/>
              </w:rPr>
            </w:pPr>
            <w:r>
              <w:rPr>
                <w:rFonts w:ascii="Arial" w:cs="Arial" w:eastAsia="Arial" w:hAnsi="Arial"/>
                <w:sz w:val="14"/>
                <w:szCs w:val="14"/>
                <w:color w:val="auto"/>
              </w:rPr>
              <w:t>F-1</w:t>
            </w:r>
          </w:p>
        </w:tc>
        <w:tc>
          <w:tcPr>
            <w:tcW w:w="4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Daré Bioscience, Inc.</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Consolidated Financial Statements</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have audited the accompanying consolidated balance sheets of Daré Bioscience, Inc. and Subsidiaries (the “Company”) as of December 31, 2024 and 2023, and the related consolidated statements of operations and comprehensive loss, stockholders’ equity (deficit), and cash flows for each of the years in the two-year period ended December 31, 2024, and the related notes (collectively referred to as the “consolidated financial statements”). In our opinion, the consolidated financial statements referred to above present fairly, in all material respects, the consolidated financial position of the Company as of December 31, 2024 and 2023, and the consolidated results of its operations and its cash flows for each of the years in the two-year period ended December 31, 2024, in conformity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Company's Ability to Continue as a Going Concern</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accompanying consolidated financial statements have been prepared assuming that the Company will continue as a going concern. As discussed in Note 2 to the consolidated financial statements, the Company has recurring losses from operations and is dependent on additional financing to fund operations. These conditions raise substantial doubt about the Company’s ability to continue as a going concern. Management’s plans in regard to these matters are also described in Note 2 to the consolidated financial statements. The consolidated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9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45" w:name="page146"/>
    <w:bookmarkEnd w:id="145"/>
    <w:p>
      <w:pPr>
        <w:ind w:left="2840"/>
        <w:spacing w:after="0"/>
        <w:rPr>
          <w:sz w:val="20"/>
          <w:szCs w:val="20"/>
          <w:color w:val="auto"/>
        </w:rPr>
      </w:pPr>
      <w:r>
        <w:rPr>
          <w:rFonts w:ascii="Arial" w:cs="Arial" w:eastAsia="Arial" w:hAnsi="Arial"/>
          <w:sz w:val="14"/>
          <w:szCs w:val="14"/>
          <w:b w:val="1"/>
          <w:bCs w:val="1"/>
          <w:color w:val="auto"/>
        </w:rPr>
        <w:t>REPORT OF INDEPENDENT REGISTERED PUBLIC ACCOUNTING FIRM (Continued)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 – Estimating the Allocation of Transaction Price in Other Income Recognition</w:t>
      </w:r>
    </w:p>
    <w:p>
      <w:pPr>
        <w:spacing w:after="0" w:line="14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 of the Critical Audit Matter</w:t>
      </w:r>
    </w:p>
    <w:p>
      <w:pPr>
        <w:spacing w:after="0" w:line="19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During the year ended December 31, 2024, the Company entered into a traditional royalty purchase agreement and a synthetic royalty purchase agreement with XOMA (US) LLC (“XOMA”). The Company received $22.0 million from XOMA in connection with entering into the royalty purchase agreements, which was determined as the transaction price. As described in Note 2 to the consolidated financial statements, the Company recognized other income in accordance with the principles outlined in ASC 610-20, Other Income – Gains and Losses from the Derecognition of Nonfinancial Assets, which requires the allocation of the transaction price to each performance obligation based on their relative standalone selling prices. The observable standalone selling prices were not available, and therefore the Company estimated these prices using the adjusted market assessment approach. This fair value approach requires management to make significant estimates and judgments, including the timing and amounts of projected net sales, probabilities of success in product development and regulatory approvals, and appropriate discount and royalty rates. Estimating probabilities of success for early-stage assets is inherently uncertain.</w:t>
      </w:r>
    </w:p>
    <w:p>
      <w:pPr>
        <w:spacing w:after="0" w:line="33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identified the estimation of the allocation of the transaction price to multiple performance obligations in the Company’s contract with XOMA as a critical audit matter due to the complexity involved in determining the standalone selling price of each performance obligation, which directly affects the amount of other income recognized in each period. This in turn led to a high degree of auditor judgment, subjectivity, and effort in performing procedures to evaluate the reasonableness of management’s significant estimates and assumptions, several of which extend many years into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9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We obtained an understanding of the marketing status of the underlying commercialized product and an understanding of the development status and development plan for the two underlying product candidates, which included estimated timelines and milestones. We evaluated management’s development of the market assessment approach, which includes the identification of key inputs and assumptions to the fair value model. We evaluated the sufficiency and appropriateness of the audit evidence supporting key inputs and assumptions to the fair value model. We also evaluated the appropriateness of the discount rate used by management in the fair value model and evaluated the expected future royalty rates. We performed independent mathematical accuracy tests of the Company’s fair value model. We also performed substantive testing by recalculating the allocated transaction price using alternative assumptions, comparing the results to the Company’s estimates, and assessing whether the other income recognized was consistent with the performance obligations completed during the period.</w:t>
      </w:r>
    </w:p>
    <w:p>
      <w:pPr>
        <w:spacing w:after="0" w:line="166" w:lineRule="exact"/>
        <w:rPr>
          <w:sz w:val="20"/>
          <w:szCs w:val="20"/>
          <w:color w:val="auto"/>
        </w:rPr>
      </w:pPr>
    </w:p>
    <w:p>
      <w:pPr>
        <w:ind w:left="3560"/>
        <w:spacing w:after="0"/>
        <w:rPr>
          <w:sz w:val="20"/>
          <w:szCs w:val="20"/>
          <w:color w:val="auto"/>
        </w:rPr>
      </w:pPr>
      <w:r>
        <w:rPr>
          <w:rFonts w:ascii="Arial" w:cs="Arial" w:eastAsia="Arial" w:hAnsi="Arial"/>
          <w:sz w:val="14"/>
          <w:szCs w:val="14"/>
          <w:i w:val="1"/>
          <w:iCs w:val="1"/>
          <w:color w:val="auto"/>
        </w:rPr>
        <w:t>/s/ Haskell &amp; White LLP</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HASKELL &amp; WHITE LLP</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2023.</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March 31, 2025</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Balance Sheets</w:t>
      </w:r>
    </w:p>
    <w:p>
      <w:pPr>
        <w:spacing w:after="0" w:line="120" w:lineRule="exact"/>
        <w:rPr>
          <w:sz w:val="20"/>
          <w:szCs w:val="20"/>
          <w:color w:val="auto"/>
        </w:rPr>
      </w:pPr>
    </w:p>
    <w:tbl>
      <w:tblPr>
        <w:tblLayout w:type="fixed"/>
        <w:tblInd w:w="820" w:type="dxa"/>
        <w:tblCellMar>
          <w:top w:w="0" w:type="dxa"/>
          <w:left w:w="0" w:type="dxa"/>
          <w:bottom w:w="0" w:type="dxa"/>
          <w:right w:w="0" w:type="dxa"/>
        </w:tblCellMar>
      </w:tblPr>
      <w:tr>
        <w:trPr>
          <w:trHeight w:val="155"/>
        </w:trPr>
        <w:tc>
          <w:tcPr>
            <w:tcW w:w="4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82"/>
        </w:trPr>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15,698,174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10,476,056</w:t>
            </w:r>
          </w:p>
        </w:tc>
        <w:tc>
          <w:tcPr>
            <w:tcW w:w="0" w:type="dxa"/>
            <w:vAlign w:val="bottom"/>
          </w:tcPr>
          <w:p>
            <w:pPr>
              <w:spacing w:after="0"/>
              <w:rPr>
                <w:sz w:val="1"/>
                <w:szCs w:val="1"/>
                <w:color w:val="auto"/>
              </w:rPr>
            </w:pPr>
          </w:p>
        </w:tc>
      </w:tr>
      <w:tr>
        <w:trPr>
          <w:trHeight w:val="212"/>
        </w:trPr>
        <w:tc>
          <w:tcPr>
            <w:tcW w:w="4780" w:type="dxa"/>
            <w:vAlign w:val="bottom"/>
          </w:tcPr>
          <w:p>
            <w:pPr>
              <w:ind w:left="180"/>
              <w:spacing w:after="0"/>
              <w:rPr>
                <w:sz w:val="20"/>
                <w:szCs w:val="20"/>
                <w:color w:val="auto"/>
              </w:rPr>
            </w:pPr>
            <w:r>
              <w:rPr>
                <w:rFonts w:ascii="Arial" w:cs="Arial" w:eastAsia="Arial" w:hAnsi="Arial"/>
                <w:sz w:val="14"/>
                <w:szCs w:val="14"/>
                <w:color w:val="auto"/>
              </w:rPr>
              <w:t>Other receivables</w:t>
            </w: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229,982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949,211</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2,519,707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6,118,272</w:t>
            </w:r>
          </w:p>
        </w:tc>
        <w:tc>
          <w:tcPr>
            <w:tcW w:w="0" w:type="dxa"/>
            <w:vAlign w:val="bottom"/>
          </w:tcPr>
          <w:p>
            <w:pPr>
              <w:spacing w:after="0"/>
              <w:rPr>
                <w:sz w:val="1"/>
                <w:szCs w:val="1"/>
                <w:color w:val="auto"/>
              </w:rPr>
            </w:pPr>
          </w:p>
        </w:tc>
      </w:tr>
      <w:tr>
        <w:trPr>
          <w:trHeight w:val="192"/>
        </w:trPr>
        <w:tc>
          <w:tcPr>
            <w:tcW w:w="4780" w:type="dxa"/>
            <w:vAlign w:val="bottom"/>
          </w:tcPr>
          <w:p>
            <w:pPr>
              <w:ind w:left="34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18,447,863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17,543,539</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1,335,732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655,975</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Arial" w:cs="Arial" w:eastAsia="Arial" w:hAnsi="Arial"/>
                <w:sz w:val="14"/>
                <w:szCs w:val="14"/>
                <w:color w:val="auto"/>
              </w:rPr>
              <w:t>Deposits</w:t>
            </w: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12,027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1,163,477</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1,206,942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1,319,630</w:t>
            </w:r>
          </w:p>
        </w:tc>
        <w:tc>
          <w:tcPr>
            <w:tcW w:w="0" w:type="dxa"/>
            <w:vAlign w:val="bottom"/>
          </w:tcPr>
          <w:p>
            <w:pPr>
              <w:spacing w:after="0"/>
              <w:rPr>
                <w:sz w:val="1"/>
                <w:szCs w:val="1"/>
                <w:color w:val="auto"/>
              </w:rPr>
            </w:pPr>
          </w:p>
        </w:tc>
      </w:tr>
      <w:tr>
        <w:trPr>
          <w:trHeight w:val="212"/>
        </w:trPr>
        <w:tc>
          <w:tcPr>
            <w:tcW w:w="4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1,098,567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599,594</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22,101,131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21,282,215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772" w:right="1440" w:bottom="1440" w:gutter="0" w:footer="0" w:header="0"/>
        </w:sectPr>
      </w:pPr>
    </w:p>
    <w:p>
      <w:pPr>
        <w:ind w:left="1000"/>
        <w:spacing w:after="0"/>
        <w:rPr>
          <w:sz w:val="20"/>
          <w:szCs w:val="20"/>
          <w:color w:val="auto"/>
        </w:rPr>
      </w:pPr>
      <w:r>
        <w:rPr>
          <w:rFonts w:ascii="Arial" w:cs="Arial" w:eastAsia="Arial" w:hAnsi="Arial"/>
          <w:sz w:val="14"/>
          <w:szCs w:val="14"/>
          <w:color w:val="auto"/>
        </w:rPr>
        <w:t>Accounts payable</w:t>
      </w:r>
    </w:p>
    <w:p>
      <w:pPr>
        <w:spacing w:after="0" w:line="4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-99060</wp:posOffset>
            </wp:positionV>
            <wp:extent cx="4688840" cy="134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Deferred grant funding</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-99060</wp:posOffset>
            </wp:positionV>
            <wp:extent cx="4688840" cy="134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Total current liabilities</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-99060</wp:posOffset>
            </wp:positionV>
            <wp:extent cx="4688840" cy="134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Liability related to the sale of future royalties, net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-99060</wp:posOffset>
            </wp:positionV>
            <wp:extent cx="4688840" cy="134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Total liabilities</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Commitments and contingencies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-99060</wp:posOffset>
            </wp:positionV>
            <wp:extent cx="4688840" cy="134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Stockholders' deficit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1,455,832</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3,385,551</w:t>
            </w:r>
          </w:p>
        </w:tc>
      </w:tr>
      <w:tr>
        <w:trPr>
          <w:trHeight w:val="212"/>
        </w:trPr>
        <w:tc>
          <w:tcPr>
            <w:tcW w:w="26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3,042,918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2,889,005</w:t>
            </w:r>
          </w:p>
        </w:tc>
      </w:tr>
      <w:tr>
        <w:trPr>
          <w:trHeight w:val="212"/>
        </w:trPr>
        <w:tc>
          <w:tcPr>
            <w:tcW w:w="26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16,561,625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13,737,154</w:t>
            </w:r>
          </w:p>
        </w:tc>
      </w:tr>
      <w:tr>
        <w:trPr>
          <w:trHeight w:val="211"/>
        </w:trPr>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548,638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468,726</w:t>
            </w:r>
          </w:p>
        </w:tc>
      </w:tr>
      <w:tr>
        <w:trPr>
          <w:trHeight w:val="194"/>
        </w:trPr>
        <w:tc>
          <w:tcPr>
            <w:tcW w:w="2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21,609,013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20,480,436</w:t>
            </w:r>
          </w:p>
        </w:tc>
      </w:tr>
      <w:tr>
        <w:trPr>
          <w:trHeight w:val="212"/>
        </w:trPr>
        <w:tc>
          <w:tcPr>
            <w:tcW w:w="26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1,000,000</w:t>
            </w:r>
          </w:p>
        </w:tc>
      </w:tr>
      <w:tr>
        <w:trPr>
          <w:trHeight w:val="212"/>
        </w:trPr>
        <w:tc>
          <w:tcPr>
            <w:tcW w:w="26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4,749,824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3,913,676</w:t>
            </w:r>
          </w:p>
        </w:tc>
      </w:tr>
      <w:tr>
        <w:trPr>
          <w:trHeight w:val="211"/>
        </w:trPr>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754,383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935,743</w:t>
            </w:r>
          </w:p>
        </w:tc>
      </w:tr>
      <w:tr>
        <w:trPr>
          <w:trHeight w:val="192"/>
        </w:trPr>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28,113,220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26,329,855</w:t>
            </w:r>
          </w:p>
        </w:tc>
      </w:tr>
    </w:tbl>
    <w:p>
      <w:pPr>
        <w:spacing w:after="0" w:line="413" w:lineRule="exact"/>
        <w:rPr>
          <w:sz w:val="20"/>
          <w:szCs w:val="20"/>
          <w:color w:val="auto"/>
        </w:rPr>
      </w:pPr>
    </w:p>
    <w:p>
      <w:pPr>
        <w:sectPr>
          <w:pgSz w:w="11900" w:h="16838" w:orient="portrait"/>
          <w:cols w:equalWidth="0" w:num="2">
            <w:col w:w="4880" w:space="720"/>
            <w:col w:w="3419"/>
          </w:cols>
          <w:pgMar w:left="1440" w:top="772" w:right="1440" w:bottom="1440" w:gutter="0" w:footer="0" w:header="0"/>
          <w:type w:val="continuous"/>
        </w:sectPr>
      </w:pPr>
    </w:p>
    <w:tbl>
      <w:tblPr>
        <w:tblLayout w:type="fixed"/>
        <w:tblInd w:w="820" w:type="dxa"/>
        <w:tblCellMar>
          <w:top w:w="0" w:type="dxa"/>
          <w:left w:w="0" w:type="dxa"/>
          <w:bottom w:w="0" w:type="dxa"/>
          <w:right w:w="0" w:type="dxa"/>
        </w:tblCellMar>
      </w:tblPr>
      <w:tr>
        <w:trPr>
          <w:trHeight w:val="212"/>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 shares authorized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80" w:type="dxa"/>
            <w:vAlign w:val="bottom"/>
          </w:tcPr>
          <w:p>
            <w:pPr>
              <w:ind w:left="260"/>
              <w:spacing w:after="0"/>
              <w:rPr>
                <w:sz w:val="20"/>
                <w:szCs w:val="20"/>
                <w:color w:val="auto"/>
              </w:rPr>
            </w:pPr>
            <w:r>
              <w:rPr>
                <w:rFonts w:ascii="Arial" w:cs="Arial" w:eastAsia="Arial" w:hAnsi="Arial"/>
                <w:sz w:val="14"/>
                <w:szCs w:val="14"/>
                <w:color w:val="auto"/>
              </w:rPr>
              <w:t>None issued and outstanding</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$0.0001 par value, 240,000,000 shares authorized,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8,700,386 and 8,331,161 shares issued and outstanding at</w:t>
            </w: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2024 and December 31, 2023, respectively</w:t>
            </w:r>
          </w:p>
        </w:tc>
        <w:tc>
          <w:tcPr>
            <w:tcW w:w="2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169,705,480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166,548,454</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(360,896)</w:t>
            </w:r>
          </w:p>
        </w:tc>
        <w:tc>
          <w:tcPr>
            <w:tcW w:w="0" w:type="dxa"/>
            <w:vAlign w:val="bottom"/>
          </w:tcPr>
          <w:p>
            <w:pPr>
              <w:spacing w:after="0"/>
              <w:rPr>
                <w:sz w:val="1"/>
                <w:szCs w:val="1"/>
                <w:color w:val="auto"/>
              </w:rPr>
            </w:pPr>
          </w:p>
        </w:tc>
      </w:tr>
      <w:tr>
        <w:trPr>
          <w:trHeight w:val="212"/>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(175,289,630)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(171,236,031)</w:t>
            </w:r>
          </w:p>
        </w:tc>
        <w:tc>
          <w:tcPr>
            <w:tcW w:w="0" w:type="dxa"/>
            <w:vAlign w:val="bottom"/>
          </w:tcPr>
          <w:p>
            <w:pPr>
              <w:spacing w:after="0"/>
              <w:rPr>
                <w:sz w:val="1"/>
                <w:szCs w:val="1"/>
                <w:color w:val="auto"/>
              </w:rPr>
            </w:pPr>
          </w:p>
        </w:tc>
      </w:tr>
      <w:tr>
        <w:trPr>
          <w:trHeight w:val="192"/>
        </w:trPr>
        <w:tc>
          <w:tcPr>
            <w:tcW w:w="47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stockholders' deficit</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(6,012,089)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(5,047,640)</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deficit</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22,101,131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21,282,215</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772" w:right="1440" w:bottom="1440" w:gutter="0" w:footer="0" w:header="0"/>
          <w:type w:val="continuous"/>
        </w:sectPr>
      </w:pPr>
    </w:p>
    <w:bookmarkStart w:id="147" w:name="page148"/>
    <w:bookmarkEnd w:id="147"/>
    <w:p>
      <w:pPr>
        <w:jc w:val="center"/>
        <w:ind w:right="19"/>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50"/>
        </w:trPr>
        <w:tc>
          <w:tcPr>
            <w:tcW w:w="4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License fee revenue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Milestone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1,800,000</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Royalty revenue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9,784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7,885</w:t>
            </w:r>
          </w:p>
        </w:tc>
        <w:tc>
          <w:tcPr>
            <w:tcW w:w="0" w:type="dxa"/>
            <w:vAlign w:val="bottom"/>
          </w:tcPr>
          <w:p>
            <w:pPr>
              <w:spacing w:after="0"/>
              <w:rPr>
                <w:sz w:val="1"/>
                <w:szCs w:val="1"/>
                <w:color w:val="auto"/>
              </w:rPr>
            </w:pPr>
          </w:p>
        </w:tc>
      </w:tr>
      <w:tr>
        <w:trPr>
          <w:trHeight w:val="192"/>
        </w:trPr>
        <w:tc>
          <w:tcPr>
            <w:tcW w:w="470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9,784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2,807,885</w:t>
            </w: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9,156,061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12,109,691</w:t>
            </w:r>
          </w:p>
        </w:tc>
        <w:tc>
          <w:tcPr>
            <w:tcW w:w="0" w:type="dxa"/>
            <w:vAlign w:val="bottom"/>
          </w:tcPr>
          <w:p>
            <w:pPr>
              <w:spacing w:after="0"/>
              <w:rPr>
                <w:sz w:val="1"/>
                <w:szCs w:val="1"/>
                <w:color w:val="auto"/>
              </w:rPr>
            </w:pPr>
          </w:p>
        </w:tc>
      </w:tr>
      <w:tr>
        <w:trPr>
          <w:trHeight w:val="212"/>
        </w:trPr>
        <w:tc>
          <w:tcPr>
            <w:tcW w:w="4700" w:type="dxa"/>
            <w:vAlign w:val="bottom"/>
            <w:gridSpan w:val="2"/>
          </w:tcPr>
          <w:p>
            <w:pPr>
              <w:ind w:left="160"/>
              <w:spacing w:after="0"/>
              <w:rPr>
                <w:sz w:val="20"/>
                <w:szCs w:val="20"/>
                <w:color w:val="auto"/>
              </w:rPr>
            </w:pPr>
            <w:r>
              <w:rPr>
                <w:rFonts w:ascii="Arial" w:cs="Arial" w:eastAsia="Arial" w:hAnsi="Arial"/>
                <w:sz w:val="14"/>
                <w:szCs w:val="14"/>
                <w:color w:val="auto"/>
              </w:rPr>
              <w:t>Research and development</w:t>
            </w: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14,205,208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21,538,074</w:t>
            </w: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License fee expense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b w:val="1"/>
                <w:bCs w:val="1"/>
                <w:color w:val="auto"/>
              </w:rPr>
              <w:t>Total operating expenses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23,461,269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33,747,765</w:t>
            </w:r>
          </w:p>
        </w:tc>
        <w:tc>
          <w:tcPr>
            <w:tcW w:w="0" w:type="dxa"/>
            <w:vAlign w:val="bottom"/>
          </w:tcPr>
          <w:p>
            <w:pPr>
              <w:spacing w:after="0"/>
              <w:rPr>
                <w:sz w:val="1"/>
                <w:szCs w:val="1"/>
                <w:color w:val="auto"/>
              </w:rPr>
            </w:pPr>
          </w:p>
        </w:tc>
      </w:tr>
      <w:tr>
        <w:trPr>
          <w:trHeight w:val="192"/>
        </w:trPr>
        <w:tc>
          <w:tcPr>
            <w:tcW w:w="4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(23,451,485)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(30,939,880)</w:t>
            </w:r>
          </w:p>
        </w:tc>
        <w:tc>
          <w:tcPr>
            <w:tcW w:w="0" w:type="dxa"/>
            <w:vAlign w:val="bottom"/>
          </w:tcPr>
          <w:p>
            <w:pPr>
              <w:spacing w:after="0"/>
              <w:rPr>
                <w:sz w:val="1"/>
                <w:szCs w:val="1"/>
                <w:color w:val="auto"/>
              </w:rPr>
            </w:pPr>
          </w:p>
        </w:tc>
      </w:tr>
      <w:tr>
        <w:trPr>
          <w:trHeight w:val="186"/>
        </w:trPr>
        <w:tc>
          <w:tcPr>
            <w:tcW w:w="470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Sale of royalty and milestone rights, net of transaction costs (Note 13)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20,379,376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(981,490)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778,489</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(4,053,599)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(30,161,391)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Net loss to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gridSpan w:val="2"/>
            <w:vMerge w:val="continue"/>
          </w:tcPr>
          <w:p>
            <w:pPr>
              <w:spacing w:after="0"/>
              <w:rPr>
                <w:sz w:val="12"/>
                <w:szCs w:val="12"/>
                <w:color w:val="auto"/>
              </w:rPr>
            </w:pPr>
          </w:p>
        </w:tc>
        <w:tc>
          <w:tcPr>
            <w:tcW w:w="24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(4,053,599)</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(30,161,391)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(9,585)</w:t>
            </w:r>
          </w:p>
        </w:tc>
        <w:tc>
          <w:tcPr>
            <w:tcW w:w="0" w:type="dxa"/>
            <w:vAlign w:val="bottom"/>
          </w:tcPr>
          <w:p>
            <w:pPr>
              <w:spacing w:after="0"/>
              <w:rPr>
                <w:sz w:val="1"/>
                <w:szCs w:val="1"/>
                <w:color w:val="auto"/>
              </w:rPr>
            </w:pPr>
          </w:p>
        </w:tc>
      </w:t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(4,121,512)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(30,170,976)</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Loss per common share - basic and diluted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8,497,459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7,275,308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772"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72"/>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6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3"/>
                <w:szCs w:val="13"/>
                <w:color w:val="auto"/>
              </w:rPr>
            </w:pPr>
          </w:p>
        </w:tc>
        <w:tc>
          <w:tcPr>
            <w:tcW w:w="1000" w:type="dxa"/>
            <w:vAlign w:val="bottom"/>
          </w:tcPr>
          <w:p>
            <w:pPr>
              <w:jc w:val="center"/>
              <w:ind w:right="72"/>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capital</w:t>
            </w: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loss</w:t>
            </w:r>
          </w:p>
        </w:tc>
        <w:tc>
          <w:tcPr>
            <w:tcW w:w="16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6"/>
                <w:szCs w:val="16"/>
                <w:color w:val="auto"/>
              </w:rPr>
            </w:pPr>
          </w:p>
        </w:tc>
        <w:tc>
          <w:tcPr>
            <w:tcW w:w="1000" w:type="dxa"/>
            <w:vAlign w:val="bottom"/>
          </w:tcPr>
          <w:p>
            <w:pPr>
              <w:jc w:val="center"/>
              <w:ind w:right="72"/>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26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7,068,790</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707</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152,537,354</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(351,311)</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(141,074,640)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11,112,110</w:t>
            </w:r>
          </w:p>
        </w:tc>
        <w:tc>
          <w:tcPr>
            <w:tcW w:w="0" w:type="dxa"/>
            <w:vAlign w:val="bottom"/>
          </w:tcPr>
          <w:p>
            <w:pPr>
              <w:spacing w:after="0"/>
              <w:rPr>
                <w:sz w:val="1"/>
                <w:szCs w:val="1"/>
                <w:color w:val="auto"/>
              </w:rPr>
            </w:pPr>
          </w:p>
        </w:tc>
      </w:tr>
      <w:tr>
        <w:trPr>
          <w:trHeight w:val="297"/>
        </w:trPr>
        <w:tc>
          <w:tcPr>
            <w:tcW w:w="30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2,530,684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2,530,684</w:t>
            </w: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494949"/>
              </w:rPr>
              <w:t>Issuance of common stock from the exercise of</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112,793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1,299,365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1,299,376</w:t>
            </w: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494949"/>
              </w:rPr>
              <w:t>warrants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00" w:type="dxa"/>
            <w:vAlign w:val="bottom"/>
          </w:tcPr>
          <w:p>
            <w:pPr>
              <w:ind w:left="20"/>
              <w:spacing w:after="0" w:line="138" w:lineRule="exact"/>
              <w:rPr>
                <w:sz w:val="20"/>
                <w:szCs w:val="20"/>
                <w:color w:val="auto"/>
              </w:rPr>
            </w:pPr>
            <w:r>
              <w:rPr>
                <w:rFonts w:ascii="Arial" w:cs="Arial" w:eastAsia="Arial" w:hAnsi="Arial"/>
                <w:sz w:val="14"/>
                <w:szCs w:val="14"/>
                <w:color w:val="auto"/>
              </w:rPr>
              <w:t>Issuance of common stock, net of issuance</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1,149,578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9,346,541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4"/>
                <w:szCs w:val="14"/>
                <w:color w:val="auto"/>
              </w:rPr>
              <w:t>9,346,656</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4"/>
                <w:szCs w:val="14"/>
                <w:color w:val="auto"/>
              </w:rPr>
              <w:t>costs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Issuance of common stock warrants, net of</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834,510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834,510</w:t>
            </w: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w:t>
            </w: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(30,161,391)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(30,161,391)</w:t>
            </w:r>
          </w:p>
        </w:tc>
        <w:tc>
          <w:tcPr>
            <w:tcW w:w="0" w:type="dxa"/>
            <w:vAlign w:val="bottom"/>
          </w:tcPr>
          <w:p>
            <w:pPr>
              <w:spacing w:after="0"/>
              <w:rPr>
                <w:sz w:val="1"/>
                <w:szCs w:val="1"/>
                <w:color w:val="auto"/>
              </w:rPr>
            </w:pPr>
          </w:p>
        </w:tc>
      </w:tr>
      <w:tr>
        <w:trPr>
          <w:trHeight w:val="297"/>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(9,585)</w:t>
            </w:r>
          </w:p>
        </w:tc>
        <w:tc>
          <w:tcPr>
            <w:tcW w:w="0" w:type="dxa"/>
            <w:vAlign w:val="bottom"/>
          </w:tcPr>
          <w:p>
            <w:pPr>
              <w:spacing w:after="0"/>
              <w:rPr>
                <w:sz w:val="1"/>
                <w:szCs w:val="1"/>
                <w:color w:val="auto"/>
              </w:rPr>
            </w:pPr>
          </w:p>
        </w:tc>
      </w:tr>
      <w:tr>
        <w:trPr>
          <w:trHeight w:val="26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8,331,161</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833</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166,548,454</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(360,896)</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(171,236,031)</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(5,047,640)</w:t>
            </w:r>
          </w:p>
        </w:tc>
        <w:tc>
          <w:tcPr>
            <w:tcW w:w="0" w:type="dxa"/>
            <w:vAlign w:val="bottom"/>
          </w:tcPr>
          <w:p>
            <w:pPr>
              <w:spacing w:after="0"/>
              <w:rPr>
                <w:sz w:val="1"/>
                <w:szCs w:val="1"/>
                <w:color w:val="auto"/>
              </w:rPr>
            </w:pPr>
          </w:p>
        </w:tc>
      </w:tr>
      <w:tr>
        <w:trPr>
          <w:trHeight w:val="266"/>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2,203,257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2,203,257</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Arial" w:cs="Arial" w:eastAsia="Arial" w:hAnsi="Arial"/>
                <w:sz w:val="14"/>
                <w:szCs w:val="14"/>
                <w:color w:val="auto"/>
              </w:rPr>
              <w:t>Issuance cost on equity line paid in common</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137,614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500,213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4"/>
                <w:szCs w:val="14"/>
                <w:color w:val="auto"/>
              </w:rPr>
              <w:t>500,227</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4"/>
                <w:szCs w:val="14"/>
                <w:color w:val="auto"/>
              </w:rPr>
              <w:t>stock</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issuance</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109,655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453,568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453,579</w:t>
            </w: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3000" w:type="dxa"/>
            <w:vAlign w:val="bottom"/>
          </w:tcPr>
          <w:p>
            <w:pPr>
              <w:ind w:left="20"/>
              <w:spacing w:after="0"/>
              <w:rPr>
                <w:sz w:val="20"/>
                <w:szCs w:val="20"/>
                <w:color w:val="auto"/>
              </w:rPr>
            </w:pPr>
            <w:r>
              <w:rPr>
                <w:rFonts w:ascii="Arial" w:cs="Arial" w:eastAsia="Arial" w:hAnsi="Arial"/>
                <w:sz w:val="14"/>
                <w:szCs w:val="14"/>
                <w:color w:val="auto"/>
              </w:rPr>
              <w:t>Reverse stock split adjustment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121,956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(4,053,599)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(4,053,599)</w:t>
            </w:r>
          </w:p>
        </w:tc>
        <w:tc>
          <w:tcPr>
            <w:tcW w:w="0" w:type="dxa"/>
            <w:vAlign w:val="bottom"/>
          </w:tcPr>
          <w:p>
            <w:pPr>
              <w:spacing w:after="0"/>
              <w:rPr>
                <w:sz w:val="1"/>
                <w:szCs w:val="1"/>
                <w:color w:val="auto"/>
              </w:rPr>
            </w:pPr>
          </w:p>
        </w:tc>
      </w:tr>
      <w:tr>
        <w:trPr>
          <w:trHeight w:val="286"/>
        </w:trPr>
        <w:tc>
          <w:tcPr>
            <w:tcW w:w="30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(67,913)</w:t>
            </w:r>
          </w:p>
        </w:tc>
        <w:tc>
          <w:tcPr>
            <w:tcW w:w="0" w:type="dxa"/>
            <w:vAlign w:val="bottom"/>
          </w:tcPr>
          <w:p>
            <w:pPr>
              <w:spacing w:after="0"/>
              <w:rPr>
                <w:sz w:val="1"/>
                <w:szCs w:val="1"/>
                <w:color w:val="auto"/>
              </w:rPr>
            </w:pPr>
          </w:p>
        </w:tc>
      </w:tr>
      <w:tr>
        <w:trPr>
          <w:trHeight w:val="27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8,700,386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169,705,480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(428,809)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(175,289,630)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(6,012,089)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540"/>
          </w:cols>
          <w:pgMar w:left="1180" w:top="772" w:right="1179" w:bottom="1440" w:gutter="0" w:footer="0" w:header="0"/>
        </w:sectPr>
      </w:pPr>
    </w:p>
    <w:bookmarkStart w:id="149" w:name="page150"/>
    <w:bookmarkEnd w:id="149"/>
    <w:p>
      <w:pPr>
        <w:ind w:left="3200"/>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50"/>
        </w:trPr>
        <w:tc>
          <w:tcPr>
            <w:tcW w:w="5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(4,053,599)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(30,161,391)</w:t>
            </w:r>
          </w:p>
        </w:tc>
        <w:tc>
          <w:tcPr>
            <w:tcW w:w="0" w:type="dxa"/>
            <w:vAlign w:val="bottom"/>
          </w:tcPr>
          <w:p>
            <w:pPr>
              <w:spacing w:after="0"/>
              <w:rPr>
                <w:sz w:val="1"/>
                <w:szCs w:val="1"/>
                <w:color w:val="auto"/>
              </w:rPr>
            </w:pPr>
          </w:p>
        </w:tc>
      </w:tr>
      <w:tr>
        <w:trPr>
          <w:trHeight w:val="202"/>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520"/>
              <w:spacing w:after="0"/>
              <w:rPr>
                <w:sz w:val="20"/>
                <w:szCs w:val="20"/>
                <w:color w:val="auto"/>
              </w:rPr>
            </w:pPr>
            <w:r>
              <w:rPr>
                <w:rFonts w:ascii="Arial" w:cs="Arial" w:eastAsia="Arial" w:hAnsi="Arial"/>
                <w:sz w:val="14"/>
                <w:szCs w:val="14"/>
                <w:color w:val="auto"/>
              </w:rPr>
              <w:t>Depreciation expense</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42,325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38,363</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Right of use asset - operating lease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471,003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(861,706)</w:t>
            </w:r>
          </w:p>
        </w:tc>
        <w:tc>
          <w:tcPr>
            <w:tcW w:w="0" w:type="dxa"/>
            <w:vAlign w:val="bottom"/>
          </w:tcPr>
          <w:p>
            <w:pPr>
              <w:spacing w:after="0"/>
              <w:rPr>
                <w:sz w:val="1"/>
                <w:szCs w:val="1"/>
                <w:color w:val="auto"/>
              </w:rPr>
            </w:pPr>
          </w:p>
        </w:tc>
      </w:tr>
      <w:tr>
        <w:trPr>
          <w:trHeight w:val="202"/>
        </w:trPr>
        <w:tc>
          <w:tcPr>
            <w:tcW w:w="5160" w:type="dxa"/>
            <w:vAlign w:val="bottom"/>
          </w:tcPr>
          <w:p>
            <w:pPr>
              <w:ind w:left="520"/>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2,203,256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2,530,684</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520"/>
              <w:spacing w:after="0"/>
              <w:rPr>
                <w:sz w:val="20"/>
                <w:szCs w:val="20"/>
                <w:color w:val="auto"/>
              </w:rPr>
            </w:pPr>
            <w:r>
              <w:rPr>
                <w:rFonts w:ascii="Arial" w:cs="Arial" w:eastAsia="Arial" w:hAnsi="Arial"/>
                <w:sz w:val="14"/>
                <w:szCs w:val="14"/>
                <w:color w:val="auto"/>
              </w:rPr>
              <w:t>Non-cash royalty revenue related to sale of future royalties</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Non-cash interest expense on liability related to sale of future royalties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317,318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24,289</w:t>
            </w:r>
          </w:p>
        </w:tc>
        <w:tc>
          <w:tcPr>
            <w:tcW w:w="0" w:type="dxa"/>
            <w:vAlign w:val="bottom"/>
          </w:tcPr>
          <w:p>
            <w:pPr>
              <w:spacing w:after="0"/>
              <w:rPr>
                <w:sz w:val="1"/>
                <w:szCs w:val="1"/>
                <w:color w:val="auto"/>
              </w:rPr>
            </w:pPr>
          </w:p>
        </w:tc>
      </w:tr>
      <w:tr>
        <w:trPr>
          <w:trHeight w:val="194"/>
        </w:trPr>
        <w:tc>
          <w:tcPr>
            <w:tcW w:w="516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receivables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719,229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753,948</w:t>
            </w:r>
          </w:p>
        </w:tc>
        <w:tc>
          <w:tcPr>
            <w:tcW w:w="0" w:type="dxa"/>
            <w:vAlign w:val="bottom"/>
          </w:tcPr>
          <w:p>
            <w:pPr>
              <w:spacing w:after="0"/>
              <w:rPr>
                <w:sz w:val="1"/>
                <w:szCs w:val="1"/>
                <w:color w:val="auto"/>
              </w:rPr>
            </w:pPr>
          </w:p>
        </w:tc>
      </w:tr>
      <w:tr>
        <w:trPr>
          <w:trHeight w:val="202"/>
        </w:trPr>
        <w:tc>
          <w:tcPr>
            <w:tcW w:w="5160" w:type="dxa"/>
            <w:vAlign w:val="bottom"/>
          </w:tcPr>
          <w:p>
            <w:pPr>
              <w:ind w:left="520"/>
              <w:spacing w:after="0"/>
              <w:rPr>
                <w:sz w:val="20"/>
                <w:szCs w:val="20"/>
                <w:color w:val="auto"/>
              </w:rPr>
            </w:pPr>
            <w:r>
              <w:rPr>
                <w:rFonts w:ascii="Arial" w:cs="Arial" w:eastAsia="Arial" w:hAnsi="Arial"/>
                <w:sz w:val="14"/>
                <w:szCs w:val="14"/>
                <w:color w:val="auto"/>
              </w:rPr>
              <w:t>Prepaid expenses</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3,598,565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547,714</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Deposits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402,414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(1,152,974)</w:t>
            </w:r>
          </w:p>
        </w:tc>
        <w:tc>
          <w:tcPr>
            <w:tcW w:w="0" w:type="dxa"/>
            <w:vAlign w:val="bottom"/>
          </w:tcPr>
          <w:p>
            <w:pPr>
              <w:spacing w:after="0"/>
              <w:rPr>
                <w:sz w:val="1"/>
                <w:szCs w:val="1"/>
                <w:color w:val="auto"/>
              </w:rPr>
            </w:pPr>
          </w:p>
        </w:tc>
      </w:tr>
      <w:tr>
        <w:trPr>
          <w:trHeight w:val="212"/>
        </w:trPr>
        <w:tc>
          <w:tcPr>
            <w:tcW w:w="5160" w:type="dxa"/>
            <w:vAlign w:val="bottom"/>
          </w:tcPr>
          <w:p>
            <w:pPr>
              <w:ind w:left="520"/>
              <w:spacing w:after="0"/>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(10,300)</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lease liability</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915,732</w:t>
            </w:r>
          </w:p>
        </w:tc>
        <w:tc>
          <w:tcPr>
            <w:tcW w:w="0" w:type="dxa"/>
            <w:vAlign w:val="bottom"/>
          </w:tcPr>
          <w:p>
            <w:pPr>
              <w:spacing w:after="0"/>
              <w:rPr>
                <w:sz w:val="1"/>
                <w:szCs w:val="1"/>
                <w:color w:val="auto"/>
              </w:rPr>
            </w:pPr>
          </w:p>
        </w:tc>
      </w:tr>
      <w:tr>
        <w:trPr>
          <w:trHeight w:val="212"/>
        </w:trPr>
        <w:tc>
          <w:tcPr>
            <w:tcW w:w="516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(1,929,717)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1,357,601</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(8,272,201)</w:t>
            </w:r>
          </w:p>
        </w:tc>
        <w:tc>
          <w:tcPr>
            <w:tcW w:w="0" w:type="dxa"/>
            <w:vAlign w:val="bottom"/>
          </w:tcPr>
          <w:p>
            <w:pPr>
              <w:spacing w:after="0"/>
              <w:rPr>
                <w:sz w:val="1"/>
                <w:szCs w:val="1"/>
                <w:color w:val="auto"/>
              </w:rPr>
            </w:pPr>
          </w:p>
        </w:tc>
      </w:tr>
      <w:tr>
        <w:trPr>
          <w:trHeight w:val="212"/>
        </w:trPr>
        <w:tc>
          <w:tcPr>
            <w:tcW w:w="5160" w:type="dxa"/>
            <w:vAlign w:val="bottom"/>
          </w:tcPr>
          <w:p>
            <w:pPr>
              <w:ind w:left="520"/>
              <w:spacing w:after="0"/>
              <w:rPr>
                <w:sz w:val="20"/>
                <w:szCs w:val="20"/>
                <w:color w:val="auto"/>
              </w:rPr>
            </w:pPr>
            <w:r>
              <w:rPr>
                <w:rFonts w:ascii="Arial" w:cs="Arial" w:eastAsia="Arial" w:hAnsi="Arial"/>
                <w:sz w:val="14"/>
                <w:szCs w:val="14"/>
                <w:color w:val="auto"/>
              </w:rPr>
              <w:t>Interest payable</w:t>
            </w: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520,816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grant funding</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2,824,471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(4,566,413)</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780"/>
              <w:spacing w:after="0"/>
              <w:rPr>
                <w:sz w:val="20"/>
                <w:szCs w:val="20"/>
                <w:color w:val="auto"/>
              </w:rPr>
            </w:pPr>
            <w:r>
              <w:rPr>
                <w:rFonts w:ascii="Arial" w:cs="Arial" w:eastAsia="Arial" w:hAnsi="Arial"/>
                <w:sz w:val="14"/>
                <w:szCs w:val="14"/>
                <w:color w:val="auto"/>
              </w:rPr>
              <w:t>Net cash provided by (used in) operating activities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5,394,247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(38,856,654)</w:t>
            </w:r>
          </w:p>
        </w:tc>
        <w:tc>
          <w:tcPr>
            <w:tcW w:w="0" w:type="dxa"/>
            <w:vAlign w:val="bottom"/>
          </w:tcPr>
          <w:p>
            <w:pPr>
              <w:spacing w:after="0"/>
              <w:rPr>
                <w:sz w:val="1"/>
                <w:szCs w:val="1"/>
                <w:color w:val="auto"/>
              </w:rPr>
            </w:pPr>
          </w:p>
        </w:tc>
      </w:tr>
      <w:tr>
        <w:trPr>
          <w:trHeight w:val="160"/>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(573,046)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(629,430)</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(573,046)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(629,430)</w:t>
            </w: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issuance of common stock</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9,346,656</w:t>
            </w:r>
          </w:p>
        </w:tc>
        <w:tc>
          <w:tcPr>
            <w:tcW w:w="0" w:type="dxa"/>
            <w:vAlign w:val="bottom"/>
          </w:tcPr>
          <w:p>
            <w:pPr>
              <w:spacing w:after="0"/>
              <w:rPr>
                <w:sz w:val="1"/>
                <w:szCs w:val="1"/>
                <w:color w:val="auto"/>
              </w:rPr>
            </w:pPr>
          </w:p>
        </w:tc>
      </w:tr>
      <w:tr>
        <w:trPr>
          <w:trHeight w:val="212"/>
        </w:trPr>
        <w:tc>
          <w:tcPr>
            <w:tcW w:w="5160" w:type="dxa"/>
            <w:vAlign w:val="bottom"/>
          </w:tcPr>
          <w:p>
            <w:pPr>
              <w:ind w:left="180"/>
              <w:spacing w:after="0"/>
              <w:rPr>
                <w:sz w:val="20"/>
                <w:szCs w:val="20"/>
                <w:color w:val="auto"/>
              </w:rPr>
            </w:pPr>
            <w:r>
              <w:rPr>
                <w:rFonts w:ascii="Arial" w:cs="Arial" w:eastAsia="Arial" w:hAnsi="Arial"/>
                <w:sz w:val="14"/>
                <w:szCs w:val="14"/>
                <w:color w:val="auto"/>
              </w:rPr>
              <w:t>Proceeds from the exercise of common stock warrants</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1,299,376</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future royalties, net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4,723,899</w:t>
            </w:r>
          </w:p>
        </w:tc>
        <w:tc>
          <w:tcPr>
            <w:tcW w:w="0" w:type="dxa"/>
            <w:vAlign w:val="bottom"/>
          </w:tcPr>
          <w:p>
            <w:pPr>
              <w:spacing w:after="0"/>
              <w:rPr>
                <w:sz w:val="1"/>
                <w:szCs w:val="1"/>
                <w:color w:val="auto"/>
              </w:rPr>
            </w:pPr>
          </w:p>
        </w:tc>
      </w:tr>
      <w:tr>
        <w:trPr>
          <w:trHeight w:val="212"/>
        </w:trPr>
        <w:tc>
          <w:tcPr>
            <w:tcW w:w="5160" w:type="dxa"/>
            <w:vAlign w:val="bottom"/>
          </w:tcPr>
          <w:p>
            <w:pPr>
              <w:ind w:left="180"/>
              <w:spacing w:after="0"/>
              <w:rPr>
                <w:sz w:val="20"/>
                <w:szCs w:val="20"/>
                <w:color w:val="auto"/>
              </w:rPr>
            </w:pPr>
            <w:r>
              <w:rPr>
                <w:rFonts w:ascii="Arial" w:cs="Arial" w:eastAsia="Arial" w:hAnsi="Arial"/>
                <w:sz w:val="14"/>
                <w:szCs w:val="14"/>
                <w:color w:val="auto"/>
              </w:rPr>
              <w:t>Repayment of liability on sale of future royalties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note payable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561,663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601,174</w:t>
            </w:r>
          </w:p>
        </w:tc>
        <w:tc>
          <w:tcPr>
            <w:tcW w:w="0" w:type="dxa"/>
            <w:vAlign w:val="bottom"/>
          </w:tcPr>
          <w:p>
            <w:pPr>
              <w:spacing w:after="0"/>
              <w:rPr>
                <w:sz w:val="1"/>
                <w:szCs w:val="1"/>
                <w:color w:val="auto"/>
              </w:rPr>
            </w:pPr>
          </w:p>
        </w:tc>
      </w:tr>
      <w:tr>
        <w:trPr>
          <w:trHeight w:val="202"/>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Payments on note payable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(579,223)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(333,985)</w:t>
            </w: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433,830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15,637,120</w:t>
            </w:r>
          </w:p>
        </w:tc>
        <w:tc>
          <w:tcPr>
            <w:tcW w:w="0" w:type="dxa"/>
            <w:vAlign w:val="bottom"/>
          </w:tcPr>
          <w:p>
            <w:pPr>
              <w:spacing w:after="0"/>
              <w:rPr>
                <w:sz w:val="1"/>
                <w:szCs w:val="1"/>
                <w:color w:val="auto"/>
              </w:rPr>
            </w:pPr>
          </w:p>
        </w:tc>
      </w:tr>
      <w:tr>
        <w:trPr>
          <w:trHeight w:val="118"/>
        </w:trPr>
        <w:tc>
          <w:tcPr>
            <w:tcW w:w="5160" w:type="dxa"/>
            <w:vAlign w:val="bottom"/>
          </w:tcPr>
          <w:p>
            <w:pPr>
              <w:ind w:left="180"/>
              <w:spacing w:after="0" w:line="118" w:lineRule="exact"/>
              <w:rPr>
                <w:sz w:val="20"/>
                <w:szCs w:val="20"/>
                <w:color w:val="auto"/>
              </w:rPr>
            </w:pPr>
            <w:r>
              <w:rPr>
                <w:rFonts w:ascii="Arial" w:cs="Arial" w:eastAsia="Arial" w:hAnsi="Arial"/>
                <w:sz w:val="13"/>
                <w:szCs w:val="13"/>
                <w:color w:val="auto"/>
              </w:rPr>
              <w:t>Effect of exchange rate changes on cash and cash equivalents and restricted</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(67,913)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(9,585)</w:t>
            </w: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cash</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5,187,119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(23,858,549)</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10,811,056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34,669,605</w:t>
            </w:r>
          </w:p>
        </w:tc>
        <w:tc>
          <w:tcPr>
            <w:tcW w:w="0" w:type="dxa"/>
            <w:vAlign w:val="bottom"/>
          </w:tcPr>
          <w:p>
            <w:pPr>
              <w:spacing w:after="0"/>
              <w:rPr>
                <w:sz w:val="1"/>
                <w:szCs w:val="1"/>
                <w:color w:val="auto"/>
              </w:rPr>
            </w:pPr>
          </w:p>
        </w:tc>
      </w:tr>
      <w:tr>
        <w:trPr>
          <w:trHeight w:val="17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year</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15,998,174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10,811,056</w:t>
            </w:r>
          </w:p>
        </w:tc>
        <w:tc>
          <w:tcPr>
            <w:tcW w:w="0" w:type="dxa"/>
            <w:vAlign w:val="bottom"/>
          </w:tcPr>
          <w:p>
            <w:pPr>
              <w:spacing w:after="0"/>
              <w:rPr>
                <w:sz w:val="1"/>
                <w:szCs w:val="1"/>
                <w:color w:val="auto"/>
              </w:rPr>
            </w:pPr>
          </w:p>
        </w:tc>
      </w:tr>
    </w:tbl>
    <w:p>
      <w:pPr>
        <w:ind w:left="860" w:right="1359"/>
        <w:spacing w:after="0" w:line="248" w:lineRule="auto"/>
        <w:rPr>
          <w:sz w:val="20"/>
          <w:szCs w:val="20"/>
          <w:color w:val="auto"/>
        </w:rPr>
      </w:pPr>
      <w:r>
        <w:rPr>
          <w:rFonts w:ascii="Arial" w:cs="Arial" w:eastAsia="Arial" w:hAnsi="Arial"/>
          <w:sz w:val="14"/>
          <w:szCs w:val="14"/>
          <w:b w:val="1"/>
          <w:bCs w:val="1"/>
          <w:color w:val="auto"/>
        </w:rPr>
        <w:t>Reconciliation of cash, cash equivalents and restricted cash to amounts reported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-203835</wp:posOffset>
            </wp:positionV>
            <wp:extent cx="13811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1381125" cy="698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20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15,698,174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10,476,056</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other non-current assets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335,000</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15,998,174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10,811,056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Operating right-of-use assets obtained in exchange for new operating lease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358,315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1,291,425</w:t>
            </w: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rPr>
                <w:sz w:val="20"/>
                <w:szCs w:val="20"/>
                <w:color w:val="auto"/>
              </w:rPr>
            </w:pPr>
            <w:r>
              <w:rPr>
                <w:rFonts w:ascii="Arial" w:cs="Arial" w:eastAsia="Arial" w:hAnsi="Arial"/>
                <w:sz w:val="14"/>
                <w:szCs w:val="14"/>
                <w:color w:val="auto"/>
              </w:rPr>
              <w:t>Issuance cost on equity paid in common stock</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500,227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Additions to property and equipment and reduction of deposits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749,036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5160" w:type="dxa"/>
            <w:vAlign w:val="bottom"/>
          </w:tcPr>
          <w:p>
            <w:pPr>
              <w:ind w:left="180"/>
              <w:spacing w:after="0"/>
              <w:rPr>
                <w:sz w:val="20"/>
                <w:szCs w:val="20"/>
                <w:color w:val="auto"/>
              </w:rPr>
            </w:pPr>
            <w:r>
              <w:rPr>
                <w:rFonts w:ascii="Arial" w:cs="Arial" w:eastAsia="Arial" w:hAnsi="Arial"/>
                <w:sz w:val="14"/>
                <w:szCs w:val="14"/>
                <w:color w:val="auto"/>
              </w:rPr>
              <w:t>Issuance cost recorded under additional-paid-in-capital</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834,510</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21" w:lineRule="exact"/>
        <w:rPr>
          <w:sz w:val="20"/>
          <w:szCs w:val="20"/>
          <w:color w:val="auto"/>
        </w:rPr>
      </w:pPr>
    </w:p>
    <w:p>
      <w:pPr>
        <w:ind w:left="280" w:hanging="275"/>
        <w:spacing w:after="0"/>
        <w:tabs>
          <w:tab w:leader="none" w:pos="2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DESCRIPTION OF BUSINESS</w:t>
      </w:r>
    </w:p>
    <w:p>
      <w:pPr>
        <w:spacing w:after="0" w:line="1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Daré Bioscience, Inc. is a biopharmaceutical company driven by a mission to challenge the status quo, making women's health a priority. Daré Bioscience, Inc. and its wholly-owned subsidiaries operate one segment. In this report, the “Company” refers collectively to Daré Bioscience, Inc. and its wholly-owned subsidiaries, unless otherwise stated or the context otherwise requires.</w:t>
      </w:r>
    </w:p>
    <w:p>
      <w:pPr>
        <w:spacing w:after="0" w:line="8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spacing w:after="0" w:line="8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Company’s primary operations have consisted of, and are expected to continue to consist primarily of, research and development activities to advance its product candidates through clinical development and regulatory approval.</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portfolio of product candidates includes drug and drug/device product candidates and potential product candidates in various stages of development.</w:t>
      </w:r>
    </w:p>
    <w:p>
      <w:pPr>
        <w:spacing w:after="0" w:line="9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first U.S. Food and Drug Administration (FDA)-approved product to emerge from the Company's portfolio is XACIATO™ (clindamycin phosphate) vaginal gel 2%, or XACIATO. In March 2022, the Company entered into an exclusive global license agreement with an affiliate of Organon &amp; Co., Organon International GmbH, or Organon, to commercialize XACIATO. Under the license agreement, Organon (and/or its affiliates, agents or sublicensees) is solely responsible for the marketing, distribution and sale of XACIATO in the United States (and outside the U.S. if approved in non-U.S. jurisdictions in the future). In January 2024, Organon announced that XACIATO was available across the U.S. As described below, to provide funding for the development of the product candidates in the Company's pipeline, in April 2024, the Company entered into an agreement with XOMA (US) LLC (“XOMA”) whereby the Company sold its rights to all royalty and potential milestone payments based on net sales of XACIATO under its agreement with Organon, net of the Company's obligations to certain third parties, until XOMA receives a specified return on its investment, after which the Company will share equally in the royalty and milestone payments earned on net sales of XACIATO from Organon.</w:t>
      </w:r>
    </w:p>
    <w:p>
      <w:pPr>
        <w:spacing w:after="0" w:line="186" w:lineRule="exact"/>
        <w:rPr>
          <w:sz w:val="20"/>
          <w:szCs w:val="20"/>
          <w:color w:val="auto"/>
        </w:rPr>
      </w:pPr>
    </w:p>
    <w:p>
      <w:pPr>
        <w:ind w:left="280" w:hanging="275"/>
        <w:spacing w:after="0"/>
        <w:tabs>
          <w:tab w:leader="none" w:pos="2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consolidated financial statements have been prepared in conformity with accounting principles generally accepted in the United States, or U.S. GAAP, as defined by the Financial Accounting Standards Board, or FASB.</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Going Concern</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prepared its consolidated financial statements on a going concern basis, which assumes that the Company will realize its assets and satisfy its liabilities in the normal course of business. The Company has a history of losses from operations, net losses and negative cash flows from operations and expects significant losses from operations, net losses and negative cash flows from operations for at least the next several years as it develops and seeks to bring to market its existing product candidates and seeks to potentially acquire, license and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At December 31, 2024, the Company had an accumulated deficit of approximately $175.3 million, unrestricted cash and cash equivalents of approximately $ 15.7 million, and a working capital deficit of approximately $3.2 million. The Company's unrestricted cash and cash equivalents at December 31, 2024 represented funds received under grant agreements that generally may be applied solely toward direct costs for carrying out the respective projects under those grant agreements. See Note 15, Grant Awards. For the year ended December 31, 2024, the Company incurred a net loss of $4.1 million and had positive cash flow from operations of approximately $5.4 million. The Company's net loss and cash flow from operations for the year ended December 31, 2024 were positively impacted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51" w:name="page152"/>
    <w:bookmarkEnd w:id="151"/>
    <w:p>
      <w:pPr>
        <w:jc w:val="both"/>
        <w:spacing w:after="0" w:line="290" w:lineRule="auto"/>
        <w:rPr>
          <w:sz w:val="20"/>
          <w:szCs w:val="20"/>
          <w:color w:val="auto"/>
        </w:rPr>
      </w:pPr>
      <w:r>
        <w:rPr>
          <w:rFonts w:ascii="Arial" w:cs="Arial" w:eastAsia="Arial" w:hAnsi="Arial"/>
          <w:sz w:val="14"/>
          <w:szCs w:val="14"/>
          <w:color w:val="auto"/>
        </w:rPr>
        <w:t>by the approximately $20.4 million of net proceeds the Company received from the sale in April 2024 of its rights to future royalty and milestone payments and revenue. See below and Note 13, Royalty Purchase Agreements.</w:t>
      </w:r>
    </w:p>
    <w:p>
      <w:pPr>
        <w:spacing w:after="0" w:line="9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Based on the Company's current operating plan estimates, the Company does not have sufficient cash to satisfy its working capital needs and other liquidity requirements over at least the next 12 months from the date of issuance of the accompanying consolidated financial statements. The Company will need to raise substantial additional capital to continue to fund its operations and to successfully execute its current strategy.</w:t>
      </w:r>
    </w:p>
    <w:p>
      <w:pPr>
        <w:spacing w:after="0" w:line="10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Company's consolidated financial statements do not include any adjustments that might result from the outcome of these uncertainties.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2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Operating segments are defined as components of an enterprise about which discrete financial information is available for evaluation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16, "Segment Information,"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2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effected a 1-for-12 reverse split of its issued common stock on July 1, 2024.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did not change the number of authorized shares or the par value per share of the Company’s common stock. See Note 9, Stockholders' Equity, for additional information regarding the reverse stock split.</w:t>
      </w:r>
    </w:p>
    <w:p>
      <w:pPr>
        <w:spacing w:after="0" w:line="7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All common stock share and per share data presented in the accompanying consolidated financial statements have been retroactively adjusted to reflect the impact of the reverse stock split for all periods presented, without giving effect to whole shares issued in lieu of fractional shares. In addition, proportionate adjustments were made in accordance with the applicable terms of outstanding stock options and warrants, the Company’s stock incentive plans and an existing agreement to the (a) per share exercise prices of, and the number of shares underlying, the Company’s outstanding stock options, (b) number of shares available for the grant of awards under the Company’s stock incentive plans, and (c) per share exercise prices of, and the number of shares underlying, outstanding warrants to purchase shares of the Company’s common stock and warrants potentially issuable by the Company in its sole discretion pursuant to an existing agreement.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11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considers cash and all highly liquid investments with an original maturity of three months or less to be cash and cash equivalents. The Company has an aggregate of approximately $0.3 million in restricted cash as of December 31, 2024 and 2023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consolidated financial statements of the Company are stated in U.S. dollars. These consolidated financial statements include the accounts of the Company and its wholly-owned subsidiaries. One wholly-owned subsidiary, Daré Bioscience Australia Pty LTD, operates primarily in Australia. The financial statements of the Company’s wholly-owned subsidiaries are recorded in their functional currency and translated into the reporting currency. The cumulative effect of changes in exchange rates between the foreign entity’s functional currency and the reporting currency is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color w:val="auto"/>
        </w:rPr>
        <w:t>reported in Accumulated Other Comprehensive Loss. All intercompany transactions and accounts have been eliminated in consolidation.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 of Prior Year Presentation</w:t>
      </w:r>
    </w:p>
    <w:p>
      <w:pPr>
        <w:spacing w:after="0" w:line="21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Certain prior year amounts have been reclassified for consistency with the current year presentation. These reclassifications had no effect on the reported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21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Property and equipment are stated at cost less accumulated depreciation. Depreciation is calculated using the straight-line method over the estimated useful lives of the assets, generally five years. Repair and maintenance costs are charged to expense as incurred.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21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Long-lived assets consist primarily of property and equipment and right-of-use assets. The Company reviews its long-lived assets for impairment whenever events or changes in circumstances indicate that the carrying value of an asset may not be recoverable. Recoverability is measured by comparison of the carrying amount to the future undiscounted net cash flows which the asset or asset group are expected to generate, including its eventual residual value. If such assets are considered to be impaired, the impairment to be recognized is measured as the amount by which the carrying amount of the assets exceeds its fair value. The Company did not recognize any impairment losses for either of the years ended December 31, 2024 or 2023. The Company recorded a loss on the disposal of a fixed asset of $0.6 million for the year ended December 31, 2024. No such losses were recorded during the year ended December 31, 2023.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Funding</w:t>
      </w:r>
    </w:p>
    <w:p>
      <w:pPr>
        <w:spacing w:after="0" w:line="14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The Company receives certain research and development funding through grants issued by a division of the National Institutes of Health and the Gates Foundation, or the Foundation. Under the Foundation grant, which the Company considers to be a research and development contract under FASB Accounting Standards Codification, or ASC, Topic 730 </w:t>
      </w:r>
      <w:r>
        <w:rPr>
          <w:rFonts w:ascii="Arial" w:cs="Arial" w:eastAsia="Arial" w:hAnsi="Arial"/>
          <w:sz w:val="14"/>
          <w:szCs w:val="14"/>
          <w:i w:val="1"/>
          <w:iCs w:val="1"/>
          <w:color w:val="auto"/>
        </w:rPr>
        <w:t>Research and Development</w:t>
      </w:r>
      <w:r>
        <w:rPr>
          <w:rFonts w:ascii="Arial" w:cs="Arial" w:eastAsia="Arial" w:hAnsi="Arial"/>
          <w:sz w:val="14"/>
          <w:szCs w:val="14"/>
          <w:color w:val="auto"/>
        </w:rPr>
        <w:t xml:space="preserve">, the Company granted the Foundation a Humanitarian License which gives the Foundation the right to make the funded developments accessible at an affordable price to people within developing countries. Grants received by the Company that do not require the transfer of goods or services to a customer are accounted for by analogy to International Accounting Standards 20, </w:t>
      </w:r>
      <w:r>
        <w:rPr>
          <w:rFonts w:ascii="Arial" w:cs="Arial" w:eastAsia="Arial" w:hAnsi="Arial"/>
          <w:sz w:val="14"/>
          <w:szCs w:val="14"/>
          <w:i w:val="1"/>
          <w:iCs w:val="1"/>
          <w:color w:val="auto"/>
        </w:rPr>
        <w:t>Accounting for Grants and Disclosure of Government Assistance</w:t>
      </w:r>
      <w:r>
        <w:rPr>
          <w:rFonts w:ascii="Arial" w:cs="Arial" w:eastAsia="Arial" w:hAnsi="Arial"/>
          <w:sz w:val="14"/>
          <w:szCs w:val="14"/>
          <w:color w:val="auto"/>
        </w:rPr>
        <w:t>, or IAS 20. Under IAS 20, the Company recognizes grant funding in the statements of operations as a reduction to research and development expense as the related costs are incurred to meet those obligations over the grant period. The Company adopted this policy in 2018. For the years ended December 31, 2024 and December 31, 2023, the Company recognized approximately $ 8.8 million and $9.3 million, respectively, in the statements of operations as a reduction to research and development expense. Grant funding payments received in advance of research and development expenses incurred are recorded as deferred grant funding liability in the Company's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 liability related to the sale of future royalties, valuation of stock-based awards and the accrual of research and development expenses. Estimates are periodically reviewed in light of changes in circumstances, facts and experience. Actual results could differ from those estimates and could materially affect the reported amounts of assets, liabilities and future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Future Payments</w:t>
      </w:r>
    </w:p>
    <w:p>
      <w:pPr>
        <w:spacing w:after="0" w:line="12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On April 29, 2024, the Company entered into and closed a traditional royalty purchase agreement and a synthetic royalty purchase agreement with XOMA pursuant to which the Company sold its right, title and interest in the following to XOMA (i) all future net royalty and potential net milestone payments the Company would otherwise receive from Organon based on net sales of XACIATO, (ii) a portion of future net sales of Ovaprene and a portion of a potential future milestone payment the Company may receive under its license agreement with Bayer related to</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53" w:name="page154"/>
    <w:bookmarkEnd w:id="153"/>
    <w:p>
      <w:pPr>
        <w:jc w:val="both"/>
        <w:spacing w:after="0" w:line="262" w:lineRule="auto"/>
        <w:rPr>
          <w:sz w:val="20"/>
          <w:szCs w:val="20"/>
          <w:color w:val="auto"/>
        </w:rPr>
      </w:pPr>
      <w:r>
        <w:rPr>
          <w:rFonts w:ascii="Arial" w:cs="Arial" w:eastAsia="Arial" w:hAnsi="Arial"/>
          <w:sz w:val="14"/>
          <w:szCs w:val="14"/>
          <w:color w:val="auto"/>
        </w:rPr>
        <w:t xml:space="preserve">Ovaprene, and (iii) a portion of future net sales of Sildenafil Cream. The Company received $22.0 million from XOMA in connection with entering into the royalty purchase agreements. Under the terms of the royalty purchase agreements, if XOMA receives total payments under the royalty purchase agreements equal to an amount that exceeds $88.0 million, XOMA will pay $11.0 million to the Company for each successive $22.0 million XOMA receives under the royalty purchase agreements. If the Company earns any such payments, they will be accounted for as variable consideration under ASC 606,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and will be recorded as income when such payments are received. See Note 13, Royalty Purchase Agreements, for additional information regarding the terms of the royalty purchase agreements.</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Company evaluated the expected cash flows to XOMA from royalties and milestone payments expected to be earned on XACIATO, Ovaprene and Sildenafil Cream over the period that the Company expects it will take for XOMA to receive total payments of $88.0 million under the royalty purchase agreements, and determined to allocate the $22.0 million it received from XOMA in connection with entering into the royalty purchase agreements, net of transaction costs of approximately $1.6 million, to the traditional royalty purchase agreement for XACIATO, and none of it to the synthetic royalty purchase agreement for Ovaprene and Sildenafil Cream. The cash flows to XOMA from royalties and milestone payments expected to be earned on Ovaprene and Sildenafil Cream are expected to be de minimis over the period that the Company expects it will take for XOMA to receive total payments of $88.0 million under the royalty purchase agreements because, unlike XACIATO, Ovaprene and Sildenafil Cream are still in development stage and not commercial assets.</w:t>
      </w:r>
    </w:p>
    <w:p>
      <w:pPr>
        <w:spacing w:after="0" w:line="8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determined that the traditional royalty purchase agreement represents a complete sale of a nonfinancial asset (the Company's right, title and interest in and to future payments related to commercial sales of XACIATO) for which XOMA bears all benefit and for which the Company has no obligations or involvement going forward, and therefore should be accounted for within the scope of ASC 610-20, Other Income - Gains and Losses from the Derecognition of Nonfinancial Assets</w:t>
      </w:r>
      <w:r>
        <w:rPr>
          <w:rFonts w:ascii="Arial" w:cs="Arial" w:eastAsia="Arial" w:hAnsi="Arial"/>
          <w:sz w:val="14"/>
          <w:szCs w:val="14"/>
          <w:i w:val="1"/>
          <w:iCs w:val="1"/>
          <w:color w:val="auto"/>
        </w:rPr>
        <w:t>.</w:t>
      </w:r>
      <w:r>
        <w:rPr>
          <w:rFonts w:ascii="Arial" w:cs="Arial" w:eastAsia="Arial" w:hAnsi="Arial"/>
          <w:sz w:val="14"/>
          <w:szCs w:val="14"/>
          <w:color w:val="auto"/>
        </w:rPr>
        <w:t xml:space="preserve"> The $22.0 million net of transaction costs of approximately $1.6 million, was recorded as other income on the Company's consolidated statements of operations and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Liability Related to the Sale of Future Royalties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December 2023, the Company entered into a royalty interest financing agreement with United in Endeavor, or United, pursuant to which the Company sold to United an interest in royalty and milestone payments the Company receives based on net sales of XACIATO. The Company received $5.0 million from United in connection with entering into the royalty interest financing agreement. The Company evaluated the terms of the royalty interest financing agreement and concluded that its features were similar to those of a debt instrument. The Company recognized the $5.0 million it received as a liability on its consolidated balance sheet because the Company agreed to make payments to United until such time that United has received aggregate payments equaling a 12% internal rate of return on the $5.0 million. Interest expense for the liability related to the sale of future royalties is recognized using the effective interest rate method over the expected term of the royalty interest financing agreement.</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liability related to the sale of future royalties and related interest expense are based on current estimates of future royalties, which estimates are based on forecasts of XACIATO net sales. The Company periodically assesses the forecasted net sales and to the extent the amount or timing of estimated royalty payments are materially different than previous estimates, the Company will account for any such change by adjusting the liability related to the sale of future royalties and prospectively recognizing the related non-cash interest expense.</w:t>
      </w:r>
    </w:p>
    <w:p>
      <w:pPr>
        <w:spacing w:after="0" w:line="10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connection with the royalty investment financing agreement the Company entered into, the Company issued a warrant to purchase up to an aggregate of 5.0 million shares of the Company's common stock. The warrant was allocated a relative fair value of approximately $0.8 million using a Black-Scholes option pricing model. The $0.8 million relative fair value of the warrant was recorded as a debt discount with an offset to additional paid in capital on the Company's 2023 consolidated balance sheets as the warrants were deemed to be equity classified.</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4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color w:val="auto"/>
        </w:rPr>
        <w:t>The Company will require approvals from the FDA, or foreign regulatory agencies prior to being able to sell any products. The Company received approval from the FDA for XACIATO in December 2021.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financial position.</w:t>
      </w:r>
    </w:p>
    <w:p>
      <w:pPr>
        <w:spacing w:after="0" w:line="27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is subject to a number of risks similar to other life science companies, including, but not limited to, risks related to the ability to license product candidates, successfully develop product candidates, successfully commercialize approved products or enter into strategic relationships with third parties who are able to successfully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54" w:name="page155"/>
    <w:bookmarkEnd w:id="154"/>
    <w:p>
      <w:pPr>
        <w:jc w:val="both"/>
        <w:spacing w:after="0" w:line="290" w:lineRule="auto"/>
        <w:rPr>
          <w:sz w:val="20"/>
          <w:szCs w:val="20"/>
          <w:color w:val="auto"/>
        </w:rPr>
      </w:pPr>
      <w:r>
        <w:rPr>
          <w:rFonts w:ascii="Arial" w:cs="Arial" w:eastAsia="Arial" w:hAnsi="Arial"/>
          <w:sz w:val="14"/>
          <w:szCs w:val="14"/>
          <w:color w:val="auto"/>
        </w:rPr>
        <w:t>commercialize approved products, raise additional capital, compete with other products, and protect proprietary technology. As a result of these and other factors and the related uncertainties, there can be no assurance of the Company’s future success.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maintains cash balances at various financial institutions and such balances commonly exceed the $ 250,000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49" w:lineRule="exact"/>
        <w:rPr>
          <w:sz w:val="20"/>
          <w:szCs w:val="20"/>
          <w:color w:val="auto"/>
        </w:rPr>
      </w:pPr>
    </w:p>
    <w:p>
      <w:pPr>
        <w:ind w:left="520" w:hanging="133"/>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Level 1: inputs are unadjusted quoted prices in active markets for identical assets or liabilities.</w:t>
      </w:r>
    </w:p>
    <w:p>
      <w:pPr>
        <w:spacing w:after="0" w:line="93" w:lineRule="exact"/>
        <w:rPr>
          <w:rFonts w:ascii="Arial" w:cs="Arial" w:eastAsia="Arial" w:hAnsi="Arial"/>
          <w:sz w:val="14"/>
          <w:szCs w:val="14"/>
          <w:color w:val="auto"/>
        </w:rPr>
      </w:pPr>
    </w:p>
    <w:p>
      <w:pPr>
        <w:jc w:val="both"/>
        <w:ind w:left="520" w:hanging="133"/>
        <w:spacing w:after="0" w:line="271" w:lineRule="auto"/>
        <w:tabs>
          <w:tab w:leader="none" w:pos="516"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48" w:lineRule="exact"/>
        <w:rPr>
          <w:rFonts w:ascii="Arial" w:cs="Arial" w:eastAsia="Arial" w:hAnsi="Arial"/>
          <w:sz w:val="14"/>
          <w:szCs w:val="14"/>
          <w:color w:val="auto"/>
        </w:rPr>
      </w:pPr>
    </w:p>
    <w:p>
      <w:pPr>
        <w:ind w:left="520" w:hanging="133"/>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Level 3: unobservable inputs that are supported by little or no market activity and that are significant to the fair value of the assets or liabilities.</w:t>
      </w:r>
    </w:p>
    <w:p>
      <w:pPr>
        <w:spacing w:after="0" w:line="9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color w:val="191C1F"/>
        </w:rPr>
        <w:t>following tables present the classification within the fair value hierarchy of financial assets and liabilities that are remeasured on a recurring basis as of</w:t>
      </w:r>
      <w:r>
        <w:rPr>
          <w:rFonts w:ascii="Arial" w:cs="Arial" w:eastAsia="Arial" w:hAnsi="Arial"/>
          <w:sz w:val="14"/>
          <w:szCs w:val="14"/>
          <w:color w:val="auto"/>
        </w:rPr>
        <w:t xml:space="preserve"> December 31, 2024 </w:t>
      </w:r>
      <w:r>
        <w:rPr>
          <w:rFonts w:ascii="Arial" w:cs="Arial" w:eastAsia="Arial" w:hAnsi="Arial"/>
          <w:sz w:val="14"/>
          <w:szCs w:val="14"/>
          <w:color w:val="191C1F"/>
        </w:rPr>
        <w:t>and December 31, 2023. There were no financial assets or liabilities that were remeasured using a quoted price in active markets for identical assets (Level 2) or using</w:t>
      </w:r>
      <w:r>
        <w:rPr>
          <w:rFonts w:ascii="Arial" w:cs="Arial" w:eastAsia="Arial" w:hAnsi="Arial"/>
          <w:sz w:val="14"/>
          <w:szCs w:val="14"/>
          <w:color w:val="auto"/>
        </w:rPr>
        <w:t xml:space="preserve"> </w:t>
      </w:r>
      <w:r>
        <w:rPr>
          <w:rFonts w:ascii="Arial" w:cs="Arial" w:eastAsia="Arial" w:hAnsi="Arial"/>
          <w:sz w:val="14"/>
          <w:szCs w:val="14"/>
          <w:color w:val="191C1F"/>
        </w:rPr>
        <w:t xml:space="preserve">unobservable inputs (Level 3) as of </w:t>
      </w:r>
      <w:r>
        <w:rPr>
          <w:rFonts w:ascii="Arial" w:cs="Arial" w:eastAsia="Arial" w:hAnsi="Arial"/>
          <w:sz w:val="14"/>
          <w:szCs w:val="14"/>
          <w:color w:val="000000"/>
        </w:rPr>
        <w:t>December 31, 2024 or</w:t>
      </w:r>
      <w:r>
        <w:rPr>
          <w:rFonts w:ascii="Arial" w:cs="Arial" w:eastAsia="Arial" w:hAnsi="Arial"/>
          <w:sz w:val="14"/>
          <w:szCs w:val="14"/>
          <w:color w:val="191C1F"/>
        </w:rPr>
        <w:t xml:space="preserve"> December 31, 2023.</w:t>
      </w:r>
    </w:p>
    <w:p>
      <w:pPr>
        <w:spacing w:after="0" w:line="190" w:lineRule="exact"/>
        <w:rPr>
          <w:sz w:val="20"/>
          <w:szCs w:val="20"/>
          <w:color w:val="auto"/>
        </w:rPr>
      </w:pPr>
    </w:p>
    <w:p>
      <w:pPr>
        <w:jc w:val="center"/>
        <w:ind w:left="3700"/>
        <w:spacing w:after="0"/>
        <w:rPr>
          <w:sz w:val="20"/>
          <w:szCs w:val="20"/>
          <w:color w:val="auto"/>
        </w:rPr>
      </w:pPr>
      <w:r>
        <w:rPr>
          <w:rFonts w:ascii="Arial" w:cs="Arial" w:eastAsia="Arial" w:hAnsi="Arial"/>
          <w:sz w:val="11"/>
          <w:szCs w:val="11"/>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17780</wp:posOffset>
            </wp:positionV>
            <wp:extent cx="256032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2560320" cy="6985"/>
                    </a:xfrm>
                    <a:prstGeom prst="rect">
                      <a:avLst/>
                    </a:prstGeom>
                    <a:noFill/>
                  </pic:spPr>
                </pic:pic>
              </a:graphicData>
            </a:graphic>
          </wp:anchor>
        </w:drawing>
      </w:r>
    </w:p>
    <w:p>
      <w:pPr>
        <w:spacing w:after="0" w:line="66" w:lineRule="exact"/>
        <w:rPr>
          <w:sz w:val="20"/>
          <w:szCs w:val="20"/>
          <w:color w:val="auto"/>
        </w:rPr>
      </w:pPr>
    </w:p>
    <w:p>
      <w:pPr>
        <w:ind w:left="5780"/>
        <w:spacing w:after="0"/>
        <w:tabs>
          <w:tab w:leader="none" w:pos="6800" w:val="left"/>
          <w:tab w:leader="none" w:pos="7780" w:val="left"/>
          <w:tab w:leader="none" w:pos="8880" w:val="left"/>
        </w:tabs>
        <w:rPr>
          <w:sz w:val="20"/>
          <w:szCs w:val="20"/>
          <w:color w:val="auto"/>
        </w:rPr>
      </w:pPr>
      <w:r>
        <w:rPr>
          <w:rFonts w:ascii="Arial" w:cs="Arial" w:eastAsia="Arial" w:hAnsi="Arial"/>
          <w:sz w:val="11"/>
          <w:szCs w:val="11"/>
          <w:b w:val="1"/>
          <w:bCs w:val="1"/>
          <w:color w:val="auto"/>
        </w:rPr>
        <w:t>Level 1</w:t>
      </w:r>
      <w:r>
        <w:rPr>
          <w:sz w:val="20"/>
          <w:szCs w:val="20"/>
          <w:color w:val="auto"/>
        </w:rPr>
        <w:tab/>
      </w:r>
      <w:r>
        <w:rPr>
          <w:rFonts w:ascii="Arial" w:cs="Arial" w:eastAsia="Arial" w:hAnsi="Arial"/>
          <w:sz w:val="11"/>
          <w:szCs w:val="11"/>
          <w:b w:val="1"/>
          <w:bCs w:val="1"/>
          <w:color w:val="auto"/>
        </w:rPr>
        <w:t>Level 2</w:t>
      </w:r>
      <w:r>
        <w:rPr>
          <w:sz w:val="20"/>
          <w:szCs w:val="20"/>
          <w:color w:val="auto"/>
        </w:rPr>
        <w:tab/>
      </w:r>
      <w:r>
        <w:rPr>
          <w:rFonts w:ascii="Arial" w:cs="Arial" w:eastAsia="Arial" w:hAnsi="Arial"/>
          <w:sz w:val="11"/>
          <w:szCs w:val="11"/>
          <w:b w:val="1"/>
          <w:bCs w:val="1"/>
          <w:color w:val="auto"/>
        </w:rPr>
        <w:t>Level 3</w:t>
      </w:r>
      <w:r>
        <w:rPr>
          <w:sz w:val="20"/>
          <w:szCs w:val="20"/>
          <w:color w:val="auto"/>
        </w:rPr>
        <w:tab/>
      </w: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17780</wp:posOffset>
            </wp:positionV>
            <wp:extent cx="459486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4594860" cy="134620"/>
                    </a:xfrm>
                    <a:prstGeom prst="rect">
                      <a:avLst/>
                    </a:prstGeom>
                    <a:noFill/>
                  </pic:spPr>
                </pic:pic>
              </a:graphicData>
            </a:graphic>
          </wp:anchor>
        </w:drawing>
      </w:r>
    </w:p>
    <w:p>
      <w:pPr>
        <w:spacing w:after="0" w:line="36"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Balance at December 31, 2024</w:t>
      </w:r>
    </w:p>
    <w:p>
      <w:pPr>
        <w:spacing w:after="0" w:line="51"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14605</wp:posOffset>
            </wp:positionV>
            <wp:extent cx="4594860" cy="13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4594860" cy="134620"/>
                    </a:xfrm>
                    <a:prstGeom prst="rect">
                      <a:avLst/>
                    </a:prstGeom>
                    <a:noFill/>
                  </pic:spPr>
                </pic:pic>
              </a:graphicData>
            </a:graphic>
          </wp:anchor>
        </w:drawing>
      </w:r>
    </w:p>
    <w:p>
      <w:pPr>
        <w:spacing w:after="0" w:line="13" w:lineRule="exact"/>
        <w:rPr>
          <w:sz w:val="20"/>
          <w:szCs w:val="20"/>
          <w:color w:val="auto"/>
        </w:rPr>
      </w:pPr>
    </w:p>
    <w:p>
      <w:pPr>
        <w:ind w:left="2460"/>
        <w:spacing w:after="0"/>
        <w:tabs>
          <w:tab w:leader="none" w:pos="5480" w:val="left"/>
          <w:tab w:leader="none" w:pos="6560" w:val="left"/>
          <w:tab w:leader="none" w:pos="7200" w:val="left"/>
          <w:tab w:leader="none" w:pos="7560" w:val="left"/>
          <w:tab w:leader="none" w:pos="8200" w:val="left"/>
          <w:tab w:leader="none" w:pos="8560" w:val="left"/>
        </w:tabs>
        <w:rPr>
          <w:sz w:val="20"/>
          <w:szCs w:val="20"/>
          <w:color w:val="auto"/>
        </w:rPr>
      </w:pPr>
      <w:r>
        <w:rPr>
          <w:rFonts w:ascii="Arial" w:cs="Arial" w:eastAsia="Arial" w:hAnsi="Arial"/>
          <w:sz w:val="14"/>
          <w:szCs w:val="14"/>
          <w:color w:val="auto"/>
        </w:rPr>
        <w:t xml:space="preserve">Cash equivalents </w:t>
      </w:r>
      <w:r>
        <w:rPr>
          <w:rFonts w:ascii="Arial" w:cs="Arial" w:eastAsia="Arial" w:hAnsi="Arial"/>
          <w:sz w:val="9"/>
          <w:szCs w:val="9"/>
          <w:color w:val="auto"/>
        </w:rPr>
        <w:t>(1)</w:t>
      </w:r>
      <w:r>
        <w:rPr>
          <w:sz w:val="20"/>
          <w:szCs w:val="20"/>
          <w:color w:val="auto"/>
        </w:rPr>
        <w:tab/>
      </w:r>
      <w:r>
        <w:rPr>
          <w:rFonts w:ascii="Arial" w:cs="Arial" w:eastAsia="Arial" w:hAnsi="Arial"/>
          <w:sz w:val="14"/>
          <w:szCs w:val="14"/>
          <w:u w:val="single" w:color="auto"/>
          <w:color w:val="auto"/>
        </w:rPr>
        <w:t>$ 15,283,784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$ 15,283,784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33020</wp:posOffset>
            </wp:positionV>
            <wp:extent cx="256032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2560320" cy="6985"/>
                    </a:xfrm>
                    <a:prstGeom prst="rect">
                      <a:avLst/>
                    </a:prstGeom>
                    <a:noFill/>
                  </pic:spPr>
                </pic:pic>
              </a:graphicData>
            </a:graphic>
          </wp:anchor>
        </w:drawing>
      </w:r>
    </w:p>
    <w:p>
      <w:pPr>
        <w:spacing w:after="0" w:line="49"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14605</wp:posOffset>
            </wp:positionV>
            <wp:extent cx="4594860" cy="134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4594860" cy="134620"/>
                    </a:xfrm>
                    <a:prstGeom prst="rect">
                      <a:avLst/>
                    </a:prstGeom>
                    <a:noFill/>
                  </pic:spPr>
                </pic:pic>
              </a:graphicData>
            </a:graphic>
          </wp:anchor>
        </w:drawing>
      </w:r>
    </w:p>
    <w:p>
      <w:pPr>
        <w:spacing w:after="0" w:line="31"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Current assets:</w:t>
      </w:r>
    </w:p>
    <w:p>
      <w:pPr>
        <w:spacing w:after="0" w:line="33" w:lineRule="exact"/>
        <w:rPr>
          <w:sz w:val="20"/>
          <w:szCs w:val="20"/>
          <w:color w:val="auto"/>
        </w:rPr>
      </w:pPr>
    </w:p>
    <w:p>
      <w:pPr>
        <w:ind w:left="2460"/>
        <w:spacing w:after="0"/>
        <w:tabs>
          <w:tab w:leader="none" w:pos="5480" w:val="left"/>
          <w:tab w:leader="none" w:pos="5720" w:val="left"/>
          <w:tab w:leader="none" w:pos="6560" w:val="left"/>
          <w:tab w:leader="none" w:pos="7200" w:val="left"/>
          <w:tab w:leader="none" w:pos="7560" w:val="left"/>
          <w:tab w:leader="none" w:pos="8200" w:val="left"/>
          <w:tab w:leader="none" w:pos="8560" w:val="left"/>
          <w:tab w:leader="none" w:pos="8800" w:val="left"/>
        </w:tabs>
        <w:rPr>
          <w:sz w:val="20"/>
          <w:szCs w:val="20"/>
          <w:color w:val="auto"/>
        </w:rPr>
      </w:pPr>
      <w:r>
        <w:rPr>
          <w:rFonts w:ascii="Arial" w:cs="Arial" w:eastAsia="Arial" w:hAnsi="Arial"/>
          <w:sz w:val="14"/>
          <w:szCs w:val="14"/>
          <w:color w:val="auto"/>
        </w:rPr>
        <w:t xml:space="preserve">Cash equivalents </w:t>
      </w:r>
      <w:r>
        <w:rPr>
          <w:rFonts w:ascii="Arial" w:cs="Arial" w:eastAsia="Arial" w:hAnsi="Arial"/>
          <w:sz w:val="9"/>
          <w:szCs w:val="9"/>
          <w:color w:val="auto"/>
        </w:rPr>
        <w:t>(1)</w:t>
      </w:r>
      <w:r>
        <w:rPr>
          <w:sz w:val="20"/>
          <w:szCs w:val="20"/>
          <w:color w:val="auto"/>
        </w:rPr>
        <w:tab/>
      </w:r>
      <w:r>
        <w:rPr>
          <w:rFonts w:ascii="Arial" w:cs="Arial" w:eastAsia="Arial" w:hAnsi="Arial"/>
          <w:sz w:val="14"/>
          <w:szCs w:val="14"/>
          <w:u w:val="single" w:color="auto"/>
          <w:color w:val="auto"/>
        </w:rPr>
        <w:t>$</w:t>
        <w:tab/>
        <w:t>9,982,079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9,982,079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12700</wp:posOffset>
            </wp:positionV>
            <wp:extent cx="2560320" cy="266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2560320" cy="26670"/>
                    </a:xfrm>
                    <a:prstGeom prst="rect">
                      <a:avLst/>
                    </a:prstGeom>
                    <a:noFill/>
                  </pic:spPr>
                </pic:pic>
              </a:graphicData>
            </a:graphic>
          </wp:anchor>
        </w:drawing>
      </w:r>
    </w:p>
    <w:p>
      <w:pPr>
        <w:spacing w:after="0" w:line="153" w:lineRule="exact"/>
        <w:rPr>
          <w:sz w:val="20"/>
          <w:szCs w:val="20"/>
          <w:color w:val="auto"/>
        </w:rPr>
      </w:pPr>
    </w:p>
    <w:p>
      <w:pPr>
        <w:ind w:left="2420" w:hanging="125"/>
        <w:spacing w:after="0"/>
        <w:tabs>
          <w:tab w:leader="none" w:pos="2420" w:val="left"/>
        </w:tabs>
        <w:numPr>
          <w:ilvl w:val="0"/>
          <w:numId w:val="68"/>
        </w:numPr>
        <w:rPr>
          <w:rFonts w:ascii="Arial" w:cs="Arial" w:eastAsia="Arial" w:hAnsi="Arial"/>
          <w:sz w:val="7"/>
          <w:szCs w:val="7"/>
          <w:color w:val="auto"/>
        </w:rPr>
      </w:pPr>
      <w:r>
        <w:rPr>
          <w:rFonts w:ascii="Arial" w:cs="Arial" w:eastAsia="Arial" w:hAnsi="Arial"/>
          <w:sz w:val="11"/>
          <w:szCs w:val="11"/>
          <w:color w:val="auto"/>
        </w:rPr>
        <w:t>Represents cash held in money market funds.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1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In November 2023, the FASB issued Accounting Standard Update, or ASU, 2023-07, Segment Reporting (Topic 280): Improvements to Reportable Segment Disclosures, or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adopted ASU 2023-07 on December 31, 2024, which adoption only impacted the Company's segment reporting disclosures. See Note 16, Segment Information, for disclosures related to the adoption of ASU 2023-07.</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11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4"/>
          <w:szCs w:val="14"/>
          <w:color w:val="auto"/>
        </w:rPr>
        <w:t>In November 2024, the FASB issued ASU 2024-3, Disaggregation of Income Statement Expenses. ASU 2024-3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In December 2023, the FASB issued ASU 2023-09, Income Taxes (Topic 740): Improvements to Income Tax Disclosures,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evaluating the disclosure impact of ASU 2023-09 on its consolidated financial statements.</w:t>
      </w:r>
    </w:p>
    <w:p>
      <w:pPr>
        <w:spacing w:after="0" w:line="8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does not believe other recently issued but not yet effective accounting standards, if currently adopted, would have a material effect on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0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w:t>
      </w:r>
    </w:p>
    <w:p>
      <w:pPr>
        <w:jc w:val="both"/>
        <w:ind w:firstLine="5"/>
        <w:spacing w:after="0" w:line="258" w:lineRule="auto"/>
        <w:tabs>
          <w:tab w:leader="none" w:pos="253" w:val="left"/>
        </w:tabs>
        <w:numPr>
          <w:ilvl w:val="0"/>
          <w:numId w:val="69"/>
        </w:numPr>
        <w:rPr>
          <w:rFonts w:ascii="Arial" w:cs="Arial" w:eastAsia="Arial" w:hAnsi="Arial"/>
          <w:sz w:val="14"/>
          <w:szCs w:val="14"/>
          <w:color w:val="auto"/>
        </w:rPr>
      </w:pPr>
      <w:r>
        <w:rPr>
          <w:rFonts w:ascii="Arial" w:cs="Arial" w:eastAsia="Arial" w:hAnsi="Arial"/>
          <w:sz w:val="14"/>
          <w:szCs w:val="14"/>
          <w:color w:val="auto"/>
        </w:rPr>
        <w:t>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allocated to the respective performance obligation when (or as) the performance obligation is satisfied.</w:t>
      </w:r>
    </w:p>
    <w:p>
      <w:pPr>
        <w:spacing w:after="0" w:line="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8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Collaboration Revenues</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enters into collaboration and licensing agreements under which it out-licenses certain rights to its products or product candidates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third parties. The terms of these arrangements typically include payment of one or more of the following to the Company: non-refundable, up-front license fees; development, regulatory and/or commercial milestone payments; and royalties on net sales of licensed products. To date, the Company has not recognized any collaboration revenues.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156" w:name="page157"/>
    <w:bookmarkEnd w:id="156"/>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License Fee Revenue. </w:t>
      </w:r>
      <w:r>
        <w:rPr>
          <w:rFonts w:ascii="Arial" w:cs="Arial" w:eastAsia="Arial" w:hAnsi="Arial"/>
          <w:sz w:val="14"/>
          <w:szCs w:val="14"/>
          <w:color w:val="auto"/>
        </w:rPr>
        <w:t>If the license to the Company’s intellectual property is determined to be distinct from the other performance obligations identified in a contract,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$11.0 million in license fee revenue, $10.0 million of which represents the upfront payment under its license agreement for XACIATO and $1.0 million of which represents the payment required by the first amendment to such license agreement entered into in July 2023.</w:t>
      </w:r>
    </w:p>
    <w:p>
      <w:pPr>
        <w:spacing w:after="0" w:line="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i w:val="1"/>
          <w:iCs w:val="1"/>
          <w:color w:val="auto"/>
        </w:rPr>
        <w:t xml:space="preserve">Royalties. </w:t>
      </w:r>
      <w:r>
        <w:rPr>
          <w:rFonts w:ascii="Arial" w:cs="Arial" w:eastAsia="Arial" w:hAnsi="Arial"/>
          <w:sz w:val="14"/>
          <w:szCs w:val="14"/>
          <w:color w:val="auto"/>
        </w:rPr>
        <w:t>For arrangements that include sales-based royalties, including milestone payments based on the level of sales, and for which the license is deemed to be the</w:t>
      </w:r>
      <w:r>
        <w:rPr>
          <w:rFonts w:ascii="Arial" w:cs="Arial" w:eastAsia="Arial" w:hAnsi="Arial"/>
          <w:sz w:val="14"/>
          <w:szCs w:val="14"/>
          <w:i w:val="1"/>
          <w:iCs w:val="1"/>
          <w:color w:val="auto"/>
        </w:rPr>
        <w:t xml:space="preserve"> </w:t>
      </w:r>
      <w:r>
        <w:rPr>
          <w:rFonts w:ascii="Arial" w:cs="Arial" w:eastAsia="Arial" w:hAnsi="Arial"/>
          <w:sz w:val="14"/>
          <w:szCs w:val="14"/>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recognized approximately $18,000 in royalty revenue.</w:t>
      </w:r>
    </w:p>
    <w:p>
      <w:pPr>
        <w:spacing w:after="0" w:line="8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Product Supply. </w:t>
      </w:r>
      <w:r>
        <w:rPr>
          <w:rFonts w:ascii="Arial" w:cs="Arial" w:eastAsia="Arial" w:hAnsi="Arial"/>
          <w:sz w:val="14"/>
          <w:szCs w:val="14"/>
          <w:color w:val="auto"/>
        </w:rPr>
        <w:t>Arrangements that include a promise for future supply of product for commercial supply at the licensee’s discretion are generally considered as options.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To date, the Company has recognized approximately $205,000 in revenue along with $201,000 in other expense attributed to the cost of revenue associated with its product supply arrangement for XACIATO, which is recorded in other income in the Company's 2023 consolidated statement of operations and comprehensive loss. That arrangement was terminated effective December 14, 2023 and the Company will not recognize product supply revenue associated with that agreement in the future.</w:t>
      </w:r>
    </w:p>
    <w:p>
      <w:pPr>
        <w:spacing w:after="0" w:line="8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Bayer License</w:t>
      </w:r>
      <w:r>
        <w:rPr>
          <w:rFonts w:ascii="Arial" w:cs="Arial" w:eastAsia="Arial" w:hAnsi="Arial"/>
          <w:sz w:val="14"/>
          <w:szCs w:val="14"/>
          <w:color w:val="auto"/>
        </w:rPr>
        <w:t>. In 2020, the Company entered into a license agreement with Bayer Healthcare LLC, or Bayer, regarding the further development and commercialization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Ovaprene in the U.S. and received a $1.0 million upfront non-refundable license fee payment from Bayer (See Note 3, Strategic Agreements). The $1.0 million upfront payment is recorded as deferred license revenue in the Company's consolidated balance sheets at December 31, 2024 and 2023.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To date, neither of the foregoing has occurred.</w:t>
      </w:r>
    </w:p>
    <w:p>
      <w:pPr>
        <w:spacing w:after="0" w:line="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Under its license agreement with Bayer, 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8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At the inception of each arrangement in which the Company is a licensor and that includes developmental, regulatory or commercial milestones,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Potential future milestone payments not within the Company's control, such as where achievement of the specified milestone depends on activities of a third party or regulatory approval, are not considered probable of being achieved until the specified milestone occurs. As of December 31, 2024, the Company has recognized $1.8 million of milestone payment revenues.</w:t>
      </w:r>
    </w:p>
    <w:p>
      <w:pPr>
        <w:spacing w:after="0" w:line="8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Strategic Agreements).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b w:val="1"/>
          <w:bCs w:val="1"/>
          <w:i w:val="1"/>
          <w:iCs w:val="1"/>
          <w:color w:val="auto"/>
        </w:rPr>
        <w:t>Leases</w:t>
      </w:r>
    </w:p>
    <w:p>
      <w:pPr>
        <w:spacing w:after="0" w:line="12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determines if an arrangement is a lease at inception. Operating leases are included in other non-current assets as right-of-use, or ROU, lease assets, current portion of lease liabilities, and long-term lease liabilities on the Company's consolidated balance sheets.</w:t>
      </w:r>
    </w:p>
    <w:p>
      <w:pPr>
        <w:spacing w:after="0" w:line="5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11, Leased Properties).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Research and Development Tax Incentive Program</w:t>
      </w:r>
    </w:p>
    <w:p>
      <w:pPr>
        <w:spacing w:after="0" w:line="11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Company is eligible under the Australian Research and Development Tax Incentive Program, or the Tax Incentive, to receive a cash refund from the Australian Taxation Office for eligible research and development expenditures. To be eligible, the Company must have revenue of less than AUD $20.0 million during the reimbursable period and cannot be controlled by income tax exempt entities. Grants received by the Company that do not require the transfer of goods or services to a customer are accounted for by analogy to IAS 20. Under IAS 20, the Company recognizes the Tax Incentive as a reduction to research and development expense when there is reasonable assurance that the Tax Incentive will be received, the relevant expenditure has been incurred, and the amount can be reliably measured. The Company classifies its estimate for the Tax Incentive as other current assets on its consolidated balance sheets. For the years ended December 31, 2024 and 2023, the Company recognized approximately $46,000 and approximately $0.6 million, respectively, as a reduction to research and development expense for expenses incurred that it believes are eligible for the Tax Incentive. At December 31, 2024 and 2023, the Company recorded a receivable for the estimated Tax Incentive of approximately $46,000 and $0.6 million, respectively, in other receivables on the accompanying consolidated balance sheets.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1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contract research organizations, or CROs, and investigative sites, transaction expenses incurred in connection with the expansion of the product portfolio through acquisitions and license and option agreements, milestone payments incurred or probable to be incurred for the Company's in-licensing arrangements,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 Costs</w:t>
      </w:r>
    </w:p>
    <w:p>
      <w:pPr>
        <w:spacing w:after="0" w:line="19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2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w:t>
      </w:r>
    </w:p>
    <w:p>
      <w:pPr>
        <w:spacing w:after="0" w:line="8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There were stock options exercisable into 883,334 and 788,569 shares of common stock outstanding at December 31, 2024 and 2023, respectively. There were warrants exercisable into 1,268,572 shares of common stock outstanding at each of the years ended December 31, 2024 and 2023. These securities were not included in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color w:val="auto"/>
        </w:rPr>
        <w:t>computation of diluted loss per share because they are antidilutive, but they could potentially dilute earnings (loss) per share in future years.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2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Company records compensation expense for all stock-based awards granted based on the fair value of the award at the time of grant. Compensation expense is recognized in the consolidated statements of operations and comprehensive loss on a straight-line basis over the requisite service period of the award. The Company uses the Black-Scholes Pricing Model to determine the fair value of each of the awards which considers factors such as expected term, the volatility of the Company's common stock, risk free interest rate, and dividend yield. Due to the limited history of the Company, the simplified method was utilized in order to determine the expected term of the awards. The Company compared U.S. Treasury Bills in determining the risk-free interest rate appropriate given the expected term. The Company has not established and has no plans to establish, a dividend policy, and the Company has not declared, and has no plans to declare dividends in the foreseeable future and thus no dividend yield was determined necessary in the calculation of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accounts for income taxes using the asset and liability method in accordance with FASB ASC 740, Income Taxes.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each of December 31, 2024 and 2023, the Company did not record any liabilities for uncertain tax positions.</w:t>
      </w:r>
    </w:p>
    <w:p>
      <w:pPr>
        <w:spacing w:after="0" w:line="8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color w:val="auto"/>
        </w:rPr>
        <w:t>During each of 2024 and 2023, the Company recorded no provision for income taxes. Management evaluated the Company’s tax positions and, as of December 31, 2024 and 2023, the Company had approximately $2.8 million and $2.6 million of unrecognized benefits, respectively. The tax years 2021 to 2023 and 2020 to 2023 remain open to examination by federal and state taxing authorities, respectively, while the statute of limitations for U.S. net operating losses generated remain open beginning in the year of utilization.</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Obligations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As permitted under Delaware law, the Company has entered into indemnification agreements with its officers and directors that provide that the Company will indemnify its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2024,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2024 and 2023, no amounts have been accrued related to such indemnification provisions.</w:t>
      </w:r>
    </w:p>
    <w:p>
      <w:pPr>
        <w:spacing w:after="0" w:line="184" w:lineRule="exact"/>
        <w:rPr>
          <w:sz w:val="20"/>
          <w:szCs w:val="20"/>
          <w:color w:val="auto"/>
        </w:rPr>
      </w:pPr>
    </w:p>
    <w:p>
      <w:pPr>
        <w:ind w:left="280" w:hanging="275"/>
        <w:spacing w:after="0"/>
        <w:tabs>
          <w:tab w:leader="none" w:pos="28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STRATEGIC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Agreements for Product Commercialization</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Organon Exclusive License Agreement</w:t>
      </w:r>
    </w:p>
    <w:p>
      <w:pPr>
        <w:spacing w:after="0" w:line="1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a $10.0 million non-refundable and non-creditable payment from Organon, which was recorded as license fee revenue. In July 2023, the Company received a $1.0 million payment from Organon in connection with the amendment to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59" w:name="page160"/>
    <w:bookmarkEnd w:id="159"/>
    <w:p>
      <w:pPr>
        <w:jc w:val="both"/>
        <w:spacing w:after="0" w:line="290" w:lineRule="auto"/>
        <w:rPr>
          <w:sz w:val="20"/>
          <w:szCs w:val="20"/>
          <w:color w:val="auto"/>
        </w:rPr>
      </w:pPr>
      <w:r>
        <w:rPr>
          <w:rFonts w:ascii="Arial" w:cs="Arial" w:eastAsia="Arial" w:hAnsi="Arial"/>
          <w:sz w:val="14"/>
          <w:szCs w:val="14"/>
          <w:color w:val="auto"/>
        </w:rPr>
        <w:t>license agreement the parties entered into, which was also recorded as license fee revenue. In the fourth quarter of 2023, in connection with the first commercial sale in the U.S. of XACIATO in accordance with the license agreement, as amended, the Company received the $1.8 million milestone payment from Organon.</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spacing w:after="0" w:line="8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the $1.0 million payment in connection with the license agreement amendment and the $1.8 million milestone payment noted above, the transaction price was $12.8 million as of December 31, 2024.</w:t>
      </w:r>
    </w:p>
    <w:p>
      <w:pPr>
        <w:spacing w:after="0" w:line="10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Refer to Note 13, Royalty Purchase Agreements, regarding the Company's sale to XOMA of all the Company's right, title and interest in and to, from and after April 1, 2024, all net royalty and potential net milestone payments from Organon based on net sales of XACIATO.</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Bayer HealthCare License Agreement</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December 31, 2024, neither of the foregoing had occurred. The $1.0 million payment is recorded as non-current deferred license revenue in the Company's consolidated balance sheets at December 31, 2024 and 2023.</w:t>
      </w:r>
    </w:p>
    <w:p>
      <w:pPr>
        <w:spacing w:after="0" w:line="11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color w:val="auto"/>
        </w:rPr>
        <w:t>on annual net sales of Ovaprene during a calendar year, subject to customary royalty reductions and offsets, and (c) a percentage of sublicense revenue.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Refer to Note 13, Royalty Purchase Agreements, regarding XOMA's rights to a portion of potential future payments from Bayer under the Company's license agreement with</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Bayer.</w:t>
      </w:r>
    </w:p>
    <w:p>
      <w:pPr>
        <w:spacing w:after="0" w:line="13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Agreements for Pipeline Development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Theramex Co-Development and Licensing Agreement</w:t>
      </w:r>
    </w:p>
    <w:p>
      <w:pPr>
        <w:spacing w:after="0" w:line="17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Given that the product is in an ongoing Phase 1 study that is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Douglas License Agreement / The University of Manchester Stand-by Direct License Arrangement</w:t>
      </w:r>
    </w:p>
    <w:p>
      <w:pPr>
        <w:spacing w:after="0" w:line="1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w:t>
      </w:r>
    </w:p>
    <w:p>
      <w:pPr>
        <w:spacing w:after="0" w:line="14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color w:val="auto"/>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w:t>
      </w:r>
    </w:p>
    <w:p>
      <w:pPr>
        <w:spacing w:after="0" w:line="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subject to specified limitations. Additionally, Douglas is eligible to receive tiered royalties in low single-digit to low double-digit percentages based on annual net sales of products and processes covered by the licenses granted under the agreement. As of December 31, 2024, no payments had been made under the Douglas agreement.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Hennepin License Agreement</w:t>
      </w:r>
    </w:p>
    <w:p>
      <w:pPr>
        <w:spacing w:after="0" w:line="14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spacing w:after="0" w:line="10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61" w:name="page162"/>
    <w:bookmarkEnd w:id="161"/>
    <w:p>
      <w:pPr>
        <w:jc w:val="both"/>
        <w:spacing w:after="0" w:line="279" w:lineRule="auto"/>
        <w:rPr>
          <w:sz w:val="20"/>
          <w:szCs w:val="20"/>
          <w:color w:val="auto"/>
        </w:rPr>
      </w:pPr>
      <w:r>
        <w:rPr>
          <w:rFonts w:ascii="Arial" w:cs="Arial" w:eastAsia="Arial" w:hAnsi="Arial"/>
          <w:sz w:val="14"/>
          <w:szCs w:val="14"/>
          <w:color w:val="auto"/>
        </w:rPr>
        <w:t>the licenses granted under the agreement, which may be paid, in the Company’s sole discretion, in cash or shares of the Company’s common stock. Additionally, Hennepin is eligible to receive tiered royalties in low single-digit to low double-digit percentages based on worldwide net sales of products and processes covered by the licenses granted under the agreement. As of December 31, 2024, no payments have been made under this agreement.</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MBI Acquisition</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November 2019, the Company acquired Dare MB Inc., or MBI, to secure the rights to develop a long-acting reversible contraception method, that a woman can turn on or off herself, according to her own needs. This candidate is now known as DARE-LARC1.</w:t>
      </w:r>
    </w:p>
    <w:p>
      <w:pPr>
        <w:spacing w:after="0" w:line="9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0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58,334 shares of its common stock to former stockholders of MBI and paid $75,000 in cash to the stockholders’ representative in satisfaction of the $1.25 million in milestone payments associated with milestones achieved in June 2021. As of December 31, 2024, no additional payments have been made under this agreement.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TriLogic and MilanaPharm License Agreement / Hammock Assignment Agreement</w:t>
      </w:r>
    </w:p>
    <w:p>
      <w:pPr>
        <w:spacing w:after="0" w:line="14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spacing w:after="0" w:line="11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auto"/>
        </w:rPr>
        <w:t>in the aggregate upon achievement of certain clinical and regulatory development milestones, $850,000 of which had been paid as of December 31, 2024.</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Pear Tree Acquisition</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Under the terms of the merger agreement, the Company agreed to pay the former stockholders of Pear Tree: (a) up to $ 15.5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spacing w:after="0" w:line="11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December 31, 2024, no payments have been made under this agreement.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Catalent JNP License Agreement</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spacing w:after="0" w:line="10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$ 1.0 million of which had been paid as of December 31, 2024;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Adare Development and Option Agreement</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63" w:name="page164"/>
    <w:bookmarkEnd w:id="163"/>
    <w:p>
      <w:pPr>
        <w:jc w:val="both"/>
        <w:spacing w:after="0" w:line="290" w:lineRule="auto"/>
        <w:rPr>
          <w:sz w:val="20"/>
          <w:szCs w:val="20"/>
          <w:color w:val="auto"/>
        </w:rPr>
      </w:pPr>
      <w:r>
        <w:rPr>
          <w:rFonts w:ascii="Arial" w:cs="Arial" w:eastAsia="Arial" w:hAnsi="Arial"/>
          <w:sz w:val="14"/>
          <w:szCs w:val="14"/>
          <w:color w:val="auto"/>
        </w:rPr>
        <w:t>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SST License and Collaboration Agreement</w:t>
      </w:r>
    </w:p>
    <w:p>
      <w:pPr>
        <w:spacing w:after="0" w:line="15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December 31, 2024, $1.0 million became payable under this agreement and was subsequently paid in February 2025.</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ADVA-Tec License Agreement</w:t>
      </w:r>
    </w:p>
    <w:p>
      <w:pPr>
        <w:spacing w:after="0" w:line="1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March 2017, the Company entered into a license agreement with ADVA-Tec, Inc., or ADVA-Tec, under which the Company was granted the exclusive right to develop and commercialize Ovaprene for human contraceptive use worldwide.</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spacing w:after="0" w:line="9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the Company sublicenses its rights under the agreement, in lieu of royalty payments to ADVA-Tec, ADVA-Tec is eligible to receive a double -digit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 As of December 31, 2024, only the $1.2 million in aggregate milestone payments noted above have been made.</w:t>
      </w:r>
    </w:p>
    <w:p>
      <w:pPr>
        <w:sectPr>
          <w:pgSz w:w="11900" w:h="16838" w:orient="portrait"/>
          <w:cols w:equalWidth="0" w:num="1">
            <w:col w:w="11280"/>
          </w:cols>
          <w:pgMar w:left="300" w:top="772" w:right="319" w:bottom="1440" w:gutter="0" w:footer="0" w:header="0"/>
        </w:sectPr>
      </w:pPr>
    </w:p>
    <w:p>
      <w:pPr>
        <w:spacing w:after="0" w:line="180" w:lineRule="exact"/>
        <w:rPr>
          <w:sz w:val="20"/>
          <w:szCs w:val="20"/>
          <w:color w:val="auto"/>
        </w:rPr>
      </w:pPr>
    </w:p>
    <w:p>
      <w:pPr>
        <w:ind w:left="280" w:hanging="275"/>
        <w:spacing w:after="0"/>
        <w:tabs>
          <w:tab w:leader="none" w:pos="28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PREPAID EXPENSES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Prepaid expenses consisted of the following:</w:t>
      </w:r>
    </w:p>
    <w:p>
      <w:pPr>
        <w:spacing w:after="0" w:line="200" w:lineRule="exact"/>
        <w:rPr>
          <w:sz w:val="20"/>
          <w:szCs w:val="20"/>
          <w:color w:val="auto"/>
        </w:rPr>
      </w:pPr>
    </w:p>
    <w:p>
      <w:pPr>
        <w:spacing w:after="0" w:line="244"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Prepaid clinical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-99060</wp:posOffset>
            </wp:positionV>
            <wp:extent cx="4688840" cy="134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Prepaid development expense</w:t>
      </w:r>
    </w:p>
    <w:p>
      <w:pPr>
        <w:spacing w:after="0" w:line="5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Prepaid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-99060</wp:posOffset>
            </wp:positionV>
            <wp:extent cx="4688840" cy="134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Prepaid legal and professional expenses</w:t>
      </w:r>
    </w:p>
    <w:p>
      <w:pPr>
        <w:spacing w:after="0" w:line="5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Total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-99060</wp:posOffset>
            </wp:positionV>
            <wp:extent cx="4688840" cy="134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468884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6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34747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 w:lineRule="exact"/>
        <w:rPr>
          <w:sz w:val="20"/>
          <w:szCs w:val="20"/>
          <w:color w:val="auto"/>
        </w:rPr>
      </w:pPr>
    </w:p>
    <w:p>
      <w:pPr>
        <w:ind w:left="380"/>
        <w:spacing w:after="0"/>
        <w:tabs>
          <w:tab w:leader="none" w:pos="14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56"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1,290,605   $   5,023,140</w:t>
      </w:r>
    </w:p>
    <w:p>
      <w:pPr>
        <w:spacing w:after="0" w:line="5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663,723</w:t>
      </w:r>
      <w:r>
        <w:rPr>
          <w:rFonts w:ascii="Arial" w:cs="Arial" w:eastAsia="Arial" w:hAnsi="Arial"/>
          <w:sz w:val="13"/>
          <w:szCs w:val="13"/>
          <w:color w:val="auto"/>
        </w:rPr>
        <w:t>376,959</w:t>
      </w:r>
    </w:p>
    <w:p>
      <w:pPr>
        <w:spacing w:after="0" w:line="5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398,950</w:t>
      </w:r>
      <w:r>
        <w:rPr>
          <w:rFonts w:ascii="Arial" w:cs="Arial" w:eastAsia="Arial" w:hAnsi="Arial"/>
          <w:sz w:val="13"/>
          <w:szCs w:val="13"/>
          <w:color w:val="auto"/>
        </w:rPr>
        <w:t>472,922</w:t>
      </w:r>
    </w:p>
    <w:p>
      <w:pPr>
        <w:spacing w:after="0" w:line="51" w:lineRule="exact"/>
        <w:rPr>
          <w:sz w:val="20"/>
          <w:szCs w:val="20"/>
          <w:color w:val="auto"/>
        </w:rPr>
      </w:pPr>
    </w:p>
    <w:p>
      <w:pPr>
        <w:jc w:val="both"/>
        <w:ind w:left="420"/>
        <w:spacing w:after="0"/>
        <w:tabs>
          <w:tab w:leader="none" w:pos="1520" w:val="left"/>
        </w:tabs>
        <w:rPr>
          <w:sz w:val="20"/>
          <w:szCs w:val="20"/>
          <w:color w:val="auto"/>
        </w:rPr>
      </w:pPr>
      <w:r>
        <w:rPr>
          <w:rFonts w:ascii="Arial" w:cs="Arial" w:eastAsia="Arial" w:hAnsi="Arial"/>
          <w:sz w:val="14"/>
          <w:szCs w:val="14"/>
          <w:color w:val="auto"/>
        </w:rPr>
        <w:t>166,429</w:t>
      </w:r>
      <w:r>
        <w:rPr>
          <w:sz w:val="20"/>
          <w:szCs w:val="20"/>
          <w:color w:val="auto"/>
        </w:rPr>
        <w:tab/>
      </w:r>
      <w:r>
        <w:rPr>
          <w:rFonts w:ascii="Arial" w:cs="Arial" w:eastAsia="Arial" w:hAnsi="Arial"/>
          <w:sz w:val="14"/>
          <w:szCs w:val="14"/>
          <w:color w:val="auto"/>
        </w:rPr>
        <w:t>245,251</w:t>
      </w:r>
    </w:p>
    <w:p>
      <w:pPr>
        <w:spacing w:after="0" w:line="30" w:lineRule="exact"/>
        <w:rPr>
          <w:sz w:val="20"/>
          <w:szCs w:val="20"/>
          <w:color w:val="auto"/>
        </w:rPr>
      </w:pPr>
    </w:p>
    <w:p>
      <w:pPr>
        <w:spacing w:after="0"/>
        <w:tabs>
          <w:tab w:leader="none" w:pos="280" w:val="left"/>
          <w:tab w:leader="none" w:pos="1100" w:val="left"/>
          <w:tab w:leader="none" w:pos="1400" w:val="left"/>
        </w:tabs>
        <w:rPr>
          <w:sz w:val="20"/>
          <w:szCs w:val="20"/>
          <w:color w:val="auto"/>
        </w:rPr>
      </w:pPr>
      <w:r>
        <w:rPr>
          <w:rFonts w:ascii="Arial" w:cs="Arial" w:eastAsia="Arial" w:hAnsi="Arial"/>
          <w:sz w:val="14"/>
          <w:szCs w:val="14"/>
          <w:u w:val="single" w:color="auto"/>
          <w:color w:val="auto"/>
        </w:rPr>
        <w:t>$</w:t>
      </w:r>
      <w:r>
        <w:rPr>
          <w:sz w:val="20"/>
          <w:szCs w:val="20"/>
          <w:color w:val="auto"/>
        </w:rPr>
        <w:tab/>
      </w:r>
      <w:r>
        <w:rPr>
          <w:rFonts w:ascii="Arial" w:cs="Arial" w:eastAsia="Arial" w:hAnsi="Arial"/>
          <w:sz w:val="14"/>
          <w:szCs w:val="14"/>
          <w:u w:val="single" w:color="auto"/>
          <w:color w:val="auto"/>
        </w:rPr>
        <w:t>2,519,707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6,118,272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34747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060"/>
          </w:cols>
          <w:pgMar w:left="300" w:top="772" w:right="319" w:bottom="1440" w:gutter="0" w:footer="0" w:header="0"/>
          <w:type w:val="continuous"/>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type w:val="continuous"/>
        </w:sectPr>
      </w:pPr>
    </w:p>
    <w:bookmarkStart w:id="164" w:name="page165"/>
    <w:bookmarkEnd w:id="164"/>
    <w:p>
      <w:pPr>
        <w:ind w:left="280" w:hanging="275"/>
        <w:spacing w:after="0"/>
        <w:tabs>
          <w:tab w:leader="none" w:pos="2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Property and equipment, net, consist of the following:</w:t>
      </w:r>
    </w:p>
    <w:p>
      <w:pPr>
        <w:spacing w:after="0" w:line="314" w:lineRule="exact"/>
        <w:rPr>
          <w:sz w:val="20"/>
          <w:szCs w:val="20"/>
          <w:color w:val="auto"/>
        </w:rPr>
      </w:pPr>
    </w:p>
    <w:tbl>
      <w:tblPr>
        <w:tblLayout w:type="fixed"/>
        <w:tblInd w:w="1640" w:type="dxa"/>
        <w:tblCellMar>
          <w:top w:w="0" w:type="dxa"/>
          <w:left w:w="0" w:type="dxa"/>
          <w:bottom w:w="0" w:type="dxa"/>
          <w:right w:w="0" w:type="dxa"/>
        </w:tblCellMar>
      </w:tblPr>
      <w:tr>
        <w:trPr>
          <w:trHeight w:val="155"/>
        </w:trPr>
        <w:tc>
          <w:tcPr>
            <w:tcW w:w="4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 December 31,</w:t>
            </w:r>
          </w:p>
        </w:tc>
        <w:tc>
          <w:tcPr>
            <w:tcW w:w="1000" w:type="dxa"/>
            <w:vAlign w:val="bottom"/>
            <w:tcBorders>
              <w:bottom w:val="single" w:sz="8" w:color="auto"/>
            </w:tcBorders>
          </w:tcPr>
          <w:p>
            <w:pPr>
              <w:spacing w:after="0"/>
              <w:rPr>
                <w:sz w:val="13"/>
                <w:szCs w:val="13"/>
                <w:color w:val="auto"/>
              </w:rPr>
            </w:pPr>
          </w:p>
        </w:tc>
      </w:tr>
      <w:tr>
        <w:trPr>
          <w:trHeight w:val="192"/>
        </w:trPr>
        <w:tc>
          <w:tcPr>
            <w:tcW w:w="4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2023</w:t>
            </w:r>
          </w:p>
        </w:tc>
      </w:tr>
      <w:tr>
        <w:trPr>
          <w:trHeight w:val="18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Assets under construction</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1,229,165</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600,000</w:t>
            </w:r>
          </w:p>
        </w:tc>
      </w:tr>
      <w:tr>
        <w:trPr>
          <w:trHeight w:val="202"/>
        </w:trPr>
        <w:tc>
          <w:tcPr>
            <w:tcW w:w="4140" w:type="dxa"/>
            <w:vAlign w:val="bottom"/>
          </w:tcPr>
          <w:p>
            <w:pPr>
              <w:spacing w:after="0"/>
              <w:rPr>
                <w:sz w:val="20"/>
                <w:szCs w:val="20"/>
                <w:color w:val="auto"/>
              </w:rPr>
            </w:pPr>
            <w:r>
              <w:rPr>
                <w:rFonts w:ascii="Arial" w:cs="Arial" w:eastAsia="Arial" w:hAnsi="Arial"/>
                <w:sz w:val="14"/>
                <w:szCs w:val="14"/>
                <w:color w:val="auto"/>
              </w:rPr>
              <w:t>IT equipment</w:t>
            </w:r>
          </w:p>
        </w:tc>
        <w:tc>
          <w:tcPr>
            <w:tcW w:w="360" w:type="dxa"/>
            <w:vAlign w:val="bottom"/>
          </w:tcPr>
          <w:p>
            <w:pPr>
              <w:spacing w:after="0"/>
              <w:rPr>
                <w:sz w:val="17"/>
                <w:szCs w:val="17"/>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37,239</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51,978</w:t>
            </w:r>
          </w:p>
        </w:tc>
      </w:tr>
      <w:tr>
        <w:trPr>
          <w:trHeight w:val="20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40,284</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42,188</w:t>
            </w:r>
          </w:p>
        </w:tc>
      </w:tr>
      <w:tr>
        <w:trPr>
          <w:trHeight w:val="202"/>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Lab equipment</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204,938</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107,511</w:t>
            </w:r>
          </w:p>
        </w:tc>
      </w:tr>
      <w:tr>
        <w:trPr>
          <w:trHeight w:val="182"/>
        </w:trPr>
        <w:tc>
          <w:tcPr>
            <w:tcW w:w="4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1,511,626</w:t>
            </w:r>
          </w:p>
        </w:tc>
        <w:tc>
          <w:tcPr>
            <w:tcW w:w="1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801,677</w:t>
            </w:r>
          </w:p>
        </w:tc>
      </w:tr>
      <w:tr>
        <w:trPr>
          <w:trHeight w:val="192"/>
        </w:trPr>
        <w:tc>
          <w:tcPr>
            <w:tcW w:w="4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(175,894)</w:t>
            </w:r>
          </w:p>
        </w:tc>
        <w:tc>
          <w:tcPr>
            <w:tcW w:w="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(145,702)</w:t>
            </w:r>
          </w:p>
        </w:tc>
      </w:tr>
      <w:tr>
        <w:trPr>
          <w:trHeight w:val="171"/>
        </w:trPr>
        <w:tc>
          <w:tcPr>
            <w:tcW w:w="41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1,335,732</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655,975</w:t>
            </w:r>
          </w:p>
        </w:tc>
      </w:tr>
      <w:tr>
        <w:trPr>
          <w:trHeight w:val="20"/>
        </w:trPr>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Depreciation expense was $42,325 and $38,363 for the years ended December 31, 2024 and 2023, respectively.</w:t>
      </w:r>
    </w:p>
    <w:p>
      <w:pPr>
        <w:spacing w:after="0" w:line="22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6.</w:t>
        <w:tab/>
        <w:t>ACCRUED EXPENSES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expenses consisted of the following:</w:t>
      </w:r>
    </w:p>
    <w:p>
      <w:pPr>
        <w:spacing w:after="0" w:line="123" w:lineRule="exact"/>
        <w:rPr>
          <w:sz w:val="20"/>
          <w:szCs w:val="20"/>
          <w:color w:val="auto"/>
        </w:rPr>
      </w:pPr>
    </w:p>
    <w:tbl>
      <w:tblPr>
        <w:tblLayout w:type="fixed"/>
        <w:tblInd w:w="1960" w:type="dxa"/>
        <w:tblCellMar>
          <w:top w:w="0" w:type="dxa"/>
          <w:left w:w="0" w:type="dxa"/>
          <w:bottom w:w="0" w:type="dxa"/>
          <w:right w:w="0" w:type="dxa"/>
        </w:tblCellMar>
      </w:tblPr>
      <w:tr>
        <w:trPr>
          <w:trHeight w:val="155"/>
        </w:trPr>
        <w:tc>
          <w:tcPr>
            <w:tcW w:w="5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1"/>
                <w:szCs w:val="11"/>
                <w:b w:val="1"/>
                <w:bCs w:val="1"/>
                <w:color w:val="auto"/>
              </w:rPr>
              <w:t>As of December 31,</w:t>
            </w:r>
          </w:p>
        </w:tc>
      </w:tr>
      <w:tr>
        <w:trPr>
          <w:trHeight w:val="150"/>
        </w:trPr>
        <w:tc>
          <w:tcPr>
            <w:tcW w:w="5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2023</w:t>
            </w:r>
          </w:p>
        </w:tc>
      </w:tr>
      <w:tr>
        <w:trPr>
          <w:trHeight w:val="19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Accrued clinical expense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1,195,744</w:t>
            </w:r>
          </w:p>
        </w:tc>
      </w:tr>
      <w:tr>
        <w:trPr>
          <w:trHeight w:val="212"/>
        </w:trPr>
        <w:tc>
          <w:tcPr>
            <w:tcW w:w="5220" w:type="dxa"/>
            <w:vAlign w:val="bottom"/>
          </w:tcPr>
          <w:p>
            <w:pPr>
              <w:spacing w:after="0"/>
              <w:rPr>
                <w:sz w:val="20"/>
                <w:szCs w:val="20"/>
                <w:color w:val="auto"/>
              </w:rPr>
            </w:pPr>
            <w:r>
              <w:rPr>
                <w:rFonts w:ascii="Arial" w:cs="Arial" w:eastAsia="Arial" w:hAnsi="Arial"/>
                <w:sz w:val="14"/>
                <w:szCs w:val="14"/>
                <w:color w:val="auto"/>
              </w:rPr>
              <w:t>Accrued compensation and benefits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805,612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805,412</w:t>
            </w: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Accrued development expense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1,258,435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547,490</w:t>
            </w:r>
          </w:p>
        </w:tc>
      </w:tr>
      <w:tr>
        <w:trPr>
          <w:trHeight w:val="212"/>
        </w:trPr>
        <w:tc>
          <w:tcPr>
            <w:tcW w:w="5220" w:type="dxa"/>
            <w:vAlign w:val="bottom"/>
          </w:tcPr>
          <w:p>
            <w:pPr>
              <w:spacing w:after="0"/>
              <w:rPr>
                <w:sz w:val="20"/>
                <w:szCs w:val="20"/>
                <w:color w:val="auto"/>
              </w:rPr>
            </w:pPr>
            <w:r>
              <w:rPr>
                <w:rFonts w:ascii="Arial" w:cs="Arial" w:eastAsia="Arial" w:hAnsi="Arial"/>
                <w:sz w:val="14"/>
                <w:szCs w:val="14"/>
                <w:color w:val="auto"/>
              </w:rPr>
              <w:t>Accrued royalties payable</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6,504</w:t>
            </w: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Insurance financing payable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267,188</w:t>
            </w:r>
          </w:p>
        </w:tc>
      </w:tr>
      <w:tr>
        <w:trPr>
          <w:trHeight w:val="212"/>
        </w:trPr>
        <w:tc>
          <w:tcPr>
            <w:tcW w:w="5220" w:type="dxa"/>
            <w:vAlign w:val="bottom"/>
          </w:tcPr>
          <w:p>
            <w:pPr>
              <w:spacing w:after="0"/>
              <w:rPr>
                <w:sz w:val="20"/>
                <w:szCs w:val="20"/>
                <w:color w:val="auto"/>
              </w:rPr>
            </w:pPr>
            <w:r>
              <w:rPr>
                <w:rFonts w:ascii="Arial" w:cs="Arial" w:eastAsia="Arial" w:hAnsi="Arial"/>
                <w:sz w:val="14"/>
                <w:szCs w:val="14"/>
                <w:color w:val="auto"/>
              </w:rPr>
              <w:t>Other accruals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662,576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1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Accrued license fee expense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66,667</w:t>
            </w:r>
          </w:p>
        </w:tc>
      </w:tr>
      <w:tr>
        <w:trPr>
          <w:trHeight w:val="171"/>
        </w:trPr>
        <w:tc>
          <w:tcPr>
            <w:tcW w:w="5220" w:type="dxa"/>
            <w:vAlign w:val="bottom"/>
          </w:tcPr>
          <w:p>
            <w:pPr>
              <w:spacing w:after="0"/>
              <w:rPr>
                <w:sz w:val="20"/>
                <w:szCs w:val="20"/>
                <w:color w:val="auto"/>
              </w:rPr>
            </w:pPr>
            <w:r>
              <w:rPr>
                <w:rFonts w:ascii="Arial" w:cs="Arial" w:eastAsia="Arial" w:hAnsi="Arial"/>
                <w:sz w:val="14"/>
                <w:szCs w:val="14"/>
                <w:color w:val="auto"/>
              </w:rPr>
              <w:t>Total accrued expenses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3,042,918</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2,889,005</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280" w:hanging="275"/>
        <w:spacing w:after="0"/>
        <w:tabs>
          <w:tab w:leader="none" w:pos="28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VENDOR CONCENTRATION</w:t>
      </w:r>
    </w:p>
    <w:p>
      <w:pPr>
        <w:spacing w:after="0" w:line="22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had two major vendors that accounted for approximately 15% and 12% of the Company's research and development expenditures for the year ended December 31, 2024, and 21% and 3% of the Company's research and development expenditures for the year ended December 31, 2023. The same vendors accounted for 0% of the Company's total accounts payable and accrued expenses as of each of December 31, 2024 and 2023. The Company continues to maintain its relationship with these vendors and anticipates incurring significant expenses with these vendors over the next 12 months.</w:t>
      </w:r>
    </w:p>
    <w:p>
      <w:pPr>
        <w:spacing w:after="0" w:line="180" w:lineRule="exact"/>
        <w:rPr>
          <w:sz w:val="20"/>
          <w:szCs w:val="20"/>
          <w:color w:val="auto"/>
        </w:rPr>
      </w:pPr>
    </w:p>
    <w:p>
      <w:pPr>
        <w:ind w:left="280" w:hanging="275"/>
        <w:spacing w:after="0"/>
        <w:tabs>
          <w:tab w:leader="none" w:pos="28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loss from continuing operations before provision for income taxes consists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60" w:type="dxa"/>
            <w:vAlign w:val="bottom"/>
            <w:gridSpan w:val="5"/>
          </w:tcPr>
          <w:p>
            <w:pPr>
              <w:ind w:left="120"/>
              <w:spacing w:after="0"/>
              <w:rPr>
                <w:sz w:val="20"/>
                <w:szCs w:val="20"/>
                <w:color w:val="auto"/>
              </w:rPr>
            </w:pPr>
            <w:r>
              <w:rPr>
                <w:rFonts w:ascii="Arial" w:cs="Arial" w:eastAsia="Arial" w:hAnsi="Arial"/>
                <w:sz w:val="11"/>
                <w:szCs w:val="11"/>
                <w:b w:val="1"/>
                <w:bCs w:val="1"/>
                <w:color w:val="auto"/>
              </w:rPr>
              <w:t>Years Ended December 31,</w:t>
            </w:r>
          </w:p>
        </w:tc>
      </w:tr>
      <w:tr>
        <w:trPr>
          <w:trHeight w:val="150"/>
        </w:trPr>
        <w:tc>
          <w:tcPr>
            <w:tcW w:w="1960" w:type="dxa"/>
            <w:vAlign w:val="bottom"/>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2023</w:t>
            </w:r>
          </w:p>
        </w:tc>
        <w:tc>
          <w:tcPr>
            <w:tcW w:w="1940" w:type="dxa"/>
            <w:vAlign w:val="bottom"/>
          </w:tcPr>
          <w:p>
            <w:pPr>
              <w:spacing w:after="0"/>
              <w:rPr>
                <w:sz w:val="13"/>
                <w:szCs w:val="13"/>
                <w:color w:val="auto"/>
              </w:rPr>
            </w:pPr>
          </w:p>
        </w:tc>
      </w:tr>
      <w:tr>
        <w:trPr>
          <w:trHeight w:val="192"/>
        </w:trPr>
        <w:tc>
          <w:tcPr>
            <w:tcW w:w="1960" w:type="dxa"/>
            <w:vAlign w:val="bottom"/>
          </w:tcPr>
          <w:p>
            <w:pPr>
              <w:spacing w:after="0"/>
              <w:rPr>
                <w:sz w:val="16"/>
                <w:szCs w:val="16"/>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4"/>
                <w:szCs w:val="14"/>
                <w:color w:val="auto"/>
              </w:rPr>
              <w:t>Domestic</w:t>
            </w:r>
          </w:p>
        </w:tc>
        <w:tc>
          <w:tcPr>
            <w:tcW w:w="31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5"/>
              <w:spacing w:after="0"/>
              <w:rPr>
                <w:sz w:val="20"/>
                <w:szCs w:val="20"/>
                <w:color w:val="auto"/>
              </w:rPr>
            </w:pPr>
            <w:r>
              <w:rPr>
                <w:rFonts w:ascii="Arial" w:cs="Arial" w:eastAsia="Arial" w:hAnsi="Arial"/>
                <w:sz w:val="14"/>
                <w:szCs w:val="14"/>
                <w:color w:val="auto"/>
              </w:rPr>
              <w:t>3,822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13"/>
              <w:spacing w:after="0"/>
              <w:rPr>
                <w:sz w:val="20"/>
                <w:szCs w:val="20"/>
                <w:color w:val="auto"/>
              </w:rPr>
            </w:pPr>
            <w:r>
              <w:rPr>
                <w:rFonts w:ascii="Arial" w:cs="Arial" w:eastAsia="Arial" w:hAnsi="Arial"/>
                <w:sz w:val="14"/>
                <w:szCs w:val="14"/>
                <w:color w:val="auto"/>
              </w:rPr>
              <w:t>29,099</w:t>
            </w:r>
          </w:p>
        </w:tc>
        <w:tc>
          <w:tcPr>
            <w:tcW w:w="1940" w:type="dxa"/>
            <w:vAlign w:val="bottom"/>
          </w:tcPr>
          <w:p>
            <w:pPr>
              <w:spacing w:after="0"/>
              <w:rPr>
                <w:sz w:val="16"/>
                <w:szCs w:val="16"/>
                <w:color w:val="auto"/>
              </w:rPr>
            </w:pPr>
          </w:p>
        </w:tc>
      </w:tr>
      <w:tr>
        <w:trPr>
          <w:trHeight w:val="212"/>
        </w:trPr>
        <w:tc>
          <w:tcPr>
            <w:tcW w:w="1960" w:type="dxa"/>
            <w:vAlign w:val="bottom"/>
          </w:tcPr>
          <w:p>
            <w:pPr>
              <w:spacing w:after="0"/>
              <w:rPr>
                <w:sz w:val="18"/>
                <w:szCs w:val="18"/>
                <w:color w:val="auto"/>
              </w:rPr>
            </w:pPr>
          </w:p>
        </w:tc>
        <w:tc>
          <w:tcPr>
            <w:tcW w:w="23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Foreign</w:t>
            </w:r>
          </w:p>
        </w:tc>
        <w:tc>
          <w:tcPr>
            <w:tcW w:w="29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1,060</w:t>
            </w:r>
          </w:p>
        </w:tc>
        <w:tc>
          <w:tcPr>
            <w:tcW w:w="1940" w:type="dxa"/>
            <w:vAlign w:val="bottom"/>
          </w:tcPr>
          <w:p>
            <w:pPr>
              <w:spacing w:after="0"/>
              <w:rPr>
                <w:sz w:val="18"/>
                <w:szCs w:val="18"/>
                <w:color w:val="auto"/>
              </w:rPr>
            </w:pPr>
          </w:p>
        </w:tc>
      </w:tr>
      <w:tr>
        <w:trPr>
          <w:trHeight w:val="196"/>
        </w:trPr>
        <w:tc>
          <w:tcPr>
            <w:tcW w:w="1960" w:type="dxa"/>
            <w:vAlign w:val="bottom"/>
          </w:tcPr>
          <w:p>
            <w:pPr>
              <w:spacing w:after="0"/>
              <w:rPr>
                <w:sz w:val="16"/>
                <w:szCs w:val="16"/>
                <w:color w:val="auto"/>
              </w:rPr>
            </w:pPr>
          </w:p>
        </w:tc>
        <w:tc>
          <w:tcPr>
            <w:tcW w:w="2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Loss before taxes</w:t>
            </w:r>
          </w:p>
        </w:tc>
        <w:tc>
          <w:tcPr>
            <w:tcW w:w="29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4"/>
                <w:szCs w:val="14"/>
                <w:color w:val="auto"/>
              </w:rPr>
              <w:t>4,052</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4"/>
                <w:szCs w:val="14"/>
                <w:color w:val="auto"/>
              </w:rPr>
              <w:t>30,159</w:t>
            </w:r>
          </w:p>
        </w:tc>
        <w:tc>
          <w:tcPr>
            <w:tcW w:w="1940" w:type="dxa"/>
            <w:vAlign w:val="bottom"/>
          </w:tcPr>
          <w:p>
            <w:pPr>
              <w:spacing w:after="0"/>
              <w:rPr>
                <w:sz w:val="16"/>
                <w:szCs w:val="16"/>
                <w:color w:val="auto"/>
              </w:rPr>
            </w:pPr>
          </w:p>
        </w:tc>
      </w:tr>
      <w:tr>
        <w:trPr>
          <w:trHeight w:val="20"/>
        </w:trPr>
        <w:tc>
          <w:tcPr>
            <w:tcW w:w="1960" w:type="dxa"/>
            <w:vAlign w:val="bottom"/>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8"/>
        </w:trPr>
        <w:tc>
          <w:tcPr>
            <w:tcW w:w="1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20" w:type="dxa"/>
            <w:vAlign w:val="bottom"/>
            <w:gridSpan w:val="2"/>
          </w:tcPr>
          <w:p>
            <w:pPr>
              <w:jc w:val="right"/>
              <w:ind w:right="1569"/>
              <w:spacing w:after="0"/>
              <w:rPr>
                <w:sz w:val="20"/>
                <w:szCs w:val="20"/>
                <w:color w:val="auto"/>
              </w:rPr>
            </w:pPr>
            <w:r>
              <w:rPr>
                <w:rFonts w:ascii="Arial" w:cs="Arial" w:eastAsia="Arial" w:hAnsi="Arial"/>
                <w:sz w:val="14"/>
                <w:szCs w:val="14"/>
                <w:color w:val="auto"/>
              </w:rPr>
              <w:t>F-22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85"/>
        </w:trPr>
        <w:tc>
          <w:tcPr>
            <w:tcW w:w="196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5" w:name="page166"/>
    <w:bookmarkEnd w:id="165"/>
    <w:p>
      <w:pPr>
        <w:ind w:firstLine="509"/>
        <w:spacing w:after="0" w:line="290" w:lineRule="auto"/>
        <w:rPr>
          <w:sz w:val="20"/>
          <w:szCs w:val="20"/>
          <w:color w:val="auto"/>
        </w:rPr>
      </w:pPr>
      <w:r>
        <w:rPr>
          <w:rFonts w:ascii="Arial" w:cs="Arial" w:eastAsia="Arial" w:hAnsi="Arial"/>
          <w:sz w:val="14"/>
          <w:szCs w:val="14"/>
          <w:color w:val="auto"/>
        </w:rPr>
        <w:t>The difference between the provision (benefit) for income taxes and the amount computed by applying the U.S. federal income tax rate for the years ended December 31, 2024 and 2023 are as follows:</w:t>
      </w:r>
    </w:p>
    <w:p>
      <w:pPr>
        <w:spacing w:after="0" w:line="76" w:lineRule="exact"/>
        <w:rPr>
          <w:sz w:val="20"/>
          <w:szCs w:val="20"/>
          <w:color w:val="auto"/>
        </w:rPr>
      </w:pPr>
    </w:p>
    <w:tbl>
      <w:tblPr>
        <w:tblLayout w:type="fixed"/>
        <w:tblInd w:w="1960"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222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1"/>
                <w:szCs w:val="11"/>
                <w:b w:val="1"/>
                <w:bCs w:val="1"/>
                <w:color w:val="auto"/>
              </w:rPr>
              <w:t>Years Ended December 31,</w:t>
            </w:r>
          </w:p>
        </w:tc>
      </w:tr>
      <w:tr>
        <w:trPr>
          <w:trHeight w:val="150"/>
        </w:trPr>
        <w:tc>
          <w:tcPr>
            <w:tcW w:w="51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2023</w:t>
            </w:r>
          </w:p>
        </w:tc>
      </w:tr>
      <w:tr>
        <w:trPr>
          <w:trHeight w:val="192"/>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Federal statutory rate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212"/>
        </w:trPr>
        <w:tc>
          <w:tcPr>
            <w:tcW w:w="5160" w:type="dxa"/>
            <w:vAlign w:val="bottom"/>
          </w:tcPr>
          <w:p>
            <w:pPr>
              <w:spacing w:after="0"/>
              <w:rPr>
                <w:sz w:val="20"/>
                <w:szCs w:val="20"/>
                <w:color w:val="auto"/>
              </w:rPr>
            </w:pPr>
            <w:r>
              <w:rPr>
                <w:rFonts w:ascii="Arial" w:cs="Arial" w:eastAsia="Arial" w:hAnsi="Arial"/>
                <w:sz w:val="14"/>
                <w:szCs w:val="14"/>
                <w:color w:val="auto"/>
              </w:rPr>
              <w:t>State income tax, net of federal benefit</w:t>
            </w:r>
          </w:p>
        </w:tc>
        <w:tc>
          <w:tcPr>
            <w:tcW w:w="106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0.84 %</w:t>
            </w: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State tax rate change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r>
      <w:tr>
        <w:trPr>
          <w:trHeight w:val="212"/>
        </w:trPr>
        <w:tc>
          <w:tcPr>
            <w:tcW w:w="5160" w:type="dxa"/>
            <w:vAlign w:val="bottom"/>
          </w:tcPr>
          <w:p>
            <w:pPr>
              <w:spacing w:after="0"/>
              <w:rPr>
                <w:sz w:val="20"/>
                <w:szCs w:val="20"/>
                <w:color w:val="auto"/>
              </w:rPr>
            </w:pPr>
            <w:r>
              <w:rPr>
                <w:rFonts w:ascii="Arial" w:cs="Arial" w:eastAsia="Arial" w:hAnsi="Arial"/>
                <w:sz w:val="14"/>
                <w:szCs w:val="14"/>
                <w:color w:val="auto"/>
              </w:rPr>
              <w:t>Permanent differences</w:t>
            </w:r>
          </w:p>
        </w:tc>
        <w:tc>
          <w:tcPr>
            <w:tcW w:w="106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 credit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7.47 %</w:t>
            </w:r>
          </w:p>
        </w:tc>
      </w:tr>
      <w:tr>
        <w:trPr>
          <w:trHeight w:val="212"/>
        </w:trPr>
        <w:tc>
          <w:tcPr>
            <w:tcW w:w="5160" w:type="dxa"/>
            <w:vAlign w:val="bottom"/>
          </w:tcPr>
          <w:p>
            <w:pPr>
              <w:spacing w:after="0"/>
              <w:rPr>
                <w:sz w:val="20"/>
                <w:szCs w:val="20"/>
                <w:color w:val="auto"/>
              </w:rPr>
            </w:pPr>
            <w:r>
              <w:rPr>
                <w:rFonts w:ascii="Arial" w:cs="Arial" w:eastAsia="Arial" w:hAnsi="Arial"/>
                <w:sz w:val="14"/>
                <w:szCs w:val="14"/>
                <w:color w:val="auto"/>
              </w:rPr>
              <w:t>Stock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(0.75)%</w:t>
            </w: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212"/>
        </w:trPr>
        <w:tc>
          <w:tcPr>
            <w:tcW w:w="5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Change in valuation allowance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w:t>
            </w:r>
          </w:p>
        </w:tc>
      </w:tr>
      <w:tr>
        <w:trPr>
          <w:trHeight w:val="19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Effective income tax rate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major components of the Company’s deferred tax assets as of December 31, 2024 and 2023 are shown below (in thousands).</w:t>
      </w:r>
    </w:p>
    <w:p>
      <w:pPr>
        <w:spacing w:after="0" w:line="134" w:lineRule="exact"/>
        <w:rPr>
          <w:sz w:val="20"/>
          <w:szCs w:val="20"/>
          <w:color w:val="auto"/>
        </w:rPr>
      </w:pPr>
    </w:p>
    <w:tbl>
      <w:tblPr>
        <w:tblLayout w:type="fixed"/>
        <w:tblInd w:w="1960" w:type="dxa"/>
        <w:tblCellMar>
          <w:top w:w="0" w:type="dxa"/>
          <w:left w:w="0" w:type="dxa"/>
          <w:bottom w:w="0" w:type="dxa"/>
          <w:right w:w="0" w:type="dxa"/>
        </w:tblCellMar>
      </w:tblPr>
      <w:tr>
        <w:trPr>
          <w:trHeight w:val="155"/>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2023</w:t>
            </w:r>
          </w:p>
        </w:tc>
      </w:tr>
      <w:tr>
        <w:trPr>
          <w:trHeight w:val="19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Net operating loss carryforwards</w:t>
            </w: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86,589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86,182</w:t>
            </w:r>
          </w:p>
        </w:tc>
      </w:tr>
      <w:tr>
        <w:trPr>
          <w:trHeight w:val="212"/>
        </w:trPr>
        <w:tc>
          <w:tcPr>
            <w:tcW w:w="5240" w:type="dxa"/>
            <w:vAlign w:val="bottom"/>
          </w:tcPr>
          <w:p>
            <w:pPr>
              <w:spacing w:after="0"/>
              <w:rPr>
                <w:sz w:val="20"/>
                <w:szCs w:val="20"/>
                <w:color w:val="auto"/>
              </w:rPr>
            </w:pPr>
            <w:r>
              <w:rPr>
                <w:rFonts w:ascii="Arial" w:cs="Arial" w:eastAsia="Arial" w:hAnsi="Arial"/>
                <w:sz w:val="14"/>
                <w:szCs w:val="14"/>
                <w:color w:val="auto"/>
              </w:rPr>
              <w:t>Research and development credit carryforwards</w:t>
            </w: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10,868</w:t>
            </w: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Capitalized research and development costs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12,614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12,570</w:t>
            </w:r>
          </w:p>
        </w:tc>
      </w:tr>
      <w:tr>
        <w:trPr>
          <w:trHeight w:val="212"/>
        </w:trPr>
        <w:tc>
          <w:tcPr>
            <w:tcW w:w="5240" w:type="dxa"/>
            <w:vAlign w:val="bottom"/>
          </w:tcPr>
          <w:p>
            <w:pPr>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41</w:t>
            </w: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3,570</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2,618</w:t>
            </w:r>
          </w:p>
        </w:tc>
      </w:tr>
      <w:tr>
        <w:trPr>
          <w:trHeight w:val="192"/>
        </w:trPr>
        <w:tc>
          <w:tcPr>
            <w:tcW w:w="5240" w:type="dxa"/>
            <w:vAlign w:val="bottom"/>
          </w:tcPr>
          <w:p>
            <w:pPr>
              <w:spacing w:after="0"/>
              <w:rPr>
                <w:sz w:val="20"/>
                <w:szCs w:val="20"/>
                <w:color w:val="auto"/>
              </w:rPr>
            </w:pPr>
            <w:r>
              <w:rPr>
                <w:rFonts w:ascii="Arial" w:cs="Arial" w:eastAsia="Arial" w:hAnsi="Arial"/>
                <w:sz w:val="14"/>
                <w:szCs w:val="14"/>
                <w:color w:val="auto"/>
              </w:rPr>
              <w:t>Total deferred tax assets</w:t>
            </w:r>
          </w:p>
        </w:tc>
        <w:tc>
          <w:tcPr>
            <w:tcW w:w="24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114,668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112,279</w:t>
            </w: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Valuation allowance</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(114,668)</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(112,279)</w:t>
            </w:r>
          </w:p>
        </w:tc>
      </w:tr>
      <w:tr>
        <w:trPr>
          <w:trHeight w:val="171"/>
        </w:trPr>
        <w:tc>
          <w:tcPr>
            <w:tcW w:w="5240" w:type="dxa"/>
            <w:vAlign w:val="bottom"/>
          </w:tcPr>
          <w:p>
            <w:pPr>
              <w:spacing w:after="0"/>
              <w:rPr>
                <w:sz w:val="20"/>
                <w:szCs w:val="20"/>
                <w:color w:val="auto"/>
              </w:rPr>
            </w:pPr>
            <w:r>
              <w:rPr>
                <w:rFonts w:ascii="Arial" w:cs="Arial" w:eastAsia="Arial" w:hAnsi="Arial"/>
                <w:sz w:val="14"/>
                <w:szCs w:val="14"/>
                <w:color w:val="auto"/>
              </w:rPr>
              <w:t>Net deferred tax assets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$114.7 million and $112.3 million was established at December 31, 2024 and 2023, respectively, to offset the net deferred tax assets. When and if management determines that it is more likely than not that the Company will be able to utilize the deferred tax assets prior to their expiration, the valuation allowance may be reduced or eliminated.</w:t>
      </w:r>
    </w:p>
    <w:p>
      <w:pPr>
        <w:spacing w:after="0" w:line="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increase in valuation allowance of approximately $2.4 million and $ 8.0 million for the years ended December 31, 2024 and 2023, respectively, is primarily related to an increase in net operating losses and R&amp;D credits generated during the year and changes in state tax rates.</w:t>
      </w:r>
    </w:p>
    <w:p>
      <w:pPr>
        <w:spacing w:after="0" w:line="3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has U.S. federal net operating loss, or NOL, carryforwards available at December 31, 2024 of approximately $315.2 million of which $1.1 million begin expiring in 2025 unless previously utilized and $139.8 million that do not expire. The Company has state NOL carryforwards of $ 298.4 million that begin expiring in 2031 unless previously utilized. The Company has U.S. federal research credit carryforwards available at December 31, 2024 of approximately $11.6 million that begin expiring in 2027 unless previously utilized. The Company has state research credit carryforwards of $2.5 million of which $0.2 million begin expiring in 2027 unless previously utilized. These federal and state research and development credits are subject to a 20% reserve under FASB ASC 740. The difference between federal and state NOL carryforwards is primarily due to previously expired state NOL carryforwards.</w:t>
      </w:r>
    </w:p>
    <w:p>
      <w:pPr>
        <w:spacing w:after="0" w:line="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yet completed an evaluation of ownership changes. To the extent an ownership change occurs, the NOL and credit carryforwards and other deferred tax assets may be subject to limitations.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66" w:name="page167"/>
    <w:bookmarkEnd w:id="166"/>
    <w:p>
      <w:pPr>
        <w:ind w:left="520"/>
        <w:spacing w:after="0"/>
        <w:rPr>
          <w:sz w:val="20"/>
          <w:szCs w:val="20"/>
          <w:color w:val="auto"/>
        </w:rPr>
      </w:pPr>
      <w:r>
        <w:rPr>
          <w:rFonts w:ascii="Arial" w:cs="Arial" w:eastAsia="Arial" w:hAnsi="Arial"/>
          <w:sz w:val="14"/>
          <w:szCs w:val="14"/>
          <w:color w:val="auto"/>
        </w:rPr>
        <w:t>A reconciliation of the beginning and ending amount of uncertain tax benefits is as follows (in thousands):</w:t>
      </w:r>
    </w:p>
    <w:p>
      <w:pPr>
        <w:spacing w:after="0" w:line="134" w:lineRule="exact"/>
        <w:rPr>
          <w:sz w:val="20"/>
          <w:szCs w:val="20"/>
          <w:color w:val="auto"/>
        </w:rPr>
      </w:pPr>
    </w:p>
    <w:tbl>
      <w:tblPr>
        <w:tblLayout w:type="fixed"/>
        <w:tblInd w:w="196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1"/>
                <w:szCs w:val="11"/>
                <w:b w:val="1"/>
                <w:bCs w:val="1"/>
                <w:color w:val="auto"/>
              </w:rPr>
              <w:t>Years Ended December 31,</w:t>
            </w:r>
          </w:p>
        </w:tc>
      </w:tr>
      <w:tr>
        <w:trPr>
          <w:trHeight w:val="150"/>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2023</w:t>
            </w:r>
          </w:p>
        </w:tc>
      </w:tr>
      <w:tr>
        <w:trPr>
          <w:trHeight w:val="19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Beginning uncertain tax benefits</w:t>
            </w: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2,316</w:t>
            </w:r>
          </w:p>
        </w:tc>
      </w:tr>
      <w:tr>
        <w:trPr>
          <w:trHeight w:val="212"/>
        </w:trPr>
        <w:tc>
          <w:tcPr>
            <w:tcW w:w="5240" w:type="dxa"/>
            <w:vAlign w:val="bottom"/>
          </w:tcPr>
          <w:p>
            <w:pPr>
              <w:spacing w:after="0"/>
              <w:rPr>
                <w:sz w:val="20"/>
                <w:szCs w:val="20"/>
                <w:color w:val="auto"/>
              </w:rPr>
            </w:pPr>
            <w:r>
              <w:rPr>
                <w:rFonts w:ascii="Arial" w:cs="Arial" w:eastAsia="Arial" w:hAnsi="Arial"/>
                <w:sz w:val="14"/>
                <w:szCs w:val="14"/>
                <w:color w:val="auto"/>
              </w:rPr>
              <w:t>Current year - increases</w:t>
            </w:r>
          </w:p>
        </w:tc>
        <w:tc>
          <w:tcPr>
            <w:tcW w:w="2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347</w:t>
            </w: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Prior year - reductions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w:t>
            </w:r>
          </w:p>
        </w:tc>
      </w:tr>
      <w:tr>
        <w:trPr>
          <w:trHeight w:val="171"/>
        </w:trPr>
        <w:tc>
          <w:tcPr>
            <w:tcW w:w="5240" w:type="dxa"/>
            <w:vAlign w:val="bottom"/>
          </w:tcPr>
          <w:p>
            <w:pPr>
              <w:spacing w:after="0"/>
              <w:rPr>
                <w:sz w:val="20"/>
                <w:szCs w:val="20"/>
                <w:color w:val="auto"/>
              </w:rPr>
            </w:pPr>
            <w:r>
              <w:rPr>
                <w:rFonts w:ascii="Arial" w:cs="Arial" w:eastAsia="Arial" w:hAnsi="Arial"/>
                <w:sz w:val="14"/>
                <w:szCs w:val="14"/>
                <w:color w:val="auto"/>
              </w:rPr>
              <w:t>Ending uncertain tax benefits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2,617</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Included in the balance of uncertain tax benefits at December 31, 2024 are $ 2.8 million of tax benefits that, if recognized, would result in a reduction of the gross deferred tax asset, offset fully by valuation allowance and have no net impact on the financial statements. The Company anticipates that no material amounts of unrecognized tax benefits will be settled within 12 months of the reporting date.</w:t>
      </w:r>
    </w:p>
    <w:p>
      <w:pPr>
        <w:spacing w:after="0" w:line="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Company's policy is to record estimated interest and penalties related to uncertain tax benefits as income tax expense. As of December 31, 2024 and 2023, the Company had no accrued interest or penalties recorded related to uncertain tax positions.</w:t>
      </w:r>
    </w:p>
    <w:p>
      <w:pPr>
        <w:spacing w:after="0" w:line="3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tax years 2020 through 2023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3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No additional provision has been made for U.S. income taxes related to undistributed foreign earnings of the Company’s wholly-owned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2024.</w:t>
      </w:r>
    </w:p>
    <w:p>
      <w:pPr>
        <w:spacing w:after="0" w:line="182" w:lineRule="exact"/>
        <w:rPr>
          <w:sz w:val="20"/>
          <w:szCs w:val="20"/>
          <w:color w:val="auto"/>
        </w:rPr>
      </w:pPr>
    </w:p>
    <w:p>
      <w:pPr>
        <w:ind w:left="280" w:hanging="275"/>
        <w:spacing w:after="0"/>
        <w:tabs>
          <w:tab w:leader="none" w:pos="28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July 1, 2024, the Company effected a 1-for-12 reverse split of its issued common stock.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reduced the number of issued and outstanding shares of the Company’s common stock from approximately 101.1 million to approximately 8.5 million. The reverse stock split did not change the number of authorized shares or the par value per share of the Company’s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Line</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if any, will be subject to certain limitations, and may occur from time to time, at the Company’s sole discretion, over the 24-month period commencing on November 27, 2024. In connection with entering into the purchase agreement, the Company issued 137,614 shares of its common stock to Lincoln Park in consideration for its commitment to purchase shares thereunder.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September 2023 Registered Direct Offering</w:t>
      </w:r>
    </w:p>
    <w:p>
      <w:pPr>
        <w:spacing w:after="0" w:line="16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August 2023, the Company entered into a securities purchase agreement with an institutional investor and an investor affiliated with Douglas for the purchase and sale of 833,334 shares of the Company's common stock and warrants to purchase additional shares of the Company's common stock in a registered direct offering priced at-the-market under Nasdaq rules. The offering closed on September 1, 2023. Each warrant is exercisable for one share of</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67" w:name="page168"/>
    <w:bookmarkEnd w:id="167"/>
    <w:p>
      <w:pPr>
        <w:jc w:val="both"/>
        <w:spacing w:after="0" w:line="265" w:lineRule="auto"/>
        <w:rPr>
          <w:sz w:val="20"/>
          <w:szCs w:val="20"/>
          <w:color w:val="auto"/>
        </w:rPr>
      </w:pPr>
      <w:r>
        <w:rPr>
          <w:rFonts w:ascii="Arial" w:cs="Arial" w:eastAsia="Arial" w:hAnsi="Arial"/>
          <w:sz w:val="14"/>
          <w:szCs w:val="14"/>
          <w:color w:val="auto"/>
        </w:rPr>
        <w:t>the Company's common stock. The terms of the warrants are further described below in this Note 9. The offering price was $8.40 per share of common stock and accompanying warrant. The aggregate gross proceeds to the Company from the offering were $7.0 million, and net proceeds were approximately $7.0 million. The offering was made pursuant to the Company's registration statement on Form S-3 (File No. 333-254862), filed with the SEC on March 30, 2021, and declared effective by the SEC on April 7, 2021, and a prospectus supplement thereunder.</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March 2023 ATM Sales Agreement</w:t>
      </w:r>
    </w:p>
    <w:p>
      <w:pPr>
        <w:spacing w:after="0" w:line="14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the Company and Cantor mutually agreed to terminate the sales agreement with respect to Cantor. Through and including May 10, 2024, shares of the Company's common stock sold under the sales agreement were offered and sold under the Company's shelf registration statement on Form S-3 (File No. 333-254862), the base prospectus included therein, originally filed with the SEC on March 30, 2021 and declared effective by the SEC on April 7, 2021, and the prospectus supplements thereto, the most recent of which was dated March 28, 2024 relating to the offering of up to $19.0 million of shares of the Company's common stock. From and after May 11, 2024, shares of the Company's common stock sold under the sales agreement were and will be offered and sold under the Company's shelf registration statement on Form S-3 (File No. 333-278380), the base prospectus included therein, originally filed with the SEC on March 29, 2024 and declared effective by the SEC on May 10, 2024, the prospectus supplement thereto dated May 10, 2024 relating to the offering of up to $18.1 million of shares of the Company's common stock, and any subsequent prospectus supplement related to the offering of shares of the Company's common stock under the sales agreement. During the years ended December 31, 2024 and 2023, the Company sold 109,655 and 316,244 shares of common stock, respectively, under the sales agreement for net proceeds of approximately $0.5 million and $2.3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Warrants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December 2023 Warrants</w:t>
      </w:r>
    </w:p>
    <w:p>
      <w:pPr>
        <w:spacing w:after="0" w:line="9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connection with the royalty interest financing agreement the Company entered into in December 2023, the Company issued a warrant to purchase up to an aggregate of 422,805 shares of the Company's common stock. The warrant has a term of five years from the date of issuance and an exercise price of $4.10 per share, subject to customary adjustment for stock splits and similar transactions. A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spacing w:after="0" w:line="14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warrant was allocated a value of $0.8 million using a Black-Scholes option pricing model based on the relative fair value method. The Black-Scholes model used the following assumptions: expected volatility: 85.91%; risk-free interest rate: 4.05%; expected dividend yield: 0%; and expected term: 5 years. The warrant was deemed to be classified as equity and recorded within additional paid in capital on the consolidated balance sheets. As of December 31, 2024, no portion of the warrant had been exercised.</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September 2023 Warrants</w:t>
      </w:r>
    </w:p>
    <w:p>
      <w:pPr>
        <w:spacing w:after="0" w:line="9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connection with the registered direct offering completed in September 2023, the Company issued warrants to purchase up to an aggregate of 845,225 shares of the Company's common stock. The warrants became exercisable on March 1, 2024, expire March 1, 2029 and have an exercise price of $9.11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68" w:name="page169"/>
    <w:bookmarkEnd w:id="168"/>
    <w:p>
      <w:pPr>
        <w:jc w:val="both"/>
        <w:ind w:firstLine="509"/>
        <w:spacing w:after="0" w:line="265" w:lineRule="auto"/>
        <w:rPr>
          <w:sz w:val="20"/>
          <w:szCs w:val="20"/>
          <w:color w:val="auto"/>
        </w:rPr>
      </w:pPr>
      <w:r>
        <w:rPr>
          <w:rFonts w:ascii="Arial" w:cs="Arial" w:eastAsia="Arial" w:hAnsi="Arial"/>
          <w:sz w:val="14"/>
          <w:szCs w:val="14"/>
          <w:color w:val="auto"/>
        </w:rPr>
        <w:t>The warrants were allocated a value of $2.9 million using a Black-Scholes option pricing model based on the relative fair value method as they were issued with common stock. The Black-Scholes model used the following assumptions: expected volatility: 87.77%; risk-free interest rate: 4.29%; expected dividend yield: 0%; and expected term: 5.5 years. The warrants were deemed to be classified as equity and recorded within additional paid in capital on the consolidated balance sheets. As of December 31, 2024, none of the warrants have been exercised.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February 2018 Warrants</w:t>
      </w:r>
    </w:p>
    <w:p>
      <w:pPr>
        <w:spacing w:after="0" w:line="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connection with an underwritten public offering in February 2018, the Company issued to the investors in that offering, warrants exercisable through February 2023 with an initial exercise price of $36.00 per share. The Company estimated the fair value of the warrants as of February 15, 2018 to be approximately $3.0 million which was recorded in equity as of the issuance date. The warrants included a price-based anti-dilution provision, which resulted in automatic reductions to the exercise price of the warrants in April 2019 and July 2020 to $11.76 per share and $11.52 per share, respectively. In January 2023, warrants to purchase 112,793 shares of common stock were exercised for gross proceeds of approximately $1.3 million and the remaining unexercised warrants expired in February 2023.</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Summary of Warrant Activity</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warrant activity during the years ended December 31, 2024 and 2023 is presented below:</w:t>
      </w: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5"/>
                <w:szCs w:val="15"/>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Weighted</w:t>
            </w: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1100" w:type="dxa"/>
            <w:vAlign w:val="bottom"/>
            <w:gridSpan w:val="2"/>
          </w:tcPr>
          <w:p>
            <w:pPr>
              <w:jc w:val="center"/>
              <w:ind w:right="160"/>
              <w:spacing w:after="0" w:line="117" w:lineRule="exact"/>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110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rPr>
              <w:t>Underlying</w:t>
            </w:r>
          </w:p>
        </w:tc>
        <w:tc>
          <w:tcPr>
            <w:tcW w:w="1140" w:type="dxa"/>
            <w:vAlign w:val="bottom"/>
            <w:gridSpan w:val="3"/>
          </w:tcPr>
          <w:p>
            <w:pPr>
              <w:ind w:left="20"/>
              <w:spacing w:after="0" w:line="111" w:lineRule="exact"/>
              <w:rPr>
                <w:sz w:val="20"/>
                <w:szCs w:val="20"/>
                <w:color w:val="auto"/>
              </w:rPr>
            </w:pPr>
            <w:r>
              <w:rPr>
                <w:rFonts w:ascii="Arial" w:cs="Arial" w:eastAsia="Arial" w:hAnsi="Arial"/>
                <w:sz w:val="11"/>
                <w:szCs w:val="11"/>
                <w:b w:val="1"/>
                <w:bCs w:val="1"/>
                <w:color w:val="auto"/>
              </w:rPr>
              <w:t>Average Exercise</w:t>
            </w:r>
          </w:p>
        </w:tc>
        <w:tc>
          <w:tcPr>
            <w:tcW w:w="110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rPr>
              <w:t>Remaining Life</w:t>
            </w:r>
          </w:p>
        </w:tc>
        <w:tc>
          <w:tcPr>
            <w:tcW w:w="80" w:type="dxa"/>
            <w:vAlign w:val="bottom"/>
          </w:tcPr>
          <w:p>
            <w:pPr>
              <w:spacing w:after="0"/>
              <w:rPr>
                <w:sz w:val="9"/>
                <w:szCs w:val="9"/>
                <w:color w:val="auto"/>
              </w:rPr>
            </w:pPr>
          </w:p>
        </w:tc>
        <w:tc>
          <w:tcPr>
            <w:tcW w:w="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Warrants</w:t>
            </w:r>
          </w:p>
        </w:tc>
        <w:tc>
          <w:tcPr>
            <w:tcW w:w="16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Price</w:t>
            </w: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in Years</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115,085</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12.03</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Arial" w:cs="Arial" w:eastAsia="Arial" w:hAnsi="Arial"/>
                <w:sz w:val="14"/>
                <w:szCs w:val="14"/>
                <w:color w:val="auto"/>
              </w:rPr>
              <w:t>Granted</w:t>
            </w:r>
          </w:p>
        </w:tc>
        <w:tc>
          <w:tcPr>
            <w:tcW w:w="940" w:type="dxa"/>
            <w:vAlign w:val="bottom"/>
          </w:tcPr>
          <w:p>
            <w:pPr>
              <w:jc w:val="right"/>
              <w:spacing w:after="0"/>
              <w:rPr>
                <w:sz w:val="20"/>
                <w:szCs w:val="20"/>
                <w:color w:val="auto"/>
              </w:rPr>
            </w:pPr>
            <w:r>
              <w:rPr>
                <w:rFonts w:ascii="Arial" w:cs="Arial" w:eastAsia="Arial" w:hAnsi="Arial"/>
                <w:sz w:val="14"/>
                <w:szCs w:val="14"/>
                <w:color w:val="auto"/>
              </w:rPr>
              <w:t>1,268,030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Forfeited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Outstanding, December 31, 2023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1,268,572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7.49</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Arial" w:cs="Arial" w:eastAsia="Arial" w:hAnsi="Arial"/>
                <w:sz w:val="14"/>
                <w:szCs w:val="14"/>
                <w:color w:val="auto"/>
              </w:rPr>
              <w:t>Granted</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Arial" w:cs="Arial" w:eastAsia="Arial" w:hAnsi="Arial"/>
                <w:sz w:val="14"/>
                <w:szCs w:val="14"/>
                <w:color w:val="auto"/>
              </w:rPr>
              <w:t>Forfeited or expired</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02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Outstanding and exercisable, December 31,</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1,268,572</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7.49</w:t>
            </w:r>
          </w:p>
        </w:tc>
        <w:tc>
          <w:tcPr>
            <w:tcW w:w="1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authorized capital of the Company consists of 240,000,000 shares of common stock with a par value of $0.0001 per share and 5,000,000 shares of preferred stock with a par value of $ 0.01 per share. The issued and outstanding common stock of the Company consisted of 8,700,386 and 8,331,161 shares of common stock as of December 31, 2024 and 2023, respectively. There were no shares of preferred stock issued or outstanding as of December 31, 2024 or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4"/>
                <w:szCs w:val="14"/>
                <w:i w:val="1"/>
                <w:iCs w:val="1"/>
                <w:color w:val="auto"/>
              </w:rPr>
              <w:t>Common Stock Reserved for Future Issuance</w:t>
            </w:r>
          </w:p>
        </w:tc>
        <w:tc>
          <w:tcPr>
            <w:tcW w:w="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120" w:type="dxa"/>
            <w:vAlign w:val="bottom"/>
            <w:gridSpan w:val="2"/>
          </w:tcPr>
          <w:p>
            <w:pPr>
              <w:ind w:left="520"/>
              <w:spacing w:after="0"/>
              <w:rPr>
                <w:sz w:val="20"/>
                <w:szCs w:val="20"/>
                <w:color w:val="auto"/>
              </w:rPr>
            </w:pPr>
            <w:r>
              <w:rPr>
                <w:rFonts w:ascii="Arial" w:cs="Arial" w:eastAsia="Arial" w:hAnsi="Arial"/>
                <w:sz w:val="14"/>
                <w:szCs w:val="14"/>
                <w:color w:val="auto"/>
              </w:rPr>
              <w:t>The following table summarizes common stock reserved for future issuance at December 31, 2024:</w:t>
            </w:r>
          </w:p>
        </w:tc>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2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Common stock reserved for issuance upon exercise of warrants outstanding</w:t>
            </w:r>
          </w:p>
        </w:tc>
        <w:tc>
          <w:tcPr>
            <w:tcW w:w="9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1,268,572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4"/>
                <w:szCs w:val="14"/>
                <w:color w:val="auto"/>
              </w:rPr>
              <w:t>Common stock reserved for issuance upon exercise of options outstanding</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883,334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Common stock reserved for future equity awards</w:t>
            </w:r>
          </w:p>
        </w:tc>
        <w:tc>
          <w:tcPr>
            <w:tcW w:w="98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465,751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5920" w:type="dxa"/>
            <w:vAlign w:val="bottom"/>
          </w:tcPr>
          <w:p>
            <w:pPr>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2,617,657</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920" w:type="dxa"/>
            <w:vAlign w:val="bottom"/>
            <w:vMerge w:val="restart"/>
          </w:tcPr>
          <w:p>
            <w:pPr>
              <w:ind w:left="3300"/>
              <w:spacing w:after="0"/>
              <w:rPr>
                <w:sz w:val="20"/>
                <w:szCs w:val="20"/>
                <w:color w:val="auto"/>
              </w:rPr>
            </w:pPr>
            <w:r>
              <w:rPr>
                <w:rFonts w:ascii="Arial" w:cs="Arial" w:eastAsia="Arial" w:hAnsi="Arial"/>
                <w:sz w:val="14"/>
                <w:szCs w:val="14"/>
                <w:color w:val="auto"/>
              </w:rPr>
              <w:t>F-26</w:t>
            </w:r>
          </w:p>
        </w:tc>
        <w:tc>
          <w:tcPr>
            <w:tcW w:w="9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9"/>
        </w:trPr>
        <w:tc>
          <w:tcPr>
            <w:tcW w:w="22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20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69" w:name="page170"/>
    <w:bookmarkEnd w:id="169"/>
    <w:p>
      <w:pPr>
        <w:ind w:left="360" w:hanging="355"/>
        <w:spacing w:after="0"/>
        <w:tabs>
          <w:tab w:leader="none" w:pos="36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Employee Stock Purchase Plan</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Company’s 2014 Employee Stock Purchase Plan, or the ESPP, became effective in April 2014, but no offering period has been initiated thereunder since January 2017. In June 2024, the Company's board of directors suspended the ESPP. There was no stock-based compensation related to the ESPP for the years ended December 31, 2024 or December 31, 2023.</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2014 Stock Incentive Plan</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Amended and Restated 2014 Stock Incentive Plan, or the Amended 2014 Plan, provided for the grant of stock-based awards to employees, directors, consultants and advisors. As a result of the approval of the 2022 Plan (as defined below) by the Company's stockholders on June 23, 2022, no further awards have been or will be granted under the Amended 2014 Plan since June 23, 2022. Outstanding awards previously granted under the Amended 2014 Plan continue to remain outstanding in accordance with their terms.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Stock Incentive Plan</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directors, consultants, and advisors.</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number of shares of common stock authorized for issuance under the 2022 Plan is (a) 843,108; plus (b) up to 512,056 shares subject to awards granted under the Amended 2014 Plan or the 2007 Stock Incentive Plan that expire, terminate or are otherwise forfeited on or after June 23, 2022. 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Stock Option Activity</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table below summarizes stock option activity under the Company's stock incentive plans and related information for the years ended December 31, 2024 and 2023. The exercise price of all options granted during the years ended December 31, 2024 and 2023 was equal to the market value of the Company’s common stock on the date of grant. As of December 31, 2024, unamortized stock-based compensation expense of approximately $2.2 million will be amortized over the weighted average period of 1.1 years. The number of shares of common stock available for future awards granted under the 2022 Plan as of December 31, 2024 was 465,751.</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0" w:name="page171"/>
    <w:bookmarkEnd w:id="170"/>
    <w:tbl>
      <w:tblPr>
        <w:tblLayout w:type="fixed"/>
        <w:tblInd w:w="196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73"/>
              <w:spacing w:after="0"/>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10"/>
                <w:szCs w:val="1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rPr>
              <w:t>Average</w:t>
            </w:r>
          </w:p>
        </w:tc>
        <w:tc>
          <w:tcPr>
            <w:tcW w:w="140" w:type="dxa"/>
            <w:vAlign w:val="bottom"/>
          </w:tcPr>
          <w:p>
            <w:pPr>
              <w:spacing w:after="0"/>
              <w:rPr>
                <w:sz w:val="9"/>
                <w:szCs w:val="9"/>
                <w:color w:val="auto"/>
              </w:rPr>
            </w:pPr>
          </w:p>
        </w:tc>
        <w:tc>
          <w:tcPr>
            <w:tcW w:w="800" w:type="dxa"/>
            <w:vAlign w:val="bottom"/>
            <w:vMerge w:val="restart"/>
          </w:tcPr>
          <w:p>
            <w:pPr>
              <w:jc w:val="center"/>
              <w:ind w:right="96"/>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760" w:type="dxa"/>
            <w:vAlign w:val="bottom"/>
          </w:tcPr>
          <w:p>
            <w:pPr>
              <w:jc w:val="center"/>
              <w:ind w:right="73"/>
              <w:spacing w:after="0" w:line="117" w:lineRule="exact"/>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10"/>
                <w:szCs w:val="10"/>
                <w:color w:val="auto"/>
              </w:rPr>
            </w:pPr>
          </w:p>
        </w:tc>
        <w:tc>
          <w:tcPr>
            <w:tcW w:w="96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rPr>
              <w:t>Remaining</w:t>
            </w: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3"/>
              <w:spacing w:after="0" w:line="117" w:lineRule="exact"/>
              <w:rPr>
                <w:sz w:val="20"/>
                <w:szCs w:val="20"/>
                <w:color w:val="auto"/>
              </w:rPr>
            </w:pPr>
            <w:r>
              <w:rPr>
                <w:rFonts w:ascii="Arial" w:cs="Arial" w:eastAsia="Arial" w:hAnsi="Arial"/>
                <w:sz w:val="11"/>
                <w:szCs w:val="11"/>
                <w:b w:val="1"/>
                <w:bCs w:val="1"/>
                <w:color w:val="auto"/>
              </w:rPr>
              <w:t>Exercise</w:t>
            </w:r>
          </w:p>
        </w:tc>
        <w:tc>
          <w:tcPr>
            <w:tcW w:w="120" w:type="dxa"/>
            <w:vAlign w:val="bottom"/>
          </w:tcPr>
          <w:p>
            <w:pPr>
              <w:spacing w:after="0"/>
              <w:rPr>
                <w:sz w:val="10"/>
                <w:szCs w:val="10"/>
                <w:color w:val="auto"/>
              </w:rPr>
            </w:pPr>
          </w:p>
        </w:tc>
        <w:tc>
          <w:tcPr>
            <w:tcW w:w="96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rPr>
              <w:t>Contractual</w:t>
            </w:r>
          </w:p>
        </w:tc>
        <w:tc>
          <w:tcPr>
            <w:tcW w:w="140" w:type="dxa"/>
            <w:vAlign w:val="bottom"/>
          </w:tcPr>
          <w:p>
            <w:pPr>
              <w:spacing w:after="0"/>
              <w:rPr>
                <w:sz w:val="10"/>
                <w:szCs w:val="10"/>
                <w:color w:val="auto"/>
              </w:rPr>
            </w:pPr>
          </w:p>
        </w:tc>
        <w:tc>
          <w:tcPr>
            <w:tcW w:w="800" w:type="dxa"/>
            <w:vAlign w:val="bottom"/>
          </w:tcPr>
          <w:p>
            <w:pPr>
              <w:jc w:val="center"/>
              <w:ind w:right="96"/>
              <w:spacing w:after="0" w:line="117"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tcPr>
          <w:p>
            <w:pPr>
              <w:jc w:val="center"/>
              <w:ind w:right="73"/>
              <w:spacing w:after="0"/>
              <w:rPr>
                <w:sz w:val="20"/>
                <w:szCs w:val="20"/>
                <w:color w:val="auto"/>
              </w:rPr>
            </w:pPr>
            <w:r>
              <w:rPr>
                <w:rFonts w:ascii="Arial" w:cs="Arial" w:eastAsia="Arial" w:hAnsi="Arial"/>
                <w:sz w:val="11"/>
                <w:szCs w:val="11"/>
                <w:b w:val="1"/>
                <w:bCs w:val="1"/>
                <w:color w:val="auto"/>
                <w:w w:val="96"/>
              </w:rPr>
              <w:t>Price</w:t>
            </w:r>
          </w:p>
        </w:tc>
        <w:tc>
          <w:tcPr>
            <w:tcW w:w="12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Life (Years)</w:t>
            </w:r>
          </w:p>
        </w:tc>
        <w:tc>
          <w:tcPr>
            <w:tcW w:w="140" w:type="dxa"/>
            <w:vAlign w:val="bottom"/>
          </w:tcPr>
          <w:p>
            <w:pPr>
              <w:spacing w:after="0"/>
              <w:rPr>
                <w:sz w:val="12"/>
                <w:szCs w:val="12"/>
                <w:color w:val="auto"/>
              </w:rPr>
            </w:pPr>
          </w:p>
        </w:tc>
        <w:tc>
          <w:tcPr>
            <w:tcW w:w="800" w:type="dxa"/>
            <w:vAlign w:val="bottom"/>
          </w:tcPr>
          <w:p>
            <w:pPr>
              <w:jc w:val="center"/>
              <w:ind w:right="76"/>
              <w:spacing w:after="0"/>
              <w:rPr>
                <w:sz w:val="20"/>
                <w:szCs w:val="20"/>
                <w:color w:val="auto"/>
              </w:rPr>
            </w:pPr>
            <w:r>
              <w:rPr>
                <w:rFonts w:ascii="Arial" w:cs="Arial" w:eastAsia="Arial" w:hAnsi="Arial"/>
                <w:sz w:val="11"/>
                <w:szCs w:val="11"/>
                <w:b w:val="1"/>
                <w:bCs w:val="1"/>
                <w:color w:val="auto"/>
              </w:rPr>
              <w:t>Value *</w:t>
            </w:r>
          </w:p>
        </w:tc>
        <w:tc>
          <w:tcPr>
            <w:tcW w:w="0" w:type="dxa"/>
            <w:vAlign w:val="bottom"/>
          </w:tcPr>
          <w:p>
            <w:pPr>
              <w:spacing w:after="0"/>
              <w:rPr>
                <w:sz w:val="1"/>
                <w:szCs w:val="1"/>
                <w:color w:val="auto"/>
              </w:rPr>
            </w:pPr>
          </w:p>
        </w:tc>
      </w:tr>
      <w:tr>
        <w:trPr>
          <w:trHeight w:val="182"/>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551,003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80" w:type="dxa"/>
            <w:vAlign w:val="bottom"/>
          </w:tcPr>
          <w:p>
            <w:pPr>
              <w:ind w:left="180"/>
              <w:spacing w:after="0"/>
              <w:rPr>
                <w:sz w:val="20"/>
                <w:szCs w:val="20"/>
                <w:color w:val="auto"/>
              </w:rPr>
            </w:pPr>
            <w:r>
              <w:rPr>
                <w:rFonts w:ascii="Arial" w:cs="Arial" w:eastAsia="Arial" w:hAnsi="Arial"/>
                <w:sz w:val="14"/>
                <w:szCs w:val="14"/>
                <w:color w:val="auto"/>
              </w:rPr>
              <w:t>Granted</w:t>
            </w:r>
          </w:p>
        </w:tc>
        <w:tc>
          <w:tcPr>
            <w:tcW w:w="860" w:type="dxa"/>
            <w:vAlign w:val="bottom"/>
          </w:tcPr>
          <w:p>
            <w:pPr>
              <w:jc w:val="right"/>
              <w:spacing w:after="0"/>
              <w:rPr>
                <w:sz w:val="20"/>
                <w:szCs w:val="20"/>
                <w:color w:val="auto"/>
              </w:rPr>
            </w:pPr>
            <w:r>
              <w:rPr>
                <w:rFonts w:ascii="Arial" w:cs="Arial" w:eastAsia="Arial" w:hAnsi="Arial"/>
                <w:sz w:val="14"/>
                <w:szCs w:val="14"/>
                <w:color w:val="auto"/>
              </w:rPr>
              <w:t>238,120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80" w:type="dxa"/>
            <w:vAlign w:val="bottom"/>
          </w:tcPr>
          <w:p>
            <w:pPr>
              <w:ind w:left="180"/>
              <w:spacing w:after="0"/>
              <w:rPr>
                <w:sz w:val="20"/>
                <w:szCs w:val="20"/>
                <w:color w:val="auto"/>
              </w:rPr>
            </w:pPr>
            <w:r>
              <w:rPr>
                <w:rFonts w:ascii="Arial" w:cs="Arial" w:eastAsia="Arial" w:hAnsi="Arial"/>
                <w:sz w:val="14"/>
                <w:szCs w:val="14"/>
                <w:color w:val="auto"/>
              </w:rPr>
              <w:t>Cancelled/forfeited</w:t>
            </w:r>
          </w:p>
        </w:tc>
        <w:tc>
          <w:tcPr>
            <w:tcW w:w="86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Outstanding at December 31, 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788,569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Canceled/forfeited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Expired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883,334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at December 31, 2024</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vMerge w:val="continue"/>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593,118</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16.96</w:t>
            </w: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5.81</w:t>
            </w:r>
          </w:p>
        </w:tc>
        <w:tc>
          <w:tcPr>
            <w:tcW w:w="10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ind w:left="5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48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color w:val="auto"/>
              </w:rPr>
              <w:t>Options vested and expected to vest at December 31,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593,118</w:t>
            </w:r>
          </w:p>
        </w:tc>
        <w:tc>
          <w:tcPr>
            <w:tcW w:w="12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4"/>
          <w:szCs w:val="14"/>
          <w:i w:val="1"/>
          <w:iCs w:val="1"/>
          <w:color w:val="auto"/>
        </w:rPr>
        <w:t>*The aggregate intrinsic value is the sum of the amounts by which the quoted market price of the Company's common stock exceeded the exercise price of the stock options at December 31, 2024 for those stock options for which the quoted market price was in excess of the exercise price.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grant-date fair value of stock options granted during at December 31, 2024 and 2023 was $4.10 and $11.28,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Expense</w:t>
      </w:r>
    </w:p>
    <w:p>
      <w:pPr>
        <w:spacing w:after="0" w:line="145"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Total stock-based compensation expense related to stock options granted to employees and directors recognized in the consolidated statements of operations and comprehensive loss is as follows:</w:t>
      </w:r>
    </w:p>
    <w:p>
      <w:pPr>
        <w:spacing w:after="0" w:line="76" w:lineRule="exact"/>
        <w:rPr>
          <w:sz w:val="20"/>
          <w:szCs w:val="20"/>
          <w:color w:val="auto"/>
        </w:rPr>
      </w:pPr>
    </w:p>
    <w:tbl>
      <w:tblPr>
        <w:tblLayout w:type="fixed"/>
        <w:tblInd w:w="1960" w:type="dxa"/>
        <w:tblCellMar>
          <w:top w:w="0" w:type="dxa"/>
          <w:left w:w="0" w:type="dxa"/>
          <w:bottom w:w="0" w:type="dxa"/>
          <w:right w:w="0" w:type="dxa"/>
        </w:tblCellMar>
      </w:tblPr>
      <w:tr>
        <w:trPr>
          <w:trHeight w:val="155"/>
        </w:trPr>
        <w:tc>
          <w:tcPr>
            <w:tcW w:w="5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1"/>
                <w:szCs w:val="11"/>
                <w:b w:val="1"/>
                <w:bCs w:val="1"/>
                <w:color w:val="auto"/>
              </w:rPr>
              <w:t>Years Ended December 31,</w:t>
            </w:r>
          </w:p>
        </w:tc>
      </w:tr>
      <w:tr>
        <w:trPr>
          <w:trHeight w:val="150"/>
        </w:trPr>
        <w:tc>
          <w:tcPr>
            <w:tcW w:w="5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2023</w:t>
            </w:r>
          </w:p>
        </w:tc>
      </w:tr>
      <w:tr>
        <w:trPr>
          <w:trHeight w:val="19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833,689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823,148</w:t>
            </w:r>
          </w:p>
        </w:tc>
      </w:tr>
      <w:tr>
        <w:trPr>
          <w:trHeight w:val="212"/>
        </w:trPr>
        <w:tc>
          <w:tcPr>
            <w:tcW w:w="5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1,369,567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1,707,536</w:t>
            </w:r>
          </w:p>
        </w:tc>
      </w:tr>
      <w:tr>
        <w:trPr>
          <w:trHeight w:val="19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2,203,256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2,530,684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The assumptions used in the Black-Scholes option-pricing model for stock options granted to employees and to directors in respect of their service on the Company's board of directors during the years ended December 31, 2024 and 2023 is as follows:</w:t>
      </w:r>
    </w:p>
    <w:p>
      <w:pPr>
        <w:spacing w:after="0" w:line="76" w:lineRule="exact"/>
        <w:rPr>
          <w:sz w:val="20"/>
          <w:szCs w:val="20"/>
          <w:color w:val="auto"/>
        </w:rPr>
      </w:pPr>
    </w:p>
    <w:tbl>
      <w:tblPr>
        <w:tblLayout w:type="fixed"/>
        <w:tblInd w:w="1960" w:type="dxa"/>
        <w:tblCellMar>
          <w:top w:w="0" w:type="dxa"/>
          <w:left w:w="0" w:type="dxa"/>
          <w:bottom w:w="0" w:type="dxa"/>
          <w:right w:w="0" w:type="dxa"/>
        </w:tblCellMar>
      </w:tblPr>
      <w:tr>
        <w:trPr>
          <w:trHeight w:val="155"/>
        </w:trPr>
        <w:tc>
          <w:tcPr>
            <w:tcW w:w="34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2023</w:t>
            </w:r>
          </w:p>
        </w:tc>
      </w:tr>
      <w:tr>
        <w:trPr>
          <w:trHeight w:val="19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Expected life in years</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12"/>
        </w:trPr>
        <w:tc>
          <w:tcPr>
            <w:tcW w:w="3460" w:type="dxa"/>
            <w:vAlign w:val="bottom"/>
          </w:tcPr>
          <w:p>
            <w:pPr>
              <w:spacing w:after="0"/>
              <w:rPr>
                <w:sz w:val="20"/>
                <w:szCs w:val="20"/>
                <w:color w:val="auto"/>
              </w:rPr>
            </w:pPr>
            <w:r>
              <w:rPr>
                <w:rFonts w:ascii="Arial" w:cs="Arial" w:eastAsia="Arial" w:hAnsi="Arial"/>
                <w:sz w:val="14"/>
                <w:szCs w:val="14"/>
                <w:color w:val="auto"/>
              </w:rPr>
              <w:t>Risk-free interest rate</w:t>
            </w:r>
          </w:p>
        </w:tc>
        <w:tc>
          <w:tcPr>
            <w:tcW w:w="2760" w:type="dxa"/>
            <w:vAlign w:val="bottom"/>
          </w:tcPr>
          <w:p>
            <w:pPr>
              <w:jc w:val="right"/>
              <w:spacing w:after="0"/>
              <w:rPr>
                <w:sz w:val="20"/>
                <w:szCs w:val="20"/>
                <w:color w:val="auto"/>
              </w:rPr>
            </w:pPr>
            <w:r>
              <w:rPr>
                <w:rFonts w:ascii="Arial" w:cs="Arial" w:eastAsia="Arial" w:hAnsi="Arial"/>
                <w:sz w:val="14"/>
                <w:szCs w:val="14"/>
                <w:color w:val="auto"/>
              </w:rPr>
              <w:t>4.13 %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3.56 %</w:t>
            </w: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r>
      <w:tr>
        <w:trPr>
          <w:trHeight w:val="214"/>
        </w:trPr>
        <w:tc>
          <w:tcPr>
            <w:tcW w:w="3460" w:type="dxa"/>
            <w:vAlign w:val="bottom"/>
          </w:tcPr>
          <w:p>
            <w:pPr>
              <w:spacing w:after="0"/>
              <w:rPr>
                <w:sz w:val="20"/>
                <w:szCs w:val="20"/>
                <w:color w:val="auto"/>
              </w:rPr>
            </w:pPr>
            <w:r>
              <w:rPr>
                <w:rFonts w:ascii="Arial" w:cs="Arial" w:eastAsia="Arial" w:hAnsi="Arial"/>
                <w:sz w:val="14"/>
                <w:szCs w:val="14"/>
                <w:color w:val="auto"/>
              </w:rPr>
              <w:t>Dividend yield</w:t>
            </w:r>
          </w:p>
        </w:tc>
        <w:tc>
          <w:tcPr>
            <w:tcW w:w="276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0.0 %</w:t>
            </w:r>
          </w:p>
        </w:tc>
      </w:tr>
    </w:tbl>
    <w:p>
      <w:pPr>
        <w:spacing w:after="0" w:line="302" w:lineRule="exact"/>
        <w:rPr>
          <w:sz w:val="20"/>
          <w:szCs w:val="20"/>
          <w:color w:val="auto"/>
        </w:rPr>
      </w:pPr>
    </w:p>
    <w:p>
      <w:pPr>
        <w:ind w:left="400" w:hanging="395"/>
        <w:spacing w:after="0"/>
        <w:tabs>
          <w:tab w:leader="none" w:pos="40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LEASED PROPERTIES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Clean Room Space</w:t>
      </w:r>
    </w:p>
    <w:p>
      <w:pPr>
        <w:spacing w:after="0" w:line="13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July 24, 2024, the Company entered into a scope of work (the "SOW") with an unrelated third party for a controlled clean room space in Burlington, Massachusetts. The SOW became effective upon the execution of an associated License and Services Agreement, which governs the SOW. The term of the SOW is 22 months and commenced on March 1, 2025. Upon execution of the SOW, the Company made a payment of approximately $459,000. Fixed payments will be due at the beginning of each calendar quarter and variable amounts related to support services will be due monthly based on services provided during the preceding month. The Company's total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171" w:name="page172"/>
    <w:bookmarkEnd w:id="171"/>
    <w:p>
      <w:pPr>
        <w:jc w:val="both"/>
        <w:spacing w:after="0" w:line="274" w:lineRule="auto"/>
        <w:rPr>
          <w:sz w:val="20"/>
          <w:szCs w:val="20"/>
          <w:color w:val="auto"/>
        </w:rPr>
      </w:pPr>
      <w:r>
        <w:rPr>
          <w:rFonts w:ascii="Arial" w:cs="Arial" w:eastAsia="Arial" w:hAnsi="Arial"/>
          <w:sz w:val="14"/>
          <w:szCs w:val="14"/>
          <w:color w:val="auto"/>
        </w:rPr>
        <w:t>obligation in respect of the fixed payments due under the SOW is approximately $3.5 million. The SOW may be renewed each year and if renewed, the fixed payment amount may increase yearly by up to 5%.</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General Office Space</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Company's lease for its corporate headquarters (3,169 square feet of office space) commenced on July 1, 2018. In February 2022, the Company entered into an amendment to extend the term of the lease through August 31, 2024. On March 8, 2024, the Company entered into another amendment to extend the term of the lease for three years such that the term now expires on October 31, 2027, which resulted in additional operating lease liabilities and ROU assets of approximately $0.4 million in March 2024.</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MBI, a wholly-owned subsidiary the Company acquired in November 2019, leases general office and laboratory space in Lexington, Massachusetts. The lease commenced on November 1, 2023 for a term of three years, expiring on December 31, 2026, and resulted in an increase in operating lease liabilities and ROU assets of approximately $0.4 million.</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 xml:space="preserve">Under </w:t>
      </w:r>
      <w:r>
        <w:rPr>
          <w:rFonts w:ascii="Arial" w:cs="Arial" w:eastAsia="Arial" w:hAnsi="Arial"/>
          <w:sz w:val="14"/>
          <w:szCs w:val="14"/>
          <w:color w:val="191C1F"/>
        </w:rPr>
        <w:t>the terms of each lease, the lessee pays base annual rent (subject to an annual fixed percentage increase), plus property taxes, and other normal and necessary</w:t>
      </w:r>
      <w:r>
        <w:rPr>
          <w:rFonts w:ascii="Arial" w:cs="Arial" w:eastAsia="Arial" w:hAnsi="Arial"/>
          <w:sz w:val="14"/>
          <w:szCs w:val="14"/>
          <w:color w:val="auto"/>
        </w:rPr>
        <w:t xml:space="preserve"> </w:t>
      </w:r>
      <w:r>
        <w:rPr>
          <w:rFonts w:ascii="Arial" w:cs="Arial" w:eastAsia="Arial" w:hAnsi="Arial"/>
          <w:sz w:val="14"/>
          <w:szCs w:val="14"/>
          <w:color w:val="191C1F"/>
        </w:rPr>
        <w:t xml:space="preserve">expenses, such as utilities, repairs, and maintenance. </w:t>
      </w:r>
      <w:r>
        <w:rPr>
          <w:rFonts w:ascii="Arial" w:cs="Arial" w:eastAsia="Arial" w:hAnsi="Arial"/>
          <w:sz w:val="14"/>
          <w:szCs w:val="14"/>
          <w:color w:val="000000"/>
        </w:rPr>
        <w:t>The Company evaluates renewal options at lease inception and on an ongoing basis and includes renewal options that it is</w:t>
      </w:r>
      <w:r>
        <w:rPr>
          <w:rFonts w:ascii="Arial" w:cs="Arial" w:eastAsia="Arial" w:hAnsi="Arial"/>
          <w:sz w:val="14"/>
          <w:szCs w:val="14"/>
          <w:color w:val="191C1F"/>
        </w:rPr>
        <w:t xml:space="preserve"> </w:t>
      </w:r>
      <w:r>
        <w:rPr>
          <w:rFonts w:ascii="Arial" w:cs="Arial" w:eastAsia="Arial" w:hAnsi="Arial"/>
          <w:sz w:val="14"/>
          <w:szCs w:val="14"/>
          <w:color w:val="000000"/>
        </w:rPr>
        <w:t>reasonably certain to exercise in its expected lease terms when classifying leases and measuring lease liabilities. The leases do not require material variable lease payments, residual value guarantees or restrictive covenants.</w:t>
      </w:r>
    </w:p>
    <w:p>
      <w:pPr>
        <w:spacing w:after="0" w:line="5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spacing w:after="0" w:line="5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At December 31, 2024, the Company reported operating lease ROU assets of approximately $ 1.2 million in other non-current assets, approximately $0.5 million in current portion of lease liabilities, and approximately $0.8 million in lease liabilities long-term in the consolidated balance sheets.</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Total operating lease costs were approximately $0.8 million and $0.6 million for the years ended December 31, 2024 and 2023, respectively. Operating lease costs consist of monthly lease payments expense, common area maintenance and other repair and maintenance costs and are included in general and administrative expenses in the consolidated statements of operations and comprehensive loss.</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Cash paid for amounts included in the measurement of operating lease liabilities was approximately $ 0.6 million and $0.4 million for the years ended December 31, 2024 and 2023, respectively, and these amounts are included in operating activities in the consolidated statements of cash flows. At December 31, 2024, operating leases had a weighted average remaining lease term of 2.42 years and a weighted average interest rate of 10.50%.</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December 31, 2024, future minimum lease payments under the Company's operating leases are as follows:</w:t>
      </w:r>
    </w:p>
    <w:p>
      <w:pPr>
        <w:spacing w:after="0" w:line="221" w:lineRule="exact"/>
        <w:rPr>
          <w:sz w:val="20"/>
          <w:szCs w:val="20"/>
          <w:color w:val="auto"/>
        </w:rPr>
      </w:pPr>
    </w:p>
    <w:tbl>
      <w:tblPr>
        <w:tblLayout w:type="fixed"/>
        <w:tblInd w:w="2020" w:type="dxa"/>
        <w:tblCellMar>
          <w:top w:w="0" w:type="dxa"/>
          <w:left w:w="0" w:type="dxa"/>
          <w:bottom w:w="0" w:type="dxa"/>
          <w:right w:w="0" w:type="dxa"/>
        </w:tblCellMar>
      </w:tblP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Year ending December 31,</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2"/>
        </w:trPr>
        <w:tc>
          <w:tcPr>
            <w:tcW w:w="6200" w:type="dxa"/>
            <w:vAlign w:val="bottom"/>
            <w:shd w:val="clear" w:color="auto" w:fill="CCEEFF"/>
          </w:tcPr>
          <w:p>
            <w:pPr>
              <w:jc w:val="right"/>
              <w:ind w:right="5649"/>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660,000</w:t>
            </w:r>
          </w:p>
        </w:tc>
      </w:tr>
      <w:tr>
        <w:trPr>
          <w:trHeight w:val="202"/>
        </w:trPr>
        <w:tc>
          <w:tcPr>
            <w:tcW w:w="6200" w:type="dxa"/>
            <w:vAlign w:val="bottom"/>
          </w:tcPr>
          <w:p>
            <w:pPr>
              <w:jc w:val="right"/>
              <w:ind w:right="5649"/>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680,000</w:t>
            </w:r>
          </w:p>
        </w:tc>
      </w:tr>
      <w:tr>
        <w:trPr>
          <w:trHeight w:val="202"/>
        </w:trPr>
        <w:tc>
          <w:tcPr>
            <w:tcW w:w="6200" w:type="dxa"/>
            <w:vAlign w:val="bottom"/>
            <w:shd w:val="clear" w:color="auto" w:fill="CCEEFF"/>
          </w:tcPr>
          <w:p>
            <w:pPr>
              <w:jc w:val="right"/>
              <w:ind w:right="5649"/>
              <w:spacing w:after="0"/>
              <w:rPr>
                <w:sz w:val="20"/>
                <w:szCs w:val="20"/>
                <w:color w:val="auto"/>
              </w:rPr>
            </w:pPr>
            <w:r>
              <w:rPr>
                <w:rFonts w:ascii="Arial" w:cs="Arial" w:eastAsia="Arial" w:hAnsi="Arial"/>
                <w:sz w:val="14"/>
                <w:szCs w:val="14"/>
                <w:color w:val="auto"/>
              </w:rPr>
              <w:t>2027</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130,000</w:t>
            </w:r>
          </w:p>
        </w:tc>
      </w:tr>
      <w:tr>
        <w:trPr>
          <w:trHeight w:val="182"/>
        </w:trPr>
        <w:tc>
          <w:tcPr>
            <w:tcW w:w="620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Total future minimum lease payments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1,470,000</w:t>
            </w:r>
          </w:p>
        </w:tc>
      </w:tr>
      <w:tr>
        <w:trPr>
          <w:trHeight w:val="19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accreted interest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167,000</w:t>
            </w:r>
          </w:p>
        </w:tc>
      </w:tr>
      <w:tr>
        <w:trPr>
          <w:trHeight w:val="180"/>
        </w:trPr>
        <w:tc>
          <w:tcPr>
            <w:tcW w:w="6200" w:type="dxa"/>
            <w:vAlign w:val="bottom"/>
          </w:tcPr>
          <w:p>
            <w:pPr>
              <w:ind w:left="260"/>
              <w:spacing w:after="0"/>
              <w:rPr>
                <w:sz w:val="20"/>
                <w:szCs w:val="20"/>
                <w:color w:val="auto"/>
              </w:rPr>
            </w:pPr>
            <w:r>
              <w:rPr>
                <w:rFonts w:ascii="Arial" w:cs="Arial" w:eastAsia="Arial" w:hAnsi="Arial"/>
                <w:sz w:val="14"/>
                <w:szCs w:val="14"/>
                <w:b w:val="1"/>
                <w:bCs w:val="1"/>
                <w:color w:val="auto"/>
              </w:rPr>
              <w:t>Total operating lease liabilities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1,303,000</w:t>
            </w: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00" w:hanging="395"/>
        <w:spacing w:after="0"/>
        <w:tabs>
          <w:tab w:leader="none" w:pos="40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ROYALTY INTEREST FINANCING</w:t>
      </w:r>
    </w:p>
    <w:p>
      <w:pPr>
        <w:spacing w:after="0" w:line="9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On December 21,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between January 1, 2024 and December 31, 2026, the Company may, in its sole discretion, but subject to XOMA's prior written consent (see Note 13, Royalty Purchase Agreements),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color w:val="auto"/>
        </w:rPr>
        <w:t>elect to receive three additional payments (each a "Supplemental Investment") from UiE of up to an aggregate of $7.0 million, for a total of up to $12.0 million.</w:t>
      </w:r>
    </w:p>
    <w:p>
      <w:pPr>
        <w:spacing w:after="0" w:line="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Under the Royalty Interest Agreement, the Company agreed to make the following payments to UiE, until such time when UiE has received aggregate payments equaling a 12% internal rate of return (the “IRR”) on the Initial Investment and each Supplemental Investment, if any (the "Hard Cap"):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Hard Cap by December 31, 2029, December 31, 2033, and December 31, 2034, respectively. In addition, if UiE has not received payments equaling the Hard Cap by December 31, 2035 and the Company has other sources of assets or income besides XACIATO sufficient to complete such payments, the Company has agreed to pay UiE quarterly payments evenly divided over a two-year term, such that UiE will have obtained the IRR, taking into account all other payments received by UiE from the Company under the Royalty Interest Agreement. UiE’s right to receive payments will terminate when UiE has received payments in an amount equal to the Hard Cap.</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Company evaluated the terms of the Royalty Interest Agreement and concluded that the features of the Royalty Interest Agreement were similar to those of a debt instrument. As a result, the Company applied the debt recognition guidance under ASC 470, Debt, and recorded the Initial Investment as a liability related to the sale of future royalties (“Royalty Obligation”) on the Company's 2023 consolidated balance sheet, which will be amortized under the effective interest method over the estimated term of the Royalty Interest Agreement.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term of the Royalty Interest Agreement. In addition, in accordance with ASC 470, Debt, the Company will account for any royalties received in the future as non-cash royalty revenue in the consolidated statements of operations as a reduction to the debt balance.</w:t>
      </w:r>
    </w:p>
    <w:p>
      <w:pPr>
        <w:spacing w:after="0" w:line="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As royalties and milestone payments are received by or on behalf of the Company from Organon and the Company subsequently pays or causes to be paid the amounts due to UiE in respect thereof in accordance with the Royalty Interest Agreement, the Royalty Obligation will be effectively repaid during the term of the Royalty Interest Agreement. In order to determine the amortization of the Royalty Obligation, the Company is required to estimate the total amount of future payments to UiE during the term of the Royalty Interest Agreement.</w:t>
      </w:r>
    </w:p>
    <w:p>
      <w:pPr>
        <w:spacing w:after="0" w:line="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At execution of the Royalty Interest Agreement, the Company’s estimate of this total interest expense resulted in an effective annual interest rate of approximately 22.48%. This estimate contains significant assumptions that impact both the amount recorded at execution and the interest expense that will be recognized over the royalty period. The Company will periodically assess the estimated amounts due and payable to UiE and to the extent the amount or timing of such payments is materially different than the original estimates, an adjustment will be recorded prospectively to increase or decrease interest expense. There are a number of factors that could materially affect XACIATO's commercial success, and therefore the amount and timing of the Company's payments to UiE, and correspondingly, the amount of interest expense recorded by the Company, most of which are not within the Company’s control. Such factors include, but are not limited to, the capabilities of Organon and its commitment of sufficient resources to market, distribute and sell the product; timely and adequate commercial supply of the finished product and its components; perceived superiority of its cure rates compared to other available treatments; patient satisfaction and willingness to use it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both royalty revenues and interest expense.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connection with entering into the Royalty Interest Agreement, the Company issued to UiE a warrant (the “Initial Royalty Warrant”) to purchase up to 422,804 shares of the Company’s common stock. In addition, for every $1,000,000 of Supplemental Investment, the Company will issue a warrant to purchase 84,561 shares of common stock, for an aggregate of warrants to purchase up to 591,927 shares of common stock (collectively the “Additional Royalty Warrants,” and together with the Initial Royalty Warrant, the “Royalty Interest Agreement Warrants”).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73" w:name="page174"/>
    <w:bookmarkEnd w:id="173"/>
    <w:p>
      <w:pPr>
        <w:jc w:val="both"/>
        <w:ind w:firstLine="509"/>
        <w:spacing w:after="0" w:line="265" w:lineRule="auto"/>
        <w:rPr>
          <w:sz w:val="20"/>
          <w:szCs w:val="20"/>
          <w:color w:val="auto"/>
        </w:rPr>
      </w:pPr>
      <w:r>
        <w:rPr>
          <w:rFonts w:ascii="Arial" w:cs="Arial" w:eastAsia="Arial" w:hAnsi="Arial"/>
          <w:sz w:val="14"/>
          <w:szCs w:val="14"/>
          <w:color w:val="auto"/>
        </w:rPr>
        <w:t>The Royalty Interest Agreement Warrants are exercisable, in full or in part, at any time on or prior to the fifth anniversary of their issuance date at an exercise price of $4.10 per share, subject to customary anti-dilution adjustments. The Royalty Interest Agreement Warrants may be exercised for cash, or if at the time of exercise there is no effective registration statement registering for resale the shares underlying the Royalty Interest Agreement Warrants, then in lieu of paying the exercise price in cash, the holders may elect to exercise on a cashless basis.</w:t>
      </w:r>
    </w:p>
    <w:p>
      <w:pPr>
        <w:spacing w:after="0" w:line="5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Royalty Interest Agreement Warrants were deemed to be equity classified warrants and recorded under additional paid in capital. The fair value of the Initial Royalty Warrant was determined to be $0.8 million (Note 9) and was recorded as a debt discount against the Initial Investment.</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activity of the Royalty Obligation since the transaction inception through the period indicated:</w:t>
      </w:r>
    </w:p>
    <w:p>
      <w:pPr>
        <w:spacing w:after="0" w:line="130" w:lineRule="exact"/>
        <w:rPr>
          <w:sz w:val="20"/>
          <w:szCs w:val="20"/>
          <w:color w:val="auto"/>
        </w:rPr>
      </w:pPr>
    </w:p>
    <w:tbl>
      <w:tblPr>
        <w:tblLayout w:type="fixed"/>
        <w:tblInd w:w="23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3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December 31, 2024</w:t>
            </w:r>
          </w:p>
        </w:tc>
      </w:tr>
      <w:tr>
        <w:trPr>
          <w:trHeight w:val="28"/>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Upfront payment from the sale of future royalties</w:t>
            </w: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5,000,000</w:t>
            </w:r>
          </w:p>
        </w:tc>
      </w:tr>
      <w:tr>
        <w:trPr>
          <w:trHeight w:val="194"/>
        </w:trPr>
        <w:tc>
          <w:tcPr>
            <w:tcW w:w="5800" w:type="dxa"/>
            <w:vAlign w:val="bottom"/>
          </w:tcPr>
          <w:p>
            <w:pPr>
              <w:ind w:left="80"/>
              <w:spacing w:after="0"/>
              <w:rPr>
                <w:sz w:val="20"/>
                <w:szCs w:val="20"/>
                <w:color w:val="auto"/>
              </w:rPr>
            </w:pPr>
            <w:r>
              <w:rPr>
                <w:rFonts w:ascii="Arial" w:cs="Arial" w:eastAsia="Arial" w:hAnsi="Arial"/>
                <w:sz w:val="14"/>
                <w:szCs w:val="14"/>
                <w:color w:val="auto"/>
              </w:rPr>
              <w:t>Debt issuance cost</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(276,101)</w:t>
            </w:r>
          </w:p>
        </w:tc>
      </w:tr>
      <w:tr>
        <w:trPr>
          <w:trHeight w:val="209"/>
        </w:trPr>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Relative fair value of Initial Royalty Warrant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(834,512)</w:t>
            </w:r>
          </w:p>
        </w:tc>
      </w:tr>
      <w:tr>
        <w:trPr>
          <w:trHeight w:val="194"/>
        </w:trPr>
        <w:tc>
          <w:tcPr>
            <w:tcW w:w="5800" w:type="dxa"/>
            <w:vAlign w:val="bottom"/>
          </w:tcPr>
          <w:p>
            <w:pPr>
              <w:ind w:left="80"/>
              <w:spacing w:after="0"/>
              <w:rPr>
                <w:sz w:val="20"/>
                <w:szCs w:val="20"/>
                <w:color w:val="auto"/>
              </w:rPr>
            </w:pPr>
            <w:r>
              <w:rPr>
                <w:rFonts w:ascii="Arial" w:cs="Arial" w:eastAsia="Arial" w:hAnsi="Arial"/>
                <w:sz w:val="14"/>
                <w:szCs w:val="14"/>
                <w:color w:val="auto"/>
              </w:rPr>
              <w:t>Royalty payments</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(2,189)</w:t>
            </w:r>
          </w:p>
        </w:tc>
      </w:tr>
      <w:tr>
        <w:trPr>
          <w:trHeight w:val="209"/>
        </w:trPr>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Non-cash interest expense and interest payable associated with the sale of future royalties</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862,626</w:t>
            </w:r>
          </w:p>
        </w:tc>
      </w:tr>
      <w:tr>
        <w:trPr>
          <w:trHeight w:val="184"/>
        </w:trPr>
        <w:tc>
          <w:tcPr>
            <w:tcW w:w="5800" w:type="dxa"/>
            <w:vAlign w:val="bottom"/>
          </w:tcPr>
          <w:p>
            <w:pPr>
              <w:ind w:left="80"/>
              <w:spacing w:after="0"/>
              <w:rPr>
                <w:sz w:val="20"/>
                <w:szCs w:val="20"/>
                <w:color w:val="auto"/>
              </w:rPr>
            </w:pPr>
            <w:r>
              <w:rPr>
                <w:rFonts w:ascii="Arial" w:cs="Arial" w:eastAsia="Arial" w:hAnsi="Arial"/>
                <w:sz w:val="14"/>
                <w:szCs w:val="14"/>
                <w:color w:val="auto"/>
              </w:rPr>
              <w:t>Liability related to the sale of future royalties</w:t>
            </w:r>
          </w:p>
        </w:tc>
        <w:tc>
          <w:tcPr>
            <w:tcW w:w="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4,749,824</w:t>
            </w:r>
          </w:p>
        </w:tc>
      </w:tr>
      <w:tr>
        <w:trPr>
          <w:trHeight w:val="20"/>
        </w:trPr>
        <w:tc>
          <w:tcPr>
            <w:tcW w:w="5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60" w:hanging="355"/>
        <w:spacing w:after="0"/>
        <w:tabs>
          <w:tab w:leader="none" w:pos="360"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ROYALTY PURCHASE AGREEMENTS</w:t>
      </w:r>
    </w:p>
    <w:p>
      <w:pPr>
        <w:spacing w:after="0" w:line="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April 29,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Royalty Purchase Agreements, the Company sold, assigned, transferred and conveyed its right, title and interest in and to the following to XOMA:</w:t>
      </w:r>
    </w:p>
    <w:p>
      <w:pPr>
        <w:spacing w:after="0" w:line="147" w:lineRule="exact"/>
        <w:rPr>
          <w:sz w:val="20"/>
          <w:szCs w:val="20"/>
          <w:color w:val="auto"/>
        </w:rPr>
      </w:pPr>
    </w:p>
    <w:p>
      <w:pPr>
        <w:jc w:val="both"/>
        <w:ind w:firstLine="514"/>
        <w:spacing w:after="0" w:line="265" w:lineRule="auto"/>
        <w:tabs>
          <w:tab w:leader="none" w:pos="739" w:val="left"/>
        </w:tabs>
        <w:numPr>
          <w:ilvl w:val="0"/>
          <w:numId w:val="81"/>
        </w:numPr>
        <w:rPr>
          <w:rFonts w:ascii="Arial" w:cs="Arial" w:eastAsia="Arial" w:hAnsi="Arial"/>
          <w:sz w:val="14"/>
          <w:szCs w:val="14"/>
          <w:color w:val="auto"/>
        </w:rPr>
      </w:pPr>
      <w:r>
        <w:rPr>
          <w:rFonts w:ascii="Arial" w:cs="Arial" w:eastAsia="Arial" w:hAnsi="Arial"/>
          <w:sz w:val="14"/>
          <w:szCs w:val="14"/>
          <w:color w:val="auto"/>
        </w:rPr>
        <w:t>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spacing w:after="0" w:line="116" w:lineRule="exact"/>
        <w:rPr>
          <w:rFonts w:ascii="Arial" w:cs="Arial" w:eastAsia="Arial" w:hAnsi="Arial"/>
          <w:sz w:val="14"/>
          <w:szCs w:val="14"/>
          <w:color w:val="auto"/>
        </w:rPr>
      </w:pPr>
    </w:p>
    <w:p>
      <w:pPr>
        <w:ind w:firstLine="514"/>
        <w:spacing w:after="0" w:line="290" w:lineRule="auto"/>
        <w:tabs>
          <w:tab w:leader="none" w:pos="734" w:val="left"/>
        </w:tabs>
        <w:numPr>
          <w:ilvl w:val="0"/>
          <w:numId w:val="81"/>
        </w:numPr>
        <w:rPr>
          <w:rFonts w:ascii="Arial" w:cs="Arial" w:eastAsia="Arial" w:hAnsi="Arial"/>
          <w:sz w:val="14"/>
          <w:szCs w:val="14"/>
          <w:color w:val="auto"/>
        </w:rPr>
      </w:pPr>
      <w:r>
        <w:rPr>
          <w:rFonts w:ascii="Arial" w:cs="Arial" w:eastAsia="Arial" w:hAnsi="Arial"/>
          <w:sz w:val="14"/>
          <w:szCs w:val="14"/>
          <w:color w:val="auto"/>
        </w:rPr>
        <w:t>25% of the potential future $20.0 million payment that the Company would otherwise have the right to receive under the Company's license agreement with Bayer, if Bayer, in its sole discretion, elects to make the license granted thereunder effective following completion of the pivotal clinical trial of Ovaprene; and</w:t>
      </w:r>
    </w:p>
    <w:p>
      <w:pPr>
        <w:spacing w:after="0" w:line="88" w:lineRule="exact"/>
        <w:rPr>
          <w:rFonts w:ascii="Arial" w:cs="Arial" w:eastAsia="Arial" w:hAnsi="Arial"/>
          <w:sz w:val="14"/>
          <w:szCs w:val="14"/>
          <w:color w:val="auto"/>
        </w:rPr>
      </w:pPr>
    </w:p>
    <w:p>
      <w:pPr>
        <w:jc w:val="both"/>
        <w:ind w:firstLine="514"/>
        <w:spacing w:after="0" w:line="263" w:lineRule="auto"/>
        <w:tabs>
          <w:tab w:leader="none" w:pos="725"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a synthetic royalty of 4.0% of the Company's, its affiliates’ and its sublicensees’ future net sales of the Company's investigational product Ovaprene, and 2.0% of the Company's, its affiliates’ and its sublicensees’ future net sales of the Company's investigational product Sildenafil Cream, 3.6%;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XOMA receives total payments under the Royalty Purchase Agreements, net of any Contingent Purchase Price Payments made to the Company, equal to an amount that exceeds $110.0 million, the foregoing percentages will be reduced to 2.5% and 1.25%, respectively (such amounts described in the foregoing clauses (b) and (c), collectively, the “Revenue Participation Right”).</w:t>
      </w:r>
    </w:p>
    <w:p>
      <w:pPr>
        <w:spacing w:after="0" w:line="28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As of April 29, 2024,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and Sildenafil Cream.</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74" w:name="page175"/>
    <w:bookmarkEnd w:id="174"/>
    <w:p>
      <w:pPr>
        <w:jc w:val="both"/>
        <w:ind w:firstLine="509"/>
        <w:spacing w:after="0" w:line="271" w:lineRule="auto"/>
        <w:rPr>
          <w:sz w:val="20"/>
          <w:szCs w:val="20"/>
          <w:color w:val="auto"/>
        </w:rPr>
      </w:pPr>
      <w:r>
        <w:rPr>
          <w:rFonts w:ascii="Arial" w:cs="Arial" w:eastAsia="Arial" w:hAnsi="Arial"/>
          <w:sz w:val="14"/>
          <w:szCs w:val="14"/>
          <w:color w:val="auto"/>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for additional information.</w:t>
      </w:r>
    </w:p>
    <w:p>
      <w:pPr>
        <w:spacing w:after="0" w:line="176" w:lineRule="exact"/>
        <w:rPr>
          <w:sz w:val="20"/>
          <w:szCs w:val="20"/>
          <w:color w:val="auto"/>
        </w:rPr>
      </w:pPr>
    </w:p>
    <w:p>
      <w:pPr>
        <w:ind w:right="8280" w:firstLine="5"/>
        <w:spacing w:after="0" w:line="411" w:lineRule="auto"/>
        <w:tabs>
          <w:tab w:leader="none" w:pos="354"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Insurance Financing</w:t>
      </w:r>
    </w:p>
    <w:p>
      <w:pPr>
        <w:jc w:val="both"/>
        <w:ind w:firstLine="509"/>
        <w:spacing w:after="0" w:line="247" w:lineRule="auto"/>
        <w:rPr>
          <w:sz w:val="20"/>
          <w:szCs w:val="20"/>
          <w:color w:val="auto"/>
        </w:rPr>
      </w:pPr>
      <w:r>
        <w:rPr>
          <w:rFonts w:ascii="Arial" w:cs="Arial" w:eastAsia="Arial" w:hAnsi="Arial"/>
          <w:sz w:val="14"/>
          <w:szCs w:val="14"/>
          <w:color w:val="auto"/>
        </w:rPr>
        <w:t>In each of July 2024 and 2023, the Company obtained financing for certain director and officer and other insurance premiums. The total premiums, taxes and fees financed each year was approximately $0.6 million with an annual interest rate of approximately 8.0%. In consideration of the premium payment by the lender to the insurance companies or the agent or broker, the Company unconditionally promised to pay the lender the amount financed plus interest and other charges permitted under the agreements and the Company assigned to the lender a first priority lien on and a security interest in the financed insurance policies. With respect to the financing obtained in July 2024, the Company will make monthly installment payments through April 20, 2025. With respect to the financing obtained in July 2023, the Company made monthly installment payments through April 20, 2024. The financed amount is recognized as an insurance financing cost included in other current assets and accrued expenses in the Company's consolidated balance sheets. As of December 31, 2024, the Company's remaining obligation for the financing obtained in July 2024 was approximately $0.2 million. As of December 31, 2023, the Company's remaining obligation for the financing obtained in July 2023 was approximately $0.3 million. The Company had no remaining obligations for the financing obtained in July 2023 as of December 31, 2024.</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CRADA with NICHD for the Pivotal Phase 3 Study of Ovaprene</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is being conducted within NICHD’s Contraceptive Clinical Trials Network with NICHD's contract research organization providing clinical coordination and data collection and management services for the Ovaprene Phase 3. The Company and NICHD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The Company made aggregate payments of $5.5 million to NICHD, $0.5 million of which was paid in July 2024 and $5.0 million of which was paid in prior years. The Company had no remaining obligation under the CRADA at December 31, 2024.</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45"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Certain employees of the Company are entitled to payments if their employment is terminated by the Company without cause, if they resign for good reason, if their employment agreements are not renewed, or if their employment is terminated by the Company without cause or if they resign for good reason, in each case, within three months prior to or 12 months following a change in control of the Company. Upon termination by the Company without cause, if they resign for good reason, if their employment agreements are not renewed, such executives are entitled to receive a payment of an amount equal to either six or twelve months of base salary and to receive continuing health benefits coverage for periods equal to either six or twelve months following the termination of employment or until such officer is covered under a separate plan from another employer. If their employment is terminated by the Company without cause or if they resign for good reason, in each case, within three months prior to or 12 months following a change in control of the Company, such executives will be entitled to receive a payment of an amount equal to either nine or eighteen months of base salary and target bonus and to receive continuing health benefits coverage for periods ranging between nine and eighteen months following the termination of employment. In addition,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75" w:name="page176"/>
    <w:bookmarkEnd w:id="175"/>
    <w:p>
      <w:pPr>
        <w:jc w:val="both"/>
        <w:spacing w:after="0" w:line="290" w:lineRule="auto"/>
        <w:rPr>
          <w:sz w:val="20"/>
          <w:szCs w:val="20"/>
          <w:color w:val="auto"/>
        </w:rPr>
      </w:pPr>
      <w:r>
        <w:rPr>
          <w:rFonts w:ascii="Arial" w:cs="Arial" w:eastAsia="Arial" w:hAnsi="Arial"/>
          <w:sz w:val="14"/>
          <w:szCs w:val="14"/>
          <w:color w:val="auto"/>
        </w:rPr>
        <w:t>upon a change in control of the Company, each officer’s outstanding unvested options will fully vest and accelerate subject to the conditions outlined in such officer’s employment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Related-Party Agreement</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On January 26, 2024, the Company entered into a consulting agreement with its former Chief Financial Officer to assist in transition matters subsequent to her retirement. Pursuant to the agreement, for a nine month period commencing on January 26, 2024, the Company paid its former Chief Financial Officer $31,667 per month and reimbursed her up to $500 per month for her health insurance premiums.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Benefit – 401(k) Plan</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each participant's cash compensation. The Company made matching contributions of approximately $0.2 million and $0.2 million during the years ended December 31, 2024 and 2023, respectively.</w:t>
      </w:r>
    </w:p>
    <w:p>
      <w:pPr>
        <w:spacing w:after="0" w:line="176" w:lineRule="exact"/>
        <w:rPr>
          <w:sz w:val="20"/>
          <w:szCs w:val="20"/>
          <w:color w:val="auto"/>
        </w:rPr>
      </w:pPr>
    </w:p>
    <w:p>
      <w:pPr>
        <w:ind w:left="360" w:hanging="355"/>
        <w:spacing w:after="0"/>
        <w:tabs>
          <w:tab w:leader="none" w:pos="36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GRANT AWARDS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October 2024 Grant Award</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October 2024, the Company entered into a subaward agreement with National Collegiate Inventors and Innovators Alliance, Inc. d/b/a VentureWell (the "CMF") under which the Company is entitled to receive funding of up to $10.0 million 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 The subaward agreement was the result of the Company's selection by an agency within the U.S. Department of Health and Human Services. The CMF is a consortium management firm that received funding from the federal agency for the subaward agreement.</w:t>
      </w:r>
    </w:p>
    <w:p>
      <w:pPr>
        <w:spacing w:after="0" w:line="5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Company receives funding in advance and tracks and reports eligible expenses incurred to the federal agency. The Company is required to apply the funds it receives solely toward direct costs for the funded project, other than approximately 22% of such funds, which it may apply toward general overhead and administrative expenses that support the entire operations of the Company. Funds received that have not been spent are recorded as cash and cash equivalents and as a deferred grant funding liability in the Company’s consolidated balance sheets. The deferred grant funding liability also includes grant funds spent but not yet expensed in accordance with GAAP. The Company must track expenses incurred under the award and submit a detailed accounting of such expenses. Through December 31, 2024, the Company received one payment of $1.0 million under this award. The Company recorded credits to research and development expense of approximately $0.4 million for costs related to this award for the year ended December 31, 2024. As of December 31, 2024, the Company has recorded approximately $0.6 million of deferred grant funding liability in the Company's consolidated balance sheets.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NICHD and NIH Non-Dilutive Grant Funding</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has received notices of awards and non-dilutive grant funding from the NICHD and the National Institutes of Health, or NIH, to support the development of several of its product candidates. The NICHD and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76" w:name="page177"/>
    <w:bookmarkEnd w:id="176"/>
    <w:p>
      <w:pPr>
        <w:ind w:left="520"/>
        <w:spacing w:after="0"/>
        <w:rPr>
          <w:sz w:val="20"/>
          <w:szCs w:val="20"/>
          <w:color w:val="auto"/>
        </w:rPr>
      </w:pPr>
      <w:r>
        <w:rPr>
          <w:rFonts w:ascii="Arial" w:cs="Arial" w:eastAsia="Arial" w:hAnsi="Arial"/>
          <w:sz w:val="14"/>
          <w:szCs w:val="14"/>
          <w:b w:val="1"/>
          <w:bCs w:val="1"/>
          <w:color w:val="auto"/>
        </w:rPr>
        <w:t>DARE-HPV</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December 2024, the Company received a notice of award from the National Institute of Allergy and Infectious Diseases (NIAID), a component of the NIH, that the Company was awarded a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no credits to research and development expense for costs related to the NIH award for the year ended December 31, 2024 and recorded no receivable at December 31, 2024.</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DARE-PTB1</w:t>
      </w:r>
    </w:p>
    <w:p>
      <w:pPr>
        <w:spacing w:after="0" w:line="1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color w:val="auto"/>
        </w:rPr>
        <w:t>In August 2020, the Company received a notice of award from NICHD to support the development of DARE-PTB1. The award of approximately $0.3 million was used for what was referred to as the "Phase I" segment of the project outlined in the Company's grant application, which ended in July 2023. The Company received aggregate reimbursements under the award of approximately $0.2 million during the grant period which ended in July 2023. No further funds are available under this award for the Phase I segment.</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December 2023, the Company received a notice of award of approximately $ 2.0 million for the "Phase II" segment of the project. The Company recorded credits to research and development expense for costs related to the NICHD award of approximately $0.7 million for the year ended December 31, 2024. The Company recorded a receivable of approximately $0.1 million at December 31, 2024 for expenses incurred through such date that it believes are eligible for reimbursement under the grant.</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DARE-LARC1</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September 2021, the Company received a notice of award from NICHD to support the development of DARE-LARC1. The award in the amount of approximately $0.3 million was used to explore device insertion and removal in nonclinical studies.</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recorded credits to research and development expense of approximately $32,000 for costs related to the NICHD award for the year ended December 31, 2023. The Company received aggregate reimbursements under the NICHD award of approximately $0.3 million during the grant period, which ended in June 2023. No further funds are available under this award.</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DARE-204 and DARE-214</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May 2022, the Company received a notice of award from NICHD of approximately $ 0.2 million to support end-user research to better understand women's preferences for a long-acting injectable contraceptive method. The findings from the research will inform the Company's target product profile and guide its development priorities for DARE-204 and DARE-214.</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recorded credits to research and development expense of approximately $0.1 million for costs related to the NICHD award for the year ended December 31, 2023. The Company received aggregate reimbursements under the NICHD award of approximately $0.2 million during the grant period, which ended in September 2023. No further funds are available under this award.</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DARE-PTB2</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July 2023, the Company received a notice of award from NICHD of approximately $0.4 million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which are to occur over a 12-month period.</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recorded credits to research and development expense of approximately $0.3 million and $0.1 million for costs related to the NICHD award for the year ended December 31, 2024 and 2023, respectively. The Company received aggregate reimbursements under the NICHD award of approximately $0.4 million during the grant period, which ended in July 2024. No further funds are available under this award.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Non-Dilutive Grant Funding</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As described below, the Company has received substantial funding under grant agreements it entered into with the Gates Foundation, or the Foundation. The Company is required to apply the funds it receives under the agreements solely toward direct costs for the applicable funded projects, other than approximately 5%-15% of such funds, which it may apply toward general overhead and administrative expenses that support the entire operations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77" w:name="page178"/>
    <w:bookmarkEnd w:id="177"/>
    <w:p>
      <w:pPr>
        <w:jc w:val="both"/>
        <w:spacing w:after="0" w:line="265" w:lineRule="auto"/>
        <w:rPr>
          <w:sz w:val="20"/>
          <w:szCs w:val="20"/>
          <w:color w:val="auto"/>
        </w:rPr>
      </w:pPr>
      <w:r>
        <w:rPr>
          <w:rFonts w:ascii="Arial" w:cs="Arial" w:eastAsia="Arial" w:hAnsi="Arial"/>
          <w:sz w:val="14"/>
          <w:szCs w:val="14"/>
          <w:color w:val="auto"/>
        </w:rPr>
        <w:t>the Company. The Company receives funding in advance and tracks and reports eligible expenses incurred to the Foundation. Funds received that have not been spent are recorded as cash and cash equivalents and as a deferred grant funding liability in the Company’s consolidated balance sheets. The deferred grant funding liability also includes grant funds spent but not yet expensed in accordance with GAAP. The grant agreements include the Foundation's standard discretionary termination provisions. Any grant funds that have not been used or committed to the funded project must be returned promptly to the Foundation upon expiration or termination of the agreement.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2024 Contraceptive Product Candidate Grant Agreement</w:t>
      </w:r>
    </w:p>
    <w:p>
      <w:pPr>
        <w:spacing w:after="0" w:line="15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November 2024, the Company entered into a grant agreement with the Foundation under which the Company was awarded a new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An initial payment of approximately $ 5.4 million was made to the Company in November 2024. Additional payments are contingent upon the Company's achievement of specified development and reporting milestones during the term of the grant agreement, which extends through October 2026. The Company will track and report eligible expenses incurred to the Foundation.</w:t>
      </w:r>
    </w:p>
    <w:p>
      <w:pPr>
        <w:spacing w:after="0" w:line="57"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4"/>
          <w:szCs w:val="14"/>
          <w:color w:val="auto"/>
        </w:rPr>
        <w:t>The Company recorded credits to research and development expense of approximately $0.2 million for costs related to this award for the year ended December 31, 2024. As of December 31, 2024, the Company has recorded approximately $5.2 million of deferred grant funding liability related to this award in the Company's consolidated balance sheets.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2024 Biotherapeutic Product Grant Agreement</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January 2024, the Company entered into an agreement with the Foundation under which the Company was awarded $750,000 to fund activities related to bacteria-based live biotherapeutic product development. The Company received the full amount of the award in January 2024.</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recorded credits to research and development expense of approximately $0.7 million for costs related to this award for the year ended December 31, 2024.</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the Company has recorded approximately $39,000 of deferred grant funding liability related to this award in the Company's consolidated balance sheets.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2021 DARE-LARC1 Grant Agreement</w:t>
      </w:r>
    </w:p>
    <w:p>
      <w:pPr>
        <w:spacing w:after="0" w:line="9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June 2021, the Company entered into an agreement with the Foundation under which the Company was awarded up to approximately $49.0 million to support the development of DARE-LARC1. The agreement supports technology development and preclinical activities over the period of June 30, 2021 to November 1, 2026, to advance DARE-LARC1 through nonclinical proof-of-principle studies and other IND-enabling work to allow for the submission of an IND application with the FDA, approval of which will be required to commence testing in humans.</w:t>
      </w:r>
    </w:p>
    <w:p>
      <w:pPr>
        <w:spacing w:after="0" w:line="5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December 31, 2024, the Company has received a cumulative total of approximately $31.8 million in non-dilutive funding under the agreement, including $4.5 million during 2023 and $3.5 million during 2024. Additional payments are contingent upon the DARE-LARC1 program’s achievement of specified development and reporting milestones. The Company recorded credits to research and development expense of approximately $6.2 million and $8.7 million for costs related to this award for the year ended December 31, 2024 and 2023, respectively. As of December 31, 2024, the Company recorded approximately $10.8 million of deferred grant funding liability related to this award in the Company's consolidated balance sheets.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2022 DARE-LBT Grant Agreement</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November 2022, the Company entered into an agreement with the Foundation under which the Company was awarded $585,000 to support the development of DARE-LBT over the period of November 11, 2022 to February 29, 2024.</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received the full amount of the award in November 2022. The Company recorded credits to research and development expense of approximately $0.2 million and $0.3 million for costs related to this award for the year ended December 31, 2024 and 2023, respectively. As of December 31, 2024, the Company had no deferred grant funding liability related to this award in the Company's consolidated balance sheets.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78" w:name="page179"/>
    <w:bookmarkEnd w:id="178"/>
    <w:p>
      <w:pPr>
        <w:ind w:left="360" w:hanging="355"/>
        <w:spacing w:after="0"/>
        <w:tabs>
          <w:tab w:leader="none" w:pos="360"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1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segment's financial information including the Company’s significant segment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gridSpan w:val="5"/>
          </w:tcPr>
          <w:p>
            <w:pPr>
              <w:ind w:left="28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2023</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100"/>
              <w:spacing w:after="0"/>
              <w:rPr>
                <w:sz w:val="20"/>
                <w:szCs w:val="20"/>
                <w:color w:val="auto"/>
              </w:rPr>
            </w:pPr>
            <w:r>
              <w:rPr>
                <w:rFonts w:ascii="Arial" w:cs="Arial" w:eastAsia="Arial" w:hAnsi="Arial"/>
                <w:sz w:val="14"/>
                <w:szCs w:val="14"/>
                <w:color w:val="auto"/>
              </w:rPr>
              <w:t>License fee 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1,000,000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Milestone revenue</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1,800,000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Royalty revenue</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9,784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7,885</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9,784</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2,807,885</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Segment operating expenses: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4"/>
                <w:szCs w:val="14"/>
                <w:color w:val="auto"/>
              </w:rPr>
              <w:t>Direct program costs: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Ovaprene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8,518,495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3,762,611</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260"/>
              <w:spacing w:after="0"/>
              <w:rPr>
                <w:sz w:val="20"/>
                <w:szCs w:val="20"/>
                <w:color w:val="auto"/>
              </w:rPr>
            </w:pPr>
            <w:r>
              <w:rPr>
                <w:rFonts w:ascii="Arial" w:cs="Arial" w:eastAsia="Arial" w:hAnsi="Arial"/>
                <w:sz w:val="14"/>
                <w:szCs w:val="14"/>
                <w:color w:val="auto"/>
              </w:rPr>
              <w:t>Sildenafil Cream, 3.6%</w:t>
            </w: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2,361,052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7,746,264</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advanced clinical stage programs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1,321,888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3,498,955</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260"/>
              <w:spacing w:after="0"/>
              <w:rPr>
                <w:sz w:val="20"/>
                <w:szCs w:val="20"/>
                <w:color w:val="auto"/>
              </w:rPr>
            </w:pPr>
            <w:r>
              <w:rPr>
                <w:rFonts w:ascii="Arial" w:cs="Arial" w:eastAsia="Arial" w:hAnsi="Arial"/>
                <w:sz w:val="14"/>
                <w:szCs w:val="14"/>
                <w:color w:val="auto"/>
              </w:rPr>
              <w:t>Phase 1 and Phase 1-ready clinical stage programs</w:t>
            </w: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761,721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2,912,857</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Preclinical stage programs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4,233,762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7,432,439</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260"/>
              <w:spacing w:after="0"/>
              <w:rPr>
                <w:sz w:val="20"/>
                <w:szCs w:val="20"/>
                <w:color w:val="auto"/>
              </w:rPr>
            </w:pPr>
            <w:r>
              <w:rPr>
                <w:rFonts w:ascii="Arial" w:cs="Arial" w:eastAsia="Arial" w:hAnsi="Arial"/>
                <w:sz w:val="14"/>
                <w:szCs w:val="14"/>
                <w:color w:val="auto"/>
              </w:rPr>
              <w:t>Other development programs</w:t>
            </w: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27,542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189,706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Contra-R&amp;D expenses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(7,685,533)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(8,965,347)</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tcPr>
          <w:p>
            <w:pPr>
              <w:ind w:left="180"/>
              <w:spacing w:after="0"/>
              <w:rPr>
                <w:sz w:val="20"/>
                <w:szCs w:val="20"/>
                <w:color w:val="auto"/>
              </w:rPr>
            </w:pPr>
            <w:r>
              <w:rPr>
                <w:rFonts w:ascii="Arial" w:cs="Arial" w:eastAsia="Arial" w:hAnsi="Arial"/>
                <w:sz w:val="14"/>
                <w:szCs w:val="14"/>
                <w:color w:val="auto"/>
              </w:rPr>
              <w:t>Total research and development direct program costs</w:t>
            </w:r>
          </w:p>
        </w:tc>
        <w:tc>
          <w:tcPr>
            <w:tcW w:w="14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9,538,927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16,577,485</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costs: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260"/>
              <w:spacing w:after="0"/>
              <w:rPr>
                <w:sz w:val="20"/>
                <w:szCs w:val="20"/>
                <w:color w:val="auto"/>
              </w:rPr>
            </w:pPr>
            <w:r>
              <w:rPr>
                <w:rFonts w:ascii="Arial" w:cs="Arial" w:eastAsia="Arial" w:hAnsi="Arial"/>
                <w:sz w:val="14"/>
                <w:szCs w:val="14"/>
                <w:color w:val="auto"/>
              </w:rPr>
              <w:t>Personnel-related (including stock compensation)</w:t>
            </w: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5,611,057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5,566,016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indirect costs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254,772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384,289</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Contra R&amp;D expenses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(1,199,548)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(989,716)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research and development indirect costs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4,666,281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4,960,589</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9,156,061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12,109,691</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segment operating expenses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23,461,269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33,747,765</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(23,451,485)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(30,939,880)</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100"/>
              <w:spacing w:after="0"/>
              <w:rPr>
                <w:sz w:val="20"/>
                <w:szCs w:val="20"/>
                <w:color w:val="auto"/>
              </w:rPr>
            </w:pPr>
            <w:r>
              <w:rPr>
                <w:rFonts w:ascii="Arial" w:cs="Arial" w:eastAsia="Arial" w:hAnsi="Arial"/>
                <w:sz w:val="14"/>
                <w:szCs w:val="14"/>
                <w:color w:val="auto"/>
              </w:rPr>
              <w:t>Sale of royalty and milestone rights, net</w:t>
            </w: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20,379,376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gridSpan w:val="2"/>
          </w:tcPr>
          <w:p>
            <w:pPr>
              <w:jc w:val="right"/>
              <w:ind w:right="2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857,364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35,109</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tcPr>
          <w:p>
            <w:pPr>
              <w:ind w:left="10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(539,743)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(813,278)</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663,869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(4,053,599)</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(30,161,391)</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720" w:type="dxa"/>
            <w:vAlign w:val="bottom"/>
            <w:vMerge w:val="restart"/>
          </w:tcPr>
          <w:p>
            <w:pPr>
              <w:ind w:left="3320"/>
              <w:spacing w:after="0"/>
              <w:rPr>
                <w:sz w:val="20"/>
                <w:szCs w:val="20"/>
                <w:color w:val="auto"/>
              </w:rPr>
            </w:pPr>
            <w:r>
              <w:rPr>
                <w:rFonts w:ascii="Arial" w:cs="Arial" w:eastAsia="Arial" w:hAnsi="Arial"/>
                <w:sz w:val="14"/>
                <w:szCs w:val="14"/>
                <w:color w:val="auto"/>
              </w:rPr>
              <w:t>F-36</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1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18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179" w:name="page180"/>
    <w:bookmarkEnd w:id="179"/>
    <w:p>
      <w:pPr>
        <w:ind w:left="360" w:hanging="355"/>
        <w:spacing w:after="0"/>
        <w:tabs>
          <w:tab w:leader="none" w:pos="36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Noncompliance with Nasdaq’s Minimum Market Value of Listed Securities Requirement</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On August 12, 2024, the Company received a letter from The Nasdaq Stock Market LLC (“Nasdaq”) notifying it that it did not meet the requirement in Nasdaq Listing Rule 5550(b)(2) for continued listing on The Nasdaq Capital Market. Nasdaq Listing Rule 5550(b)(2) requires a company listed on Nasdaq to maintain a minimum market value of listed securities of $35.0 million (the “Minimum MVLS Rule”). The Company was provided an initial period of 180 calendar days, or until February 10, 2025, to regain compliance with the Minimum MVLS Rule.</w:t>
      </w:r>
    </w:p>
    <w:p>
      <w:pPr>
        <w:spacing w:after="0" w:line="57"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4"/>
          <w:szCs w:val="14"/>
          <w:color w:val="auto"/>
        </w:rPr>
        <w:t>On February 13</w:t>
      </w:r>
      <w:r>
        <w:rPr>
          <w:rFonts w:ascii="Arial" w:cs="Arial" w:eastAsia="Arial" w:hAnsi="Arial"/>
          <w:sz w:val="16"/>
          <w:szCs w:val="16"/>
          <w:color w:val="auto"/>
        </w:rPr>
        <w:t>,</w:t>
      </w:r>
      <w:r>
        <w:rPr>
          <w:rFonts w:ascii="Arial" w:cs="Arial" w:eastAsia="Arial" w:hAnsi="Arial"/>
          <w:sz w:val="14"/>
          <w:szCs w:val="14"/>
          <w:color w:val="auto"/>
        </w:rPr>
        <w:t xml:space="preserve"> 2025, Nasdaq’s Listing Qualifications Department notified the Company that because it did not regain compliance with the Minimum MVLS Rule by February 10, 2025, its common stock is subject to delisting from Nasdaq unless the Company timely requests a hearing before the Nasdaq Hearing Panel (the “Panel”).</w:t>
      </w:r>
    </w:p>
    <w:p>
      <w:pPr>
        <w:spacing w:after="0" w:line="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On February 20, 2025, the Company requested a hearing before the Panel, which request stayed the delisting of its common stock pending the decision of the Panel following the hearing and the expiration of any extension period that may be granted by the Panel. The hearing occurred on March 25, 2025. Pursuant to published Nasdaq guidance, the Panel typically issues it decision within 30 days of the hearing.</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There can be no assurance that the Panel will grant the Company any extension period within which to regain compliance with the Minimum MVLS Rule, or if any extension period is granted, that the Company will regain compliance with the Minimum MVLS Rule within such extension period, or that the Company will be successful in otherwise maintaining the listing of our common stock on The Nasdaq Capital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280"/>
          </w:cols>
          <w:pgMar w:left="300" w:top="772" w:right="319" w:bottom="1440"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4" w:name="page285"/>
    <w:bookmarkEnd w:id="284"/>
    <w:p>
      <w:pPr>
        <w:jc w:val="right"/>
        <w:spacing w:after="0"/>
        <w:rPr>
          <w:sz w:val="20"/>
          <w:szCs w:val="20"/>
          <w:color w:val="auto"/>
        </w:rPr>
      </w:pPr>
      <w:r>
        <w:rPr>
          <w:rFonts w:ascii="Arial" w:cs="Arial" w:eastAsia="Arial" w:hAnsi="Arial"/>
          <w:sz w:val="14"/>
          <w:szCs w:val="14"/>
          <w:b w:val="1"/>
          <w:bCs w:val="1"/>
          <w:color w:val="auto"/>
        </w:rPr>
        <w:t>Exhibit 21.1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20" w:type="dxa"/>
            <w:vAlign w:val="bottom"/>
            <w:gridSpan w:val="2"/>
          </w:tcPr>
          <w:p>
            <w:pPr>
              <w:ind w:left="1120"/>
              <w:spacing w:after="0"/>
              <w:rPr>
                <w:sz w:val="20"/>
                <w:szCs w:val="20"/>
                <w:color w:val="auto"/>
              </w:rPr>
            </w:pPr>
            <w:r>
              <w:rPr>
                <w:rFonts w:ascii="Arial" w:cs="Arial" w:eastAsia="Arial" w:hAnsi="Arial"/>
                <w:sz w:val="14"/>
                <w:szCs w:val="14"/>
                <w:b w:val="1"/>
                <w:bCs w:val="1"/>
                <w:color w:val="auto"/>
              </w:rPr>
              <w:t>SUBSIDIARIES OF THE REGISTRANT</w:t>
            </w:r>
          </w:p>
        </w:tc>
      </w:tr>
      <w:tr>
        <w:trPr>
          <w:trHeight w:val="390"/>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120" w:type="dxa"/>
            <w:vAlign w:val="bottom"/>
            <w:gridSpan w:val="2"/>
          </w:tcPr>
          <w:p>
            <w:pPr>
              <w:ind w:left="2240"/>
              <w:spacing w:after="0"/>
              <w:rPr>
                <w:sz w:val="20"/>
                <w:szCs w:val="20"/>
                <w:color w:val="auto"/>
              </w:rPr>
            </w:pPr>
            <w:r>
              <w:rPr>
                <w:rFonts w:ascii="Arial" w:cs="Arial" w:eastAsia="Arial" w:hAnsi="Arial"/>
                <w:sz w:val="14"/>
                <w:szCs w:val="14"/>
                <w:b w:val="1"/>
                <w:bCs w:val="1"/>
                <w:color w:val="auto"/>
              </w:rPr>
              <w:t>Jurisdiction of Organization</w:t>
            </w:r>
          </w:p>
        </w:tc>
      </w:tr>
      <w:tr>
        <w:trPr>
          <w:trHeight w:val="20"/>
        </w:trPr>
        <w:tc>
          <w:tcPr>
            <w:tcW w:w="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406"/>
        </w:trPr>
        <w:tc>
          <w:tcPr>
            <w:tcW w:w="3240" w:type="dxa"/>
            <w:vAlign w:val="bottom"/>
            <w:gridSpan w:val="2"/>
          </w:tcPr>
          <w:p>
            <w:pPr>
              <w:spacing w:after="0"/>
              <w:rPr>
                <w:sz w:val="20"/>
                <w:szCs w:val="20"/>
                <w:color w:val="auto"/>
              </w:rPr>
            </w:pPr>
            <w:r>
              <w:rPr>
                <w:rFonts w:ascii="Arial" w:cs="Arial" w:eastAsia="Arial" w:hAnsi="Arial"/>
                <w:sz w:val="14"/>
                <w:szCs w:val="14"/>
                <w:color w:val="auto"/>
              </w:rPr>
              <w:t>Daré Bioscience Operations, Inc.</w:t>
            </w:r>
          </w:p>
        </w:tc>
        <w:tc>
          <w:tcPr>
            <w:tcW w:w="4120" w:type="dxa"/>
            <w:vAlign w:val="bottom"/>
            <w:gridSpan w:val="2"/>
          </w:tcPr>
          <w:p>
            <w:pPr>
              <w:ind w:left="2240"/>
              <w:spacing w:after="0"/>
              <w:rPr>
                <w:sz w:val="20"/>
                <w:szCs w:val="20"/>
                <w:color w:val="auto"/>
              </w:rPr>
            </w:pPr>
            <w:r>
              <w:rPr>
                <w:rFonts w:ascii="Arial" w:cs="Arial" w:eastAsia="Arial" w:hAnsi="Arial"/>
                <w:sz w:val="14"/>
                <w:szCs w:val="14"/>
                <w:color w:val="auto"/>
              </w:rPr>
              <w:t>Delaware</w:t>
            </w:r>
          </w:p>
        </w:tc>
      </w:tr>
      <w:tr>
        <w:trPr>
          <w:trHeight w:val="393"/>
        </w:trPr>
        <w:tc>
          <w:tcPr>
            <w:tcW w:w="3240" w:type="dxa"/>
            <w:vAlign w:val="bottom"/>
            <w:gridSpan w:val="2"/>
          </w:tcPr>
          <w:p>
            <w:pPr>
              <w:spacing w:after="0"/>
              <w:rPr>
                <w:sz w:val="20"/>
                <w:szCs w:val="20"/>
                <w:color w:val="auto"/>
              </w:rPr>
            </w:pPr>
            <w:r>
              <w:rPr>
                <w:rFonts w:ascii="Arial" w:cs="Arial" w:eastAsia="Arial" w:hAnsi="Arial"/>
                <w:sz w:val="14"/>
                <w:szCs w:val="14"/>
                <w:color w:val="auto"/>
              </w:rPr>
              <w:t>Daré Bioscience Australia Pty Ltd</w:t>
            </w:r>
          </w:p>
        </w:tc>
        <w:tc>
          <w:tcPr>
            <w:tcW w:w="4120" w:type="dxa"/>
            <w:vAlign w:val="bottom"/>
            <w:gridSpan w:val="2"/>
          </w:tcPr>
          <w:p>
            <w:pPr>
              <w:ind w:left="2240"/>
              <w:spacing w:after="0"/>
              <w:rPr>
                <w:sz w:val="20"/>
                <w:szCs w:val="20"/>
                <w:color w:val="auto"/>
              </w:rPr>
            </w:pPr>
            <w:r>
              <w:rPr>
                <w:rFonts w:ascii="Arial" w:cs="Arial" w:eastAsia="Arial" w:hAnsi="Arial"/>
                <w:sz w:val="14"/>
                <w:szCs w:val="14"/>
                <w:color w:val="auto"/>
              </w:rPr>
              <w:t>Australia</w:t>
            </w:r>
          </w:p>
        </w:tc>
      </w:tr>
      <w:tr>
        <w:trPr>
          <w:trHeight w:val="393"/>
        </w:trPr>
        <w:tc>
          <w:tcPr>
            <w:tcW w:w="3240" w:type="dxa"/>
            <w:vAlign w:val="bottom"/>
            <w:gridSpan w:val="2"/>
          </w:tcPr>
          <w:p>
            <w:pPr>
              <w:spacing w:after="0"/>
              <w:rPr>
                <w:sz w:val="20"/>
                <w:szCs w:val="20"/>
                <w:color w:val="auto"/>
              </w:rPr>
            </w:pPr>
            <w:r>
              <w:rPr>
                <w:rFonts w:ascii="Arial" w:cs="Arial" w:eastAsia="Arial" w:hAnsi="Arial"/>
                <w:sz w:val="14"/>
                <w:szCs w:val="14"/>
                <w:color w:val="auto"/>
              </w:rPr>
              <w:t>Pear Tree Pharmaceuticals, Inc.</w:t>
            </w:r>
          </w:p>
        </w:tc>
        <w:tc>
          <w:tcPr>
            <w:tcW w:w="4120" w:type="dxa"/>
            <w:vAlign w:val="bottom"/>
            <w:gridSpan w:val="2"/>
          </w:tcPr>
          <w:p>
            <w:pPr>
              <w:ind w:left="2240"/>
              <w:spacing w:after="0"/>
              <w:rPr>
                <w:sz w:val="20"/>
                <w:szCs w:val="20"/>
                <w:color w:val="auto"/>
              </w:rPr>
            </w:pPr>
            <w:r>
              <w:rPr>
                <w:rFonts w:ascii="Arial" w:cs="Arial" w:eastAsia="Arial" w:hAnsi="Arial"/>
                <w:sz w:val="14"/>
                <w:szCs w:val="14"/>
                <w:color w:val="auto"/>
              </w:rPr>
              <w:t>Delaware</w:t>
            </w:r>
          </w:p>
        </w:tc>
      </w:tr>
      <w:tr>
        <w:trPr>
          <w:trHeight w:val="393"/>
        </w:trPr>
        <w:tc>
          <w:tcPr>
            <w:tcW w:w="3240" w:type="dxa"/>
            <w:vAlign w:val="bottom"/>
            <w:gridSpan w:val="2"/>
          </w:tcPr>
          <w:p>
            <w:pPr>
              <w:spacing w:after="0"/>
              <w:rPr>
                <w:sz w:val="20"/>
                <w:szCs w:val="20"/>
                <w:color w:val="auto"/>
              </w:rPr>
            </w:pPr>
            <w:r>
              <w:rPr>
                <w:rFonts w:ascii="Arial" w:cs="Arial" w:eastAsia="Arial" w:hAnsi="Arial"/>
                <w:sz w:val="14"/>
                <w:szCs w:val="14"/>
                <w:color w:val="auto"/>
              </w:rPr>
              <w:t>Daré MBI Inc.</w:t>
            </w:r>
          </w:p>
        </w:tc>
        <w:tc>
          <w:tcPr>
            <w:tcW w:w="4120" w:type="dxa"/>
            <w:vAlign w:val="bottom"/>
            <w:gridSpan w:val="2"/>
          </w:tcPr>
          <w:p>
            <w:pPr>
              <w:ind w:left="224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60"/>
          </w:cols>
          <w:pgMar w:left="320" w:top="730" w:right="3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4"/>
          <w:szCs w:val="14"/>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consent to the incorporation by reference in the Registration Statements on Form S-1 (File No. 333-283280), the Registration Statements on Form S-3 (File Nos. 333-278380, 333-278378, 333-254862 and 333-238299) and the Registration Statements on Form S-8 (File Nos. 333-264020, 333-266699, 333-254864, 333-237473, 333-230802, 333-226904, 333-211697, 333-204007, and 333-198126) of Daré Bioscience, Inc. (the "Company") of our report dated March 31, 2025, relating to the consolidated financial statements as of December 31, 2024 and 2023 and for each of the years in the two-year period then ended (which includes an explanatory paragraph relating to the uncertainty of the Company’s ability to continue as a going concern), which appear in the Company's Annual Report on Form 10-K for the fiscal year ended December 31, 2024.</w:t>
      </w:r>
    </w:p>
    <w:p>
      <w:pPr>
        <w:spacing w:after="0" w:line="333"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 Haskell &amp; White, LLP</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HASKELL &amp; WHITE LLP</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March 31, 2025</w:t>
      </w:r>
    </w:p>
    <w:p>
      <w:pPr>
        <w:sectPr>
          <w:pgSz w:w="11900" w:h="16838" w:orient="portrait"/>
          <w:cols w:equalWidth="0" w:num="1">
            <w:col w:w="11280"/>
          </w:cols>
          <w:pgMar w:left="300" w:top="730" w:right="3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4"/>
          <w:szCs w:val="14"/>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I, Sabrina Martucci Johnson, certify that:</w:t>
      </w:r>
    </w:p>
    <w:p>
      <w:pPr>
        <w:spacing w:after="0" w:line="179" w:lineRule="exact"/>
        <w:rPr>
          <w:sz w:val="20"/>
          <w:szCs w:val="20"/>
          <w:color w:val="auto"/>
        </w:rPr>
      </w:pPr>
    </w:p>
    <w:p>
      <w:pPr>
        <w:ind w:left="860" w:hanging="187"/>
        <w:spacing w:after="0"/>
        <w:tabs>
          <w:tab w:leader="none" w:pos="8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Daré Bioscience, Inc.;</w:t>
      </w:r>
    </w:p>
    <w:p>
      <w:pPr>
        <w:spacing w:after="0" w:line="178" w:lineRule="exact"/>
        <w:rPr>
          <w:rFonts w:ascii="Arial" w:cs="Arial" w:eastAsia="Arial" w:hAnsi="Arial"/>
          <w:sz w:val="14"/>
          <w:szCs w:val="14"/>
          <w:color w:val="auto"/>
        </w:rPr>
      </w:pPr>
    </w:p>
    <w:p>
      <w:pPr>
        <w:ind w:firstLine="673"/>
        <w:spacing w:after="0" w:line="290" w:lineRule="auto"/>
        <w:tabs>
          <w:tab w:leader="none" w:pos="872"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firstLine="673"/>
        <w:spacing w:after="0" w:line="290" w:lineRule="auto"/>
        <w:tabs>
          <w:tab w:leader="none" w:pos="879"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firstLine="673"/>
        <w:spacing w:after="0" w:line="290" w:lineRule="auto"/>
        <w:tabs>
          <w:tab w:leader="none" w:pos="869" w:val="left"/>
        </w:tabs>
        <w:numPr>
          <w:ilvl w:val="0"/>
          <w:numId w:val="86"/>
        </w:numPr>
        <w:rPr>
          <w:rFonts w:ascii="Arial" w:cs="Arial" w:eastAsia="Arial" w:hAnsi="Arial"/>
          <w:sz w:val="14"/>
          <w:szCs w:val="14"/>
          <w:color w:val="auto"/>
        </w:rPr>
      </w:pPr>
      <w:r>
        <w:rPr>
          <w:rFonts w:ascii="Arial" w:cs="Arial" w:eastAsia="Arial" w:hAnsi="Arial"/>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4"/>
          <w:szCs w:val="14"/>
          <w:color w:val="auto"/>
        </w:rPr>
      </w:pPr>
    </w:p>
    <w:p>
      <w:pPr>
        <w:jc w:val="both"/>
        <w:ind w:firstLine="1342"/>
        <w:spacing w:after="0" w:line="271" w:lineRule="auto"/>
        <w:tabs>
          <w:tab w:leader="none" w:pos="1541" w:val="left"/>
        </w:tabs>
        <w:numPr>
          <w:ilvl w:val="1"/>
          <w:numId w:val="8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33" w:lineRule="exact"/>
        <w:rPr>
          <w:rFonts w:ascii="Arial" w:cs="Arial" w:eastAsia="Arial" w:hAnsi="Arial"/>
          <w:sz w:val="14"/>
          <w:szCs w:val="14"/>
          <w:color w:val="auto"/>
        </w:rPr>
      </w:pPr>
    </w:p>
    <w:p>
      <w:pPr>
        <w:jc w:val="both"/>
        <w:ind w:firstLine="1342"/>
        <w:spacing w:after="0" w:line="271" w:lineRule="auto"/>
        <w:tabs>
          <w:tab w:leader="none" w:pos="1571" w:val="left"/>
        </w:tabs>
        <w:numPr>
          <w:ilvl w:val="1"/>
          <w:numId w:val="8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4"/>
          <w:szCs w:val="14"/>
          <w:color w:val="auto"/>
        </w:rPr>
      </w:pPr>
    </w:p>
    <w:p>
      <w:pPr>
        <w:ind w:firstLine="1342"/>
        <w:spacing w:after="0" w:line="290" w:lineRule="auto"/>
        <w:tabs>
          <w:tab w:leader="none" w:pos="1496" w:val="left"/>
        </w:tabs>
        <w:numPr>
          <w:ilvl w:val="1"/>
          <w:numId w:val="8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jc w:val="both"/>
        <w:ind w:firstLine="1342"/>
        <w:spacing w:after="0" w:line="271" w:lineRule="auto"/>
        <w:tabs>
          <w:tab w:leader="none" w:pos="1508" w:val="left"/>
        </w:tabs>
        <w:numPr>
          <w:ilvl w:val="1"/>
          <w:numId w:val="8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firstLine="673"/>
        <w:spacing w:after="0" w:line="290" w:lineRule="auto"/>
        <w:tabs>
          <w:tab w:leader="none" w:pos="87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firstLine="1342"/>
        <w:spacing w:after="0" w:line="290" w:lineRule="auto"/>
        <w:tabs>
          <w:tab w:leader="none" w:pos="1567" w:val="left"/>
        </w:tabs>
        <w:numPr>
          <w:ilvl w:val="1"/>
          <w:numId w:val="8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4"/>
          <w:szCs w:val="14"/>
          <w:color w:val="auto"/>
        </w:rPr>
      </w:pPr>
    </w:p>
    <w:p>
      <w:pPr>
        <w:ind w:left="1580" w:hanging="238"/>
        <w:spacing w:after="0"/>
        <w:tabs>
          <w:tab w:leader="none" w:pos="1580" w:val="left"/>
        </w:tabs>
        <w:numPr>
          <w:ilvl w:val="1"/>
          <w:numId w:val="8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Date: March 31, 2025</w:t>
      </w:r>
    </w:p>
    <w:p>
      <w:pPr>
        <w:spacing w:after="0" w:line="94" w:lineRule="exact"/>
        <w:rPr>
          <w:sz w:val="20"/>
          <w:szCs w:val="20"/>
          <w:color w:val="auto"/>
        </w:rPr>
      </w:pPr>
    </w:p>
    <w:p>
      <w:pPr>
        <w:ind w:left="4080"/>
        <w:spacing w:after="0"/>
        <w:rPr>
          <w:sz w:val="20"/>
          <w:szCs w:val="20"/>
          <w:color w:val="auto"/>
        </w:rPr>
      </w:pPr>
      <w:r>
        <w:rPr>
          <w:rFonts w:ascii="Arial" w:cs="Arial" w:eastAsia="Arial" w:hAnsi="Arial"/>
          <w:sz w:val="14"/>
          <w:szCs w:val="14"/>
          <w:u w:val="single" w:color="auto"/>
          <w:color w:val="auto"/>
        </w:rPr>
        <w:t>/s/ Sabrina Martucci Johnson</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Sabrina Martucci Johnson</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4"/>
          <w:szCs w:val="14"/>
          <w:i w:val="1"/>
          <w:iCs w:val="1"/>
          <w:color w:val="auto"/>
        </w:rPr>
        <w:t>(Principal executive officer and principal financial officer)</w:t>
      </w:r>
    </w:p>
    <w:p>
      <w:pPr>
        <w:sectPr>
          <w:pgSz w:w="11900" w:h="16838" w:orient="portrait"/>
          <w:cols w:equalWidth="0" w:num="1">
            <w:col w:w="11280"/>
          </w:cols>
          <w:pgMar w:left="300" w:top="729" w:right="3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4"/>
          <w:szCs w:val="14"/>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71" w:lineRule="exact"/>
        <w:rPr>
          <w:sz w:val="20"/>
          <w:szCs w:val="20"/>
          <w:color w:val="auto"/>
        </w:rPr>
      </w:pPr>
    </w:p>
    <w:p>
      <w:pPr>
        <w:jc w:val="both"/>
        <w:ind w:firstLine="668"/>
        <w:spacing w:after="0" w:line="271" w:lineRule="auto"/>
        <w:rPr>
          <w:sz w:val="20"/>
          <w:szCs w:val="20"/>
          <w:color w:val="auto"/>
        </w:rPr>
      </w:pPr>
      <w:r>
        <w:rPr>
          <w:rFonts w:ascii="Arial" w:cs="Arial" w:eastAsia="Arial" w:hAnsi="Arial"/>
          <w:sz w:val="14"/>
          <w:szCs w:val="14"/>
          <w:color w:val="auto"/>
        </w:rPr>
        <w:t>In connection with the Annual Report on Form 10-K of Daré Bioscience, Inc. (the “Company”) for the fiscal year ended December 31, 2024,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49" w:lineRule="exact"/>
        <w:rPr>
          <w:sz w:val="20"/>
          <w:szCs w:val="20"/>
          <w:color w:val="auto"/>
        </w:rPr>
      </w:pPr>
    </w:p>
    <w:p>
      <w:pPr>
        <w:ind w:left="500" w:hanging="240"/>
        <w:spacing w:after="0"/>
        <w:tabs>
          <w:tab w:leader="none" w:pos="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3" w:lineRule="exact"/>
        <w:rPr>
          <w:rFonts w:ascii="Arial" w:cs="Arial" w:eastAsia="Arial" w:hAnsi="Arial"/>
          <w:sz w:val="14"/>
          <w:szCs w:val="14"/>
          <w:color w:val="auto"/>
        </w:rPr>
      </w:pPr>
    </w:p>
    <w:p>
      <w:pPr>
        <w:ind w:left="500" w:hanging="240"/>
        <w:spacing w:after="0"/>
        <w:tabs>
          <w:tab w:leader="none" w:pos="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Date: March 31, 2025</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4"/>
          <w:szCs w:val="14"/>
          <w:u w:val="single" w:color="auto"/>
          <w:color w:val="auto"/>
        </w:rPr>
        <w:t>/s/ Sabrina Martucci Johnson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Sabrina Martucci Johnson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4"/>
          <w:szCs w:val="14"/>
          <w:i w:val="1"/>
          <w:iCs w:val="1"/>
          <w:color w:val="auto"/>
        </w:rPr>
        <w:t>(principal executive officer and principal financial officer)</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70"/>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decimal"/>
      <w:start w:val="2"/>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decimal"/>
      <w:start w:val="2"/>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2"/>
    </w:lvl>
  </w:abstractNum>
  <w:abstractNum w:abstractNumId="53">
    <w:nsid w:val="98A3148"/>
    <w:multiLevelType w:val="hybridMultilevel"/>
    <w:lvl w:ilvl="0">
      <w:lvlJc w:val="left"/>
      <w:lvlText w:val="•"/>
      <w:numFmt w:val="bullet"/>
      <w:start w:val="1"/>
    </w:lvl>
    <w:lvl w:ilvl="1">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lowerLetter"/>
      <w:start w:val="3"/>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decimal"/>
      <w:start w:val="1"/>
    </w:lvl>
    <w:lvl w:ilvl="1">
      <w:lvlJc w:val="left"/>
      <w:lvlText w:val="(%2)"/>
      <w:numFmt w:val="lowerLetter"/>
      <w:start w:val="1"/>
    </w:lvl>
  </w:abstractNum>
  <w:abstractNum w:abstractNumId="59">
    <w:nsid w:val="661E3F1E"/>
    <w:multiLevelType w:val="hybridMultilevel"/>
    <w:lvl w:ilvl="0">
      <w:lvlJc w:val="left"/>
      <w:lvlText w:val="(%1)"/>
      <w:numFmt w:val="decimal"/>
      <w:start w:val="1"/>
    </w:lvl>
    <w:lvl w:ilvl="1">
      <w:lvlJc w:val="left"/>
      <w:lvlText w:val="%2"/>
      <w:numFmt w:val="lowerLetter"/>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lowerRoman"/>
      <w:start w:val="4"/>
    </w:lvl>
  </w:abstractNum>
  <w:abstractNum w:abstractNumId="69">
    <w:nsid w:val="8F2B15E"/>
    <w:multiLevelType w:val="hybridMultilevel"/>
    <w:lvl w:ilvl="0">
      <w:lvlJc w:val="left"/>
      <w:lvlText w:val="%1."/>
      <w:numFmt w:val="decimal"/>
      <w:start w:val="3"/>
    </w:lvl>
  </w:abstractNum>
  <w:abstractNum w:abstractNumId="70">
    <w:nsid w:val="1A32234B"/>
    <w:multiLevelType w:val="hybridMultilevel"/>
    <w:lvl w:ilvl="0">
      <w:lvlJc w:val="left"/>
      <w:lvlText w:val="%1."/>
      <w:numFmt w:val="decimal"/>
      <w:start w:val="4"/>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1."/>
      <w:numFmt w:val="decimal"/>
      <w:start w:val="5"/>
    </w:lvl>
  </w:abstractNum>
  <w:abstractNum w:abstractNumId="73">
    <w:nsid w:val="4962813B"/>
    <w:multiLevelType w:val="hybridMultilevel"/>
    <w:lvl w:ilvl="0">
      <w:lvlJc w:val="left"/>
      <w:lvlText w:val="%1."/>
      <w:numFmt w:val="decimal"/>
      <w:start w:val="7"/>
    </w:lvl>
  </w:abstractNum>
  <w:abstractNum w:abstractNumId="74">
    <w:nsid w:val="60B6DF70"/>
    <w:multiLevelType w:val="hybridMultilevel"/>
    <w:lvl w:ilvl="0">
      <w:lvlJc w:val="left"/>
      <w:lvlText w:val="%1."/>
      <w:numFmt w:val="decimal"/>
      <w:start w:val="8"/>
    </w:lvl>
  </w:abstractNum>
  <w:abstractNum w:abstractNumId="75">
    <w:nsid w:val="6A5EE64"/>
    <w:multiLevelType w:val="hybridMultilevel"/>
    <w:lvl w:ilvl="0">
      <w:lvlJc w:val="left"/>
      <w:lvlText w:val="%1."/>
      <w:numFmt w:val="decimal"/>
      <w:start w:val="9"/>
    </w:lvl>
  </w:abstractNum>
  <w:abstractNum w:abstractNumId="76">
    <w:nsid w:val="14330624"/>
    <w:multiLevelType w:val="hybridMultilevel"/>
    <w:lvl w:ilvl="0">
      <w:lvlJc w:val="left"/>
      <w:lvlText w:val="%1."/>
      <w:numFmt w:val="decimal"/>
      <w:start w:val="10"/>
    </w:lvl>
  </w:abstractNum>
  <w:abstractNum w:abstractNumId="77">
    <w:nsid w:val="7FFFCA11"/>
    <w:multiLevelType w:val="hybridMultilevel"/>
    <w:lvl w:ilvl="0">
      <w:lvlJc w:val="left"/>
      <w:lvlText w:val="%1."/>
      <w:numFmt w:val="decimal"/>
      <w:start w:val="11"/>
    </w:lvl>
  </w:abstractNum>
  <w:abstractNum w:abstractNumId="78">
    <w:nsid w:val="1A27709E"/>
    <w:multiLevelType w:val="hybridMultilevel"/>
    <w:lvl w:ilvl="0">
      <w:lvlJc w:val="left"/>
      <w:lvlText w:val="%1."/>
      <w:numFmt w:val="decimal"/>
      <w:start w:val="12"/>
    </w:lvl>
  </w:abstractNum>
  <w:abstractNum w:abstractNumId="79">
    <w:nsid w:val="71EA1109"/>
    <w:multiLevelType w:val="hybridMultilevel"/>
    <w:lvl w:ilvl="0">
      <w:lvlJc w:val="left"/>
      <w:lvlText w:val="%1."/>
      <w:numFmt w:val="decimal"/>
      <w:start w:val="13"/>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14"/>
    </w:lvl>
  </w:abstractNum>
  <w:abstractNum w:abstractNumId="82">
    <w:nsid w:val="6EB5BD4"/>
    <w:multiLevelType w:val="hybridMultilevel"/>
    <w:lvl w:ilvl="0">
      <w:lvlJc w:val="left"/>
      <w:lvlText w:val="%1."/>
      <w:numFmt w:val="decimal"/>
      <w:start w:val="15"/>
    </w:lvl>
  </w:abstractNum>
  <w:abstractNum w:abstractNumId="83">
    <w:nsid w:val="6F6DD9AC"/>
    <w:multiLevelType w:val="hybridMultilevel"/>
    <w:lvl w:ilvl="0">
      <w:lvlJc w:val="left"/>
      <w:lvlText w:val="%1."/>
      <w:numFmt w:val="decimal"/>
      <w:start w:val="16"/>
    </w:lvl>
  </w:abstractNum>
  <w:abstractNum w:abstractNumId="84">
    <w:nsid w:val="94211F2"/>
    <w:multiLevelType w:val="hybridMultilevel"/>
    <w:lvl w:ilvl="0">
      <w:lvlJc w:val="left"/>
      <w:lvlText w:val="%1."/>
      <w:numFmt w:val="decimal"/>
      <w:start w:val="17"/>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68" Type="http://schemas.openxmlformats.org/officeDocument/2006/relationships/image" Target="media/image144.png"/><Relationship Id="rId178"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9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298" Type="http://schemas.openxmlformats.org/officeDocument/2006/relationships/image" Target="media/image240.png"/><Relationship Id="rId299" Type="http://schemas.openxmlformats.org/officeDocument/2006/relationships/image" Target="media/image241.png"/><Relationship Id="rId300" Type="http://schemas.openxmlformats.org/officeDocument/2006/relationships/image" Target="media/image242.png"/><Relationship Id="rId301" Type="http://schemas.openxmlformats.org/officeDocument/2006/relationships/image" Target="media/image243.png"/><Relationship Id="rId302" Type="http://schemas.openxmlformats.org/officeDocument/2006/relationships/image" Target="media/image244.png"/><Relationship Id="rId303" Type="http://schemas.openxmlformats.org/officeDocument/2006/relationships/image" Target="media/image245.png"/><Relationship Id="rId304" Type="http://schemas.openxmlformats.org/officeDocument/2006/relationships/image" Target="media/image246.png"/><Relationship Id="rId305" Type="http://schemas.openxmlformats.org/officeDocument/2006/relationships/image" Target="media/image247.png"/><Relationship Id="rId306" Type="http://schemas.openxmlformats.org/officeDocument/2006/relationships/image" Target="media/image248.png"/><Relationship Id="rId307" Type="http://schemas.openxmlformats.org/officeDocument/2006/relationships/image" Target="media/image249.png"/><Relationship Id="rId308" Type="http://schemas.openxmlformats.org/officeDocument/2006/relationships/image" Target="media/image250.png"/><Relationship Id="rId309" Type="http://schemas.openxmlformats.org/officeDocument/2006/relationships/image" Target="media/image251.png"/><Relationship Id="rId310" Type="http://schemas.openxmlformats.org/officeDocument/2006/relationships/image" Target="media/image252.png"/><Relationship Id="rId311" Type="http://schemas.openxmlformats.org/officeDocument/2006/relationships/image" Target="media/image253.png"/><Relationship Id="rId312" Type="http://schemas.openxmlformats.org/officeDocument/2006/relationships/image" Target="media/image254.png"/><Relationship Id="rId313" Type="http://schemas.openxmlformats.org/officeDocument/2006/relationships/image" Target="media/image255.png"/><Relationship Id="rId314" Type="http://schemas.openxmlformats.org/officeDocument/2006/relationships/image" Target="media/image256.png"/><Relationship Id="rId315" Type="http://schemas.openxmlformats.org/officeDocument/2006/relationships/image" Target="media/image257.png"/><Relationship Id="rId316" Type="http://schemas.openxmlformats.org/officeDocument/2006/relationships/image" Target="media/image258.png"/><Relationship Id="rId317" Type="http://schemas.openxmlformats.org/officeDocument/2006/relationships/image" Target="media/image259.png"/><Relationship Id="rId318" Type="http://schemas.openxmlformats.org/officeDocument/2006/relationships/image" Target="media/image260.png"/><Relationship Id="rId319" Type="http://schemas.openxmlformats.org/officeDocument/2006/relationships/image" Target="media/image261.png"/><Relationship Id="rId320" Type="http://schemas.openxmlformats.org/officeDocument/2006/relationships/image" Target="media/image262.png"/><Relationship Id="rId321" Type="http://schemas.openxmlformats.org/officeDocument/2006/relationships/image" Target="media/image263.png"/><Relationship Id="rId322" Type="http://schemas.openxmlformats.org/officeDocument/2006/relationships/image" Target="media/image264.png"/><Relationship Id="rId323" Type="http://schemas.openxmlformats.org/officeDocument/2006/relationships/image" Target="media/image265.png"/><Relationship Id="rId324" Type="http://schemas.openxmlformats.org/officeDocument/2006/relationships/image" Target="media/image266.png"/><Relationship Id="rId325" Type="http://schemas.openxmlformats.org/officeDocument/2006/relationships/image" Target="media/image267.png"/><Relationship Id="rId326" Type="http://schemas.openxmlformats.org/officeDocument/2006/relationships/image" Target="media/image268.png"/><Relationship Id="rId327" Type="http://schemas.openxmlformats.org/officeDocument/2006/relationships/image" Target="media/image269.png"/><Relationship Id="rId328" Type="http://schemas.openxmlformats.org/officeDocument/2006/relationships/image" Target="media/image270.png"/><Relationship Id="rId329" Type="http://schemas.openxmlformats.org/officeDocument/2006/relationships/image" Target="media/image271.png"/><Relationship Id="rId330" Type="http://schemas.openxmlformats.org/officeDocument/2006/relationships/image" Target="media/image272.png"/><Relationship Id="rId331" Type="http://schemas.openxmlformats.org/officeDocument/2006/relationships/image" Target="media/image273.png"/><Relationship Id="rId332" Type="http://schemas.openxmlformats.org/officeDocument/2006/relationships/image" Target="media/image274.png"/><Relationship Id="rId333" Type="http://schemas.openxmlformats.org/officeDocument/2006/relationships/image" Target="media/image275.png"/><Relationship Id="rId334" Type="http://schemas.openxmlformats.org/officeDocument/2006/relationships/image" Target="media/image276.png"/><Relationship Id="rId335" Type="http://schemas.openxmlformats.org/officeDocument/2006/relationships/image" Target="media/image277.png"/><Relationship Id="rId336" Type="http://schemas.openxmlformats.org/officeDocument/2006/relationships/image" Target="media/image278.png"/><Relationship Id="rId337" Type="http://schemas.openxmlformats.org/officeDocument/2006/relationships/image" Target="media/image279.png"/><Relationship Id="rId338" Type="http://schemas.openxmlformats.org/officeDocument/2006/relationships/image" Target="media/image280.png"/><Relationship Id="rId339" Type="http://schemas.openxmlformats.org/officeDocument/2006/relationships/image" Target="media/image281.png"/><Relationship Id="rId340" Type="http://schemas.openxmlformats.org/officeDocument/2006/relationships/image" Target="media/image282.png"/><Relationship Id="rId341" Type="http://schemas.openxmlformats.org/officeDocument/2006/relationships/image" Target="media/image283.png"/><Relationship Id="rId342" Type="http://schemas.openxmlformats.org/officeDocument/2006/relationships/image" Target="media/image284.png"/><Relationship Id="rId343" Type="http://schemas.openxmlformats.org/officeDocument/2006/relationships/image" Target="media/image285.png"/><Relationship Id="rId344" Type="http://schemas.openxmlformats.org/officeDocument/2006/relationships/image" Target="media/image286.png"/><Relationship Id="rId345" Type="http://schemas.openxmlformats.org/officeDocument/2006/relationships/image" Target="media/image287.png"/><Relationship Id="rId346" Type="http://schemas.openxmlformats.org/officeDocument/2006/relationships/image" Target="media/image288.png"/><Relationship Id="rId347" Type="http://schemas.openxmlformats.org/officeDocument/2006/relationships/image" Target="media/image289.png"/><Relationship Id="rId348" Type="http://schemas.openxmlformats.org/officeDocument/2006/relationships/image" Target="media/image290.png"/><Relationship Id="rId349" Type="http://schemas.openxmlformats.org/officeDocument/2006/relationships/image" Target="media/image291.png"/><Relationship Id="rId350" Type="http://schemas.openxmlformats.org/officeDocument/2006/relationships/image" Target="media/image292.png"/><Relationship Id="rId351" Type="http://schemas.openxmlformats.org/officeDocument/2006/relationships/image" Target="media/image293.png"/><Relationship Id="rId352" Type="http://schemas.openxmlformats.org/officeDocument/2006/relationships/image" Target="media/image294.png"/><Relationship Id="rId353" Type="http://schemas.openxmlformats.org/officeDocument/2006/relationships/image" Target="media/image295.png"/><Relationship Id="rId354" Type="http://schemas.openxmlformats.org/officeDocument/2006/relationships/image" Target="media/image296.png"/><Relationship Id="rId355" Type="http://schemas.openxmlformats.org/officeDocument/2006/relationships/image" Target="media/image297.png"/><Relationship Id="rId356" Type="http://schemas.openxmlformats.org/officeDocument/2006/relationships/image" Target="media/image298.png"/><Relationship Id="rId357" Type="http://schemas.openxmlformats.org/officeDocument/2006/relationships/image" Target="media/image299.png"/><Relationship Id="rId358" Type="http://schemas.openxmlformats.org/officeDocument/2006/relationships/image" Target="media/image300.png"/><Relationship Id="rId359" Type="http://schemas.openxmlformats.org/officeDocument/2006/relationships/image" Target="media/image301.png"/><Relationship Id="rId360" Type="http://schemas.openxmlformats.org/officeDocument/2006/relationships/image" Target="media/image302.png"/><Relationship Id="rId361" Type="http://schemas.openxmlformats.org/officeDocument/2006/relationships/image" Target="media/image303.png"/><Relationship Id="rId362" Type="http://schemas.openxmlformats.org/officeDocument/2006/relationships/image" Target="media/image304.png"/><Relationship Id="rId363" Type="http://schemas.openxmlformats.org/officeDocument/2006/relationships/image" Target="media/image305.png"/><Relationship Id="rId364" Type="http://schemas.openxmlformats.org/officeDocument/2006/relationships/image" Target="media/image306.png"/><Relationship Id="rId365" Type="http://schemas.openxmlformats.org/officeDocument/2006/relationships/image" Target="media/image307.png"/><Relationship Id="rId366" Type="http://schemas.openxmlformats.org/officeDocument/2006/relationships/image" Target="media/image308.png"/><Relationship Id="rId367" Type="http://schemas.openxmlformats.org/officeDocument/2006/relationships/image" Target="media/image309.png"/><Relationship Id="rId368" Type="http://schemas.openxmlformats.org/officeDocument/2006/relationships/image" Target="media/image310.png"/><Relationship Id="rId149" Type="http://schemas.openxmlformats.org/officeDocument/2006/relationships/hyperlink" Target="https://www.sec.gov/Archives/edgar/data/1401914/000156459018021487/dare-ex1010_233.htm" TargetMode="External"/><Relationship Id="rId150" Type="http://schemas.openxmlformats.org/officeDocument/2006/relationships/hyperlink" Target="https://www.sec.gov/Archives/edgar/data/1401914/000140191419000088/exhibit21.htm" TargetMode="External"/><Relationship Id="rId151" Type="http://schemas.openxmlformats.org/officeDocument/2006/relationships/hyperlink" Target="https://www.sec.gov/Archives/edgar/data/1401914/000140191424000038/exhibit31_amendedandrestat.htm" TargetMode="External"/><Relationship Id="rId152" Type="http://schemas.openxmlformats.org/officeDocument/2006/relationships/hyperlink" Target="https://www.sec.gov/Archives/edgar/data/1401914/000149315224025435/ex3-2.htm" TargetMode="External"/><Relationship Id="rId153" Type="http://schemas.openxmlformats.org/officeDocument/2006/relationships/hyperlink" Target="https://www.sec.gov/Archives/edgar/data/1401914/000140191424000033/dare-arbylawsjan20234856.htm" TargetMode="External"/><Relationship Id="rId154" Type="http://schemas.openxmlformats.org/officeDocument/2006/relationships/hyperlink" Target="https://www.sec.gov/Archives/edgar/data/1401914/000156459018006989/dare-ex41_433.htm" TargetMode="External"/><Relationship Id="rId157" Type="http://schemas.openxmlformats.org/officeDocument/2006/relationships/hyperlink" Target="https://www.sec.gov/Archives/edgar/data/1401914/000140191422000032/ex42_10kx2021.htm" TargetMode="External"/><Relationship Id="rId158" Type="http://schemas.openxmlformats.org/officeDocument/2006/relationships/hyperlink" Target="https://www.sec.gov/Archives/edgar/data/1401914/000149315223030659/ex4-1.htm" TargetMode="External"/><Relationship Id="rId159" Type="http://schemas.openxmlformats.org/officeDocument/2006/relationships/hyperlink" Target="https://www.sec.gov/Archives/edgar/data/1401914/000140191424000016/dare-20231231xex44.htm" TargetMode="External"/><Relationship Id="rId160" Type="http://schemas.openxmlformats.org/officeDocument/2006/relationships/hyperlink" Target="https://www.sec.gov/Archives/edgar/data/1401914/000140191420000042/exhibit46.htm" TargetMode="External"/><Relationship Id="rId161" Type="http://schemas.openxmlformats.org/officeDocument/2006/relationships/hyperlink" Target="https://www.sec.gov/Archives/edgar/data/1401914/000140191422000051/ex101_10q033122.htm" TargetMode="External"/><Relationship Id="rId162" Type="http://schemas.openxmlformats.org/officeDocument/2006/relationships/hyperlink" Target="https://www.sec.gov/Archives/edgar/data/1401914/000140191423000048/exhibit102_10q20230930.htm" TargetMode="External"/><Relationship Id="rId163" Type="http://schemas.openxmlformats.org/officeDocument/2006/relationships/hyperlink" Target="https://www.sec.gov/Archives/edgar/data/1401914/000140191422000051/ex102_10q033122.htm" TargetMode="External"/><Relationship Id="rId164" Type="http://schemas.openxmlformats.org/officeDocument/2006/relationships/hyperlink" Target="https://www.sec.gov/Archives/edgar/data/1401914/000119312518143344/d575362dex101.htm" TargetMode="External"/><Relationship Id="rId165" Type="http://schemas.openxmlformats.org/officeDocument/2006/relationships/hyperlink" Target="https://www.sec.gov/Archives/edgar/data/1401914/000156459017023408/dare-ex101_371.htm" TargetMode="External"/><Relationship Id="rId166" Type="http://schemas.openxmlformats.org/officeDocument/2006/relationships/hyperlink" Target="https://www.sec.gov/Archives/edgar/data/1401914/000156459018021487/dare-ex101_230.htm" TargetMode="External"/><Relationship Id="rId167" Type="http://schemas.openxmlformats.org/officeDocument/2006/relationships/hyperlink" Target="https://www.sec.gov/Archives/edgar/data/1401914/000156459018021487/dare-ex105_237.htm" TargetMode="External"/><Relationship Id="rId169" Type="http://schemas.openxmlformats.org/officeDocument/2006/relationships/hyperlink" Target="https://www.sec.gov/Archives/edgar/data/1401914/000156459018021487/dare-ex106_236.htm" TargetMode="External"/><Relationship Id="rId170" Type="http://schemas.openxmlformats.org/officeDocument/2006/relationships/hyperlink" Target="https://www.sec.gov/Archives/edgar/data/1401914/000156459018021487/dare-ex107_234.htm" TargetMode="External"/><Relationship Id="rId171" Type="http://schemas.openxmlformats.org/officeDocument/2006/relationships/hyperlink" Target="https://www.sec.gov/Archives/edgar/data/1401914/000140191423000013/dare-20221231xex106d.htm" TargetMode="External"/><Relationship Id="rId172" Type="http://schemas.openxmlformats.org/officeDocument/2006/relationships/hyperlink" Target="https://www.sec.gov/Archives/edgar/data/1401914/000156459018021487/dare-ex108_235.htm" TargetMode="External"/><Relationship Id="rId173" Type="http://schemas.openxmlformats.org/officeDocument/2006/relationships/hyperlink" Target="https://www.sec.gov/Archives/edgar/data/1401914/000156459018021487/dare-ex109_232.htm" TargetMode="External"/><Relationship Id="rId174" Type="http://schemas.openxmlformats.org/officeDocument/2006/relationships/hyperlink" Target="https://www.sec.gov/Archives/edgar/data/1401914/000140191419000015/a1010ahammockassignment.htm" TargetMode="External"/><Relationship Id="rId175" Type="http://schemas.openxmlformats.org/officeDocument/2006/relationships/hyperlink" Target="https://www.sec.gov/Archives/edgar/data/1401914/000140191419000015/a1010b1stamtohamcklicnsagr.htm" TargetMode="External"/><Relationship Id="rId176" Type="http://schemas.openxmlformats.org/officeDocument/2006/relationships/hyperlink" Target="https://www.sec.gov/Archives/edgar/data/1401914/000140191420000042/exhibit1010c.htm" TargetMode="External"/><Relationship Id="rId177" Type="http://schemas.openxmlformats.org/officeDocument/2006/relationships/hyperlink" Target="https://www.sec.gov/Archives/edgar/data/1401914/000140191420000042/exhibit1010d.htm" TargetMode="External"/><Relationship Id="rId179" Type="http://schemas.openxmlformats.org/officeDocument/2006/relationships/hyperlink" Target="https://www.sec.gov/Archives/edgar/data/1401914/000140191421000137/ex101.htm" TargetMode="External"/><Relationship Id="rId180" Type="http://schemas.openxmlformats.org/officeDocument/2006/relationships/hyperlink" Target="https://www.sec.gov/Archives/edgar/data/1401914/000140191420000042/exhibit1016.htm" TargetMode="External"/><Relationship Id="rId181" Type="http://schemas.openxmlformats.org/officeDocument/2006/relationships/hyperlink" Target="https://www.sec.gov/Archives/edgar/data/1401914/000140191421000137/exhibit311_20210930.htm" TargetMode="External"/><Relationship Id="rId182" Type="http://schemas.openxmlformats.org/officeDocument/2006/relationships/hyperlink" Target="https://www.sec.gov/Archives/edgar/data/1401914/000140191424000016/dare-20231231xex1012.htm" TargetMode="External"/><Relationship Id="rId183" Type="http://schemas.openxmlformats.org/officeDocument/2006/relationships/hyperlink" Target="https://www.sec.gov/Archives/edgar/data/1401914/000149315224041796/ex10-1.htm" TargetMode="External"/><Relationship Id="rId184" Type="http://schemas.openxmlformats.org/officeDocument/2006/relationships/hyperlink" Target="https://www.sec.gov/Archives/edgar/data/1401914/000149315224041796/ex10-2.htm" TargetMode="External"/><Relationship Id="rId187" Type="http://schemas.openxmlformats.org/officeDocument/2006/relationships/hyperlink" Target="https://www.sec.gov/Archives/edgar/data/1401914/000140191424000038/exhibit101xoma-daretradi.htm" TargetMode="External"/><Relationship Id="rId188" Type="http://schemas.openxmlformats.org/officeDocument/2006/relationships/hyperlink" Target="https://www.sec.gov/Archives/edgar/data/1401914/000140191424000038/xoma-daresyntheticroyalt.htm" TargetMode="External"/><Relationship Id="rId189" Type="http://schemas.openxmlformats.org/officeDocument/2006/relationships/hyperlink" Target="https://www.sec.gov/Archives/edgar/data/1401914/000119312518216324/d458206dex101.htm" TargetMode="External"/><Relationship Id="rId190" Type="http://schemas.openxmlformats.org/officeDocument/2006/relationships/hyperlink" Target="https://www.sec.gov/Archives/edgar/data/1401914/000156459018021487/dare-ex103_157.htm" TargetMode="External"/><Relationship Id="rId191" Type="http://schemas.openxmlformats.org/officeDocument/2006/relationships/hyperlink" Target="https://www.sec.gov/Archives/edgar/data/1401914/000156459018021487/dare-ex104_158.htm" TargetMode="External"/><Relationship Id="rId192" Type="http://schemas.openxmlformats.org/officeDocument/2006/relationships/hyperlink" Target="https://www.sec.gov/Archives/edgar/data/1401914/000119312514122758/d657877dex1026.htm" TargetMode="External"/><Relationship Id="rId193" Type="http://schemas.openxmlformats.org/officeDocument/2006/relationships/hyperlink" Target="https://www.sec.gov/Archives/edgar/data/1401914/000140191424000038/exhibit107dare-2022stockin.htm" TargetMode="External"/><Relationship Id="rId194" Type="http://schemas.openxmlformats.org/officeDocument/2006/relationships/hyperlink" Target="https://www.sec.gov/Archives/edgar/data/1401914/000149315222017652/ex10-1b.htm" TargetMode="External"/><Relationship Id="rId195" Type="http://schemas.openxmlformats.org/officeDocument/2006/relationships/hyperlink" Target="https://www.sec.gov/Archives/edgar/data/1401914/000149315222017652/ex10-1c.htm" TargetMode="External"/><Relationship Id="rId196" Type="http://schemas.openxmlformats.org/officeDocument/2006/relationships/hyperlink" Target="https://www.sec.gov/Archives/edgar/data/1401914/000140191423000048/ex_103performancebonusplan.htm" TargetMode="External"/><Relationship Id="rId197" Type="http://schemas.openxmlformats.org/officeDocument/2006/relationships/hyperlink" Target="https://www.sec.gov/Archives/edgar/data/1401914/000119312514090300/d657877dex1016.htm" TargetMode="External"/><Relationship Id="rId198" Type="http://schemas.openxmlformats.org/officeDocument/2006/relationships/hyperlink" Target="https://www.sec.gov/Archives/edgar/data/1401914/000140191424000038/exhibit104_amendedrestated.htm" TargetMode="External"/><Relationship Id="rId199" Type="http://schemas.openxmlformats.org/officeDocument/2006/relationships/hyperlink" Target="https://www.sec.gov/Archives/edgar/data/1401914/000119312517262263/d425695dex101.htm" TargetMode="External"/><Relationship Id="rId202" Type="http://schemas.openxmlformats.org/officeDocument/2006/relationships/hyperlink" Target="https://www.sec.gov/Archives/edgar/data/1401914/000140191420000068/ex1013b.htm" TargetMode="External"/><Relationship Id="rId203" Type="http://schemas.openxmlformats.org/officeDocument/2006/relationships/hyperlink" Target="https://www.sec.gov/Archives/edgar/data/1401914/000140191424000038/exhibit105amendmentno2toem.htm" TargetMode="External"/><Relationship Id="rId204" Type="http://schemas.openxmlformats.org/officeDocument/2006/relationships/hyperlink" Target="https://www.sec.gov/Archives/edgar/data/1401914/000119312517262263/d425695dex102.htm" TargetMode="External"/><Relationship Id="rId205" Type="http://schemas.openxmlformats.org/officeDocument/2006/relationships/hyperlink" Target="https://www.sec.gov/Archives/edgar/data/1401914/000140191420000068/ex1014b.htm" TargetMode="External"/><Relationship Id="rId206" Type="http://schemas.openxmlformats.org/officeDocument/2006/relationships/hyperlink" Target="https://www.sec.gov/Archives/edgar/data/1401914/000140191424000038/exhibit106darebiosciencein.htm" TargetMode="External"/><Relationship Id="rId207" Type="http://schemas.openxmlformats.org/officeDocument/2006/relationships/hyperlink" Target="https://www.sec.gov/Archives/edgar/data/1401914/000140191424000016/dare-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2025-03-31T15:22:17Z</dcterms:created>
  <dcterms:modified xsi:type="dcterms:W3CDTF">2025-03-31T15:22:17Z</dcterms:modified>
</cp:coreProperties>
</file>