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253g2.htm"/>
      <w:bookmarkStart w:id="1" w:name="ksform253g2"/>
      <w:bookmarkEnd w:id="0"/>
      <w:bookmarkEnd w:id="1"/>
      <w:r>
        <w:rPr>
          <w:caps w:val="false"/>
          <w:smallCaps w:val="false"/>
        </w:rPr>
        <w:t> </w:t>
      </w:r>
    </w:p>
    <w:p>
      <w:pPr>
        <w:pStyle w:val="TextBody"/>
        <w:shd w:fill="FFFFFF" w:val="clear"/>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Filed Pursuant to Rule 253(g)(2)</w:t>
      </w:r>
    </w:p>
    <w:p>
      <w:pPr>
        <w:pStyle w:val="TextBody"/>
        <w:shd w:fill="FFFFFF" w:val="clear"/>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 No. 024-12688</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OFFERING CIRCULAR SUPPLEMENT</w:t>
      </w:r>
    </w:p>
    <w:p>
      <w:pPr>
        <w:pStyle w:val="TextBody"/>
        <w:shd w:fill="FFFFFF" w:val="clear"/>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offering circular dated January 6, 2026 and prior supplements)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Best Efforts Offering of up to 4,854,000 Investor Units, each Investor Unit Consisting of One Share of Series A Convertible Preferred Stock, which is Convertible into Two Shares of Common Stock, and Two Warrants, each to Purchase One Share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 to 9,708,000 Shares of Common Stock Issuable Upon Conversion of the Series A Preferred Stock and up to 9,708,000 Shares of Common Stock Issuable Upon Exercise of the Warrants, in each case, that are part of the Investor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Agent Unit Warrants to Purchase up to 145,620 Agent Units, each Agent Unit Consisting of One Share of Series A Convertible Preferred Stock, which is Convertible into Two Shares of Common Stock, and Two Warrants, each to Purchase One Share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 to 145,620 Shares of Series A Convertible Preferred Stock Issuable Upon Exercise of the Agent Unit Warrants and up to 291,240 Shares of Common Stock Issuable Upon Conversion of such Shares of Series 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 to 291,240 Warrants Issuable Upon Exercise of the Agent Unit Warrants and up to 291,240 Shares of Common Stock Issuable Upon Exercise of such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offering circular supplement supplements, modifies and supersedes, to the extent indicated herein, the information in, or incorporated by reference into, the offering circular dated January 6, 2026 and each of the offering circular supplements dated March 26, 2026, May 14, 2026, and July 17, 2026 (together, the “offering circular”), with the information in (a) our Quarterly Report on Form 10-Q for the quarter ended June 30, 2026, filed with the Securities and Exchange Commission (the “SEC”) on August 13, 2026 (the “10-Q”), and (b) our Current Report on Form 8-K filed with the SEC on August 17, 2026 (the “August 2026 8-K”), copies of which accompany this offering circular supplement. The offering circular, as supplemented from time to time, forms a part of our Offering Statement on Form 1-A (File No. 024-12688).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offering reported under Item 1.01 of the August 2026 8-K closed on August 17, 2026. In connection with that offering, we agreed, among other things, not to issue any shares of our common stock or common stock equivalents (including the Investor Units) until October 16, 2026. Accordingly, no subscriptions for Investor Units will be accepted until at least that date.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offering circular supplement should be read in conjunction with the offering circular, and is qualified by reference to the offering circular, except to the extent that the information in this offering circular supplement, including the10-Q and August 2026 8-K, supplements, modifies or supersedes the information in or incorporated by reference into the offering circular. If there is any inconsistency between the information in or incorporated by reference into the offering circular, on the one hand, and this offering circular supplement, on the other, you should rely on the information in or incorporated by reference into this offering circular supplement. Any information that is supplemented, modified or superseded in the offering circular by this offering circular supplement shall not be deemed to constitute a part of the offering circular, respectively, except as supplemented, modified or superseded by this offering circular supplement. This offering circular supplement is not complete without, and may only be delivered or used in connection with, the offering circular.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under the symbol “DARE”. On August 18, 2026, the closing price of our common stock as reported on The Nasdaq Capital Market was $0.77 per share. For information regarding the listing of our common stock on The Nasdaq Capital Market, see the 10-Q and the risk factor titled, 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 in Item 1A of Part II of the 10-Q, which is incorporated by reference into the offering circular.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Investing in our securities involves a high degree of risk. You should review carefully the risks and uncertainties described under the heading “Risk Factors” and under similar headings in any information in or incorporated by reference into the offering circular.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Neither the Securities and Exchange Commission nor any state securities commission has approved or disapproved of the securities offered by this offering circular supplement or the offering circular or determined if the offering circular or this offering circular supplement is truthful or complete. Any representation to the contrary is a criminal offense.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date of this offering circular supplement is August 19, 2026.</w:t>
      </w:r>
    </w:p>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of Report (Date of earliest event reported): August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r>
          </w:p>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3655 Nobel Drive, Suite 260</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San Diego, CA 92122</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r>
        <w:rPr>
          <w:rFonts w:ascii="Arial;Helvetica;Sans-Serif" w:hAnsi="Arial;Helvetica;Sans-Serif"/>
          <w:b/>
          <w:i w:val="false"/>
          <w:caps w:val="false"/>
          <w:smallCaps w:val="false"/>
          <w:sz w:val="20"/>
        </w:rPr>
        <w:t>(858) 926-7655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 Applicable</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bidi w:val="0"/>
        <w:spacing w:before="0" w:after="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Emerging growth company ☐</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875"/>
        <w:gridCol w:w="396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1.01</w:t>
            </w:r>
          </w:p>
        </w:tc>
        <w:tc>
          <w:tcPr>
            <w:tcW w:w="396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Entry into a Material Definitive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Daré Bioscience, Inc. (the “Company,” “Daré,” “we,” “us,” or “our”) entered into a securities purchase agreement with certain institutional investors relating to the purchase and sale of (i) 4,085,687 shares of our common stock (the “Shares”), (ii) pre-funded warrants to purchase up to an aggregate of 293,894 shares of our common stock (the “Pre-Funded Warrants”), (iii) warrants to purchase up to 4,379,581 shares of our common stock (the “Series A Warrants”), and (iv) warrants to purchase up to 4,379,581 shares of our common stock and/or pre-funded warrants to purchase shares of our common stock (the “Series B Warrants” and together with the Series A Warrants, the “Common Warrants”). The offering price was $1.37 per Share and $1.3699 per Pre-Funded Warrant. For each Share or Pre-Funded Warrant purchased by an investor, such investor will receive one Series A Warrant to purchase one share of our common stock and one Series B Warrant to purchase one share of our common stock or one pre-funded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Pre-Funded Warrants will be exercisable immediately after issuance and will expire when exercised in full and will have an exercise price of $0.0001 per share, subject to adjustment for stock splits, reverse stock splits, stock dividends and similar transactions. A holder (together with its affiliates) may not exercise any portion of a Pre-Funded Warrant to the extent that the holder would own more than 4.99% (or, at the election of the holder, 9.99%) of Daré’s outstanding common stock immediately after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of the Common Warrants will be $1.37 per share, subject to adjustment for stock splits, reverse stock splits, stock dividends and similar transactions. The right of a holder to exercise the Common Warrants is subject to obtaining such approval from our stockholders as may be required by the rules of The Nasdaq Stock Market (“Nasdaq”) to permit exercise of the Common Warrants, and, if required and obtained, the Common Warrants will be exercisable beginning on the effective date of such stockholder approval, and the Series A Warrants will expire five years from such date, and the Series B Warrants will expire two years from such date. A holder (together with its affiliates) may not exercise any portion of a Common Warrant to the extent that the holder would own more than 4.99% (or, at the election of the holder, 9.99%) of Daré’s outstanding common stock immediately after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Common Warrants include certain rights upon “fundamental transactions” as described in the Common Warrants, including the right of the holders thereof to require us or a successor entity to redeem the Common Warrants for cash in the amount of the Black-Scholes Value (as defined in each Common Warrant) of the unexercised portion of the Common Warrants concurrently with or within 30 days following the consummation of a fundamental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aggregate gross proceeds to Daré from the offering are expected to be approximately $6.0 million before deducting estimated offering expenses payable by Daré and excluding the proceeds, if any, from the exercise of the Pre-Funded Warrants and the Common Warrants. The closing is expected to occur on or about August 17, 2026, subject to the satisfaction of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intend to use the proceeds from the offering for working capital and general corporate purposes, including to support our 503B compounding and consumer health business strategies, research and development activities, general and administrative costs, and to meet working capital needs. We use the term “503B compounding” to refer to the production and supply of compounded drugs by outsourcing facilities registered under Section 503B of the Federal Food, Drug, and Cosmetic Act, or FDCA, without patient-specific prescriptions in accordance with Section 503B of the FDCA.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Shares, the Pre-Funded Warrants and the shares issuable upon exercise of the Pre-Funded Warrants are being sold pursuant to Daré’s registration statement on Form S-3 (File No. 333-278380), filed with the U.S. Securities and Exchange Commission on March 29, 2024, and declared effective by the SEC on May 10, 2024, and a prospectus supplement thereunder. The Common Warrants and the shares of common stock issuable upon exercise thereof are being offered pursuant to the exemption from registration provided by Section 4(a)(2) of the Securities Act and/or Rule 506(b) promulgated thereunder.</w:t>
      </w:r>
    </w:p>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entered into a placement agency agreement on August 14, 2026 with Ladenburg Thalmann &amp; Co. Inc. to act as our exclusive placement agent in connection with the offering described above. The placement agent agreed to use its reasonable best efforts to arrange for the sale of the securities offered. We agreed to pay the placement agent a fee equal to 7.0% of the gross proceeds of the Shares and Pre-Funded Warrants sold, and to reimburse the placement agent for certain offering-related expenses in an amount up to $105,000. In addition, we agreed to issue to the placement agent, or its designees, warrants to purchase such number of shares of our common stock equal to 4.0% of the number of Shares and Pre-Funded Warrants sold. The exercise price of such warrants will be $2.12 per share, and such warrants will expire five years from the commencement of the sales in the offering. Such warrants will otherwise have substantially the same terms as the Common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securities purchase agreement contains customary representations, warranties and agreements by Daré, customary conditions to closing, and indemnification obligations of the parties. The representations, warranties and covenants contained in the securities purchase agreement were made only for purposes of the securities purchase agreement and as of a specific date, were solely for the benefit of the parties to the securities purchase agreement, and may be subject to limitations agreed upon by such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Copies of the form of Pre-Funded Warrant, Common Warrant, placement agent warrant,securities purchase agreement and placement agent agreement are filed as Exhibits 4.1, 4.2, 4.3, 10.1 and 10.2, respectively. The foregoing descriptions of the terms of such documents are qualified in their entirety by reference to such exhibits. A copy of the opinion of Sheppard Mullin Richter &amp; Hampton LLP relating to the legality of the issuance and the sale of the Shares, the Pre-Funded Warrants and the shares of common stock issuable upon exercise of the Pre-Funded Warrants is filed as Exhibit 5.1.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report shall not constitute an offer to sell or the solicitation of an offer to buy any securities of the Company, nor shall there be any offer, solicitation, or sale of the Company’s securities in any state or jurisdiction in which such offer, solicitation or sale would be unlawful prior to registration or qualification under the securities laws of such jurisdiction.</w:t>
      </w:r>
    </w:p>
    <w:p>
      <w:pPr>
        <w:pStyle w:val="TextBody"/>
        <w:bidi w:val="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980"/>
        <w:gridCol w:w="4025"/>
      </w:tblGrid>
      <w:tr>
        <w:trPr/>
        <w:tc>
          <w:tcPr>
            <w:tcW w:w="980"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set forth in Item 1.01 of this report is incorporated by reference into this Item 3.02 to the extent such information is responsive to the disclosure requirements of Item 3.02 of Current Report on Form 8-K.</w:t>
      </w:r>
    </w:p>
    <w:p>
      <w:pPr>
        <w:pStyle w:val="TextBody"/>
        <w:bidi w:val="0"/>
        <w:spacing w:before="0" w:after="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875"/>
        <w:gridCol w:w="129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8.01</w:t>
            </w:r>
          </w:p>
        </w:tc>
        <w:tc>
          <w:tcPr>
            <w:tcW w:w="129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Daré issued a press release announcing the offering, a copy of which is attached as Exhibit 99.1 and is incorporated herein by reference.</w:t>
      </w:r>
    </w:p>
    <w:p>
      <w:pPr>
        <w:pStyle w:val="TextBody"/>
        <w:bidi w:val="0"/>
        <w:spacing w:before="0" w:after="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875"/>
        <w:gridCol w:w="327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w:t>
            </w:r>
          </w:p>
        </w:tc>
        <w:tc>
          <w:tcPr>
            <w:tcW w:w="32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Statements and Exhibits.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p>
      <w:pPr>
        <w:pStyle w:val="TextBody"/>
        <w:bidi w:val="0"/>
        <w:spacing w:before="0" w:after="0"/>
        <w:jc w:val="both"/>
        <w:rPr>
          <w:caps w:val="false"/>
          <w:smallCaps w:val="false"/>
        </w:rPr>
      </w:pPr>
      <w:r>
        <w:rPr>
          <w:caps w:val="false"/>
          <w:smallCaps w:val="false"/>
        </w:rPr>
        <w:t> </w:t>
      </w:r>
    </w:p>
    <w:tbl>
      <w:tblPr>
        <w:tblW w:w="8350" w:type="dxa"/>
        <w:jc w:val="left"/>
        <w:tblInd w:w="0" w:type="dxa"/>
        <w:tblLayout w:type="fixed"/>
        <w:tblCellMar>
          <w:top w:w="0" w:type="dxa"/>
          <w:left w:w="0" w:type="dxa"/>
          <w:bottom w:w="28" w:type="dxa"/>
          <w:right w:w="0" w:type="dxa"/>
        </w:tblCellMar>
      </w:tblPr>
      <w:tblGrid>
        <w:gridCol w:w="1070"/>
        <w:gridCol w:w="60"/>
        <w:gridCol w:w="7220"/>
      </w:tblGrid>
      <w:tr>
        <w:trPr/>
        <w:tc>
          <w:tcPr>
            <w:tcW w:w="107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2">
              <w:r>
                <w:rPr>
                  <w:rStyle w:val="InternetLink"/>
                  <w:rFonts w:ascii="Arial;Helvetica;Sans-Serif" w:hAnsi="Arial;Helvetica;Sans-Serif"/>
                  <w:b w:val="false"/>
                  <w:i w:val="false"/>
                  <w:caps w:val="false"/>
                  <w:smallCaps w:val="false"/>
                  <w:sz w:val="20"/>
                </w:rPr>
                <w:t>Form of Pre-Funded Warrant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3">
              <w:r>
                <w:rPr>
                  <w:rStyle w:val="InternetLink"/>
                  <w:rFonts w:ascii="Arial;Helvetica;Sans-Serif" w:hAnsi="Arial;Helvetica;Sans-Serif"/>
                  <w:b w:val="false"/>
                  <w:i w:val="false"/>
                  <w:caps w:val="false"/>
                  <w:smallCaps w:val="false"/>
                  <w:sz w:val="20"/>
                </w:rPr>
                <w:t>Form of Common Warrant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4">
              <w:r>
                <w:rPr>
                  <w:rStyle w:val="InternetLink"/>
                  <w:rFonts w:ascii="Arial;Helvetica;Sans-Serif" w:hAnsi="Arial;Helvetica;Sans-Serif"/>
                  <w:b w:val="false"/>
                  <w:i w:val="false"/>
                  <w:caps w:val="false"/>
                  <w:smallCaps w:val="false"/>
                  <w:sz w:val="20"/>
                </w:rPr>
                <w:t>Form of Placement Agent Warrant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5">
              <w:r>
                <w:rPr>
                  <w:rStyle w:val="InternetLink"/>
                  <w:rFonts w:ascii="Arial;Helvetica;Sans-Serif" w:hAnsi="Arial;Helvetica;Sans-Serif"/>
                  <w:b w:val="false"/>
                  <w:i w:val="false"/>
                  <w:caps w:val="false"/>
                  <w:smallCaps w:val="false"/>
                  <w:sz w:val="20"/>
                </w:rPr>
                <w:t>Opinion of Sheppard Mullin Richter &amp; Hampton LLP</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6">
              <w:r>
                <w:rPr>
                  <w:rStyle w:val="InternetLink"/>
                  <w:rFonts w:ascii="Arial;Helvetica;Sans-Serif" w:hAnsi="Arial;Helvetica;Sans-Serif"/>
                  <w:b w:val="false"/>
                  <w:i w:val="false"/>
                  <w:caps w:val="false"/>
                  <w:smallCaps w:val="false"/>
                  <w:sz w:val="20"/>
                </w:rPr>
                <w:t>Form of Securities Purchase Agreement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7">
              <w:r>
                <w:rPr>
                  <w:rStyle w:val="InternetLink"/>
                  <w:rFonts w:ascii="Arial;Helvetica;Sans-Serif" w:hAnsi="Arial;Helvetica;Sans-Serif"/>
                  <w:b w:val="false"/>
                  <w:i w:val="false"/>
                  <w:caps w:val="false"/>
                  <w:smallCaps w:val="false"/>
                  <w:sz w:val="20"/>
                </w:rPr>
                <w:t>Form of Placement Agency Agreement (August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8">
              <w:r>
                <w:rPr>
                  <w:rStyle w:val="InternetLink"/>
                  <w:rFonts w:ascii="Arial;Helvetica;Sans-Serif" w:hAnsi="Arial;Helvetica;Sans-Serif"/>
                  <w:b w:val="false"/>
                  <w:i w:val="false"/>
                  <w:caps w:val="false"/>
                  <w:smallCaps w:val="false"/>
                  <w:sz w:val="20"/>
                </w:rPr>
                <w:t>Consent of Sheppard Mullin Richter &amp; Hampton LLP (incorporated into Exhibit 5.1)</w:t>
              </w:r>
            </w:hyperlink>
            <w:r>
              <w:rPr>
                <w:rFonts w:ascii="Arial;Helvetica;Sans-Serif" w:hAnsi="Arial;Helvetica;Sans-Serif"/>
                <w:b w:val="false"/>
                <w:i w:val="false"/>
                <w:caps w:val="false"/>
                <w:smallCaps w:val="false"/>
                <w:sz w:val="20"/>
              </w:rPr>
              <w:t xml:space="preserve"> </w:t>
            </w:r>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pPr>
            <w:hyperlink r:id="rId9">
              <w:r>
                <w:rPr>
                  <w:rStyle w:val="InternetLink"/>
                  <w:rFonts w:ascii="Arial;Helvetica;Sans-Serif" w:hAnsi="Arial;Helvetica;Sans-Serif"/>
                  <w:b w:val="false"/>
                  <w:i w:val="false"/>
                  <w:caps w:val="false"/>
                  <w:smallCaps w:val="false"/>
                  <w:sz w:val="20"/>
                </w:rPr>
                <w:t>Press release issued on August 14,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0" w:type="dxa"/>
            <w:tcBorders/>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090"/>
        <w:gridCol w:w="590"/>
        <w:gridCol w:w="3320"/>
      </w:tblGrid>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August 17,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/s/ Sabrina Martucci Johnson </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 the quarterly period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 the transition period from _____________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Commission File Number: 001-36395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860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2886075" cy="847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375"/>
        <w:gridCol w:w="60"/>
        <w:gridCol w:w="1565"/>
      </w:tblGrid>
      <w:tr>
        <w:trPr/>
        <w:tc>
          <w:tcPr>
            <w:tcW w:w="237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20-4139823</w:t>
            </w:r>
          </w:p>
        </w:tc>
      </w:tr>
      <w:tr>
        <w:trPr/>
        <w:tc>
          <w:tcPr>
            <w:tcW w:w="2375"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3530"/>
        <w:gridCol w:w="4580"/>
        <w:gridCol w:w="935"/>
      </w:tblGrid>
      <w:tr>
        <w:trPr/>
        <w:tc>
          <w:tcPr>
            <w:tcW w:w="3530" w:type="dxa"/>
            <w:tcBorders/>
            <w:vAlign w:val="center"/>
          </w:tcPr>
          <w:p>
            <w:pPr>
              <w:pStyle w:val="TableContents"/>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3655 Nobel Drive, Suite 260</w:t>
            </w:r>
          </w:p>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San Diego, CA</w:t>
            </w:r>
          </w:p>
        </w:tc>
        <w:tc>
          <w:tcPr>
            <w:tcW w:w="458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(858) 926-7655</w:t>
            </w:r>
          </w:p>
        </w:tc>
        <w:tc>
          <w:tcPr>
            <w:tcW w:w="93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92122</w:t>
            </w:r>
          </w:p>
        </w:tc>
      </w:tr>
      <w:tr>
        <w:trPr/>
        <w:tc>
          <w:tcPr>
            <w:tcW w:w="353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w:t>
            </w:r>
          </w:p>
        </w:tc>
        <w:tc>
          <w:tcPr>
            <w:tcW w:w="458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(Registrant’s telephone number, including area code)</w:t>
            </w:r>
          </w:p>
        </w:tc>
        <w:tc>
          <w:tcPr>
            <w:tcW w:w="935"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Nasdaq Capital Market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345"/>
        <w:gridCol w:w="60"/>
        <w:gridCol w:w="230"/>
        <w:gridCol w:w="60"/>
        <w:gridCol w:w="2345"/>
        <w:gridCol w:w="245"/>
      </w:tblGrid>
      <w:tr>
        <w:trPr/>
        <w:tc>
          <w:tcPr>
            <w:tcW w:w="234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Large Accelerated Filer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234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Non-accelerated filer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234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Emerging growth company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pursuant to Section 13(a) of the Exchange Act.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Indicate by check mark whether the registrant is a shell company (as defined in Rule 12b-2 of the Act).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August 12, 2026, 15,289,502 shares of the Registrant’s Common Stock, par value $0.0001,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“can,” “plan,” “potential,” “predict,” “seek,” “pursue,” “should,” “would,” “contemplate,” “accelerate,” “project,” “target,” “tend to,” or the negative version of these words and similar expressions.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Inability to raise additional capital, under favorable terms or at all, to fund our operating needs and continue as a going concern;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Failure to maintain the listing of our common stock on the Nasdaq Capital Market or another nationally recognized exchange;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Inability to generate significant revenue from sales of DARE to PLAY and other potential compounded drugs under Section 503B of the Federal Food, Drug, and Cosmetic Act, or FDCA;</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Inability to maintain and enter into arrangements with outsourcing facilities on commercially reasonable terms required to compound and distribute the compounded drugs that we seek to make available under Section 503B of the FDCA;</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performance of third parties on which we will rely to bring to market, or assist us in bringing to market, compounded drugs;</w:t>
            </w:r>
          </w:p>
        </w:tc>
      </w:tr>
    </w:tbl>
    <w:p>
      <w:pPr>
        <w:pStyle w:val="TextBody"/>
        <w:bidi w:val="0"/>
        <w:spacing w:before="0" w:after="0"/>
        <w:ind w:left="1080" w:right="0" w:hanging="36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 change in regulatory requirements related to compounded drugs under Section 503B of the FDCA;</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Difficulties or delays in commencement or completion, or the termination or suspension, of our current or planned clinical or preclinical studies;</w:t>
            </w:r>
          </w:p>
        </w:tc>
      </w:tr>
    </w:tbl>
    <w:p>
      <w:pPr>
        <w:pStyle w:val="TextBody"/>
        <w:bidi w:val="0"/>
        <w:spacing w:before="0" w:after="0"/>
        <w:ind w:left="1080" w:right="0" w:hanging="360"/>
        <w:jc w:val="both"/>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Clinical trial outcomes and results of preclinical development;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performance of third parties on which we rely to conduct nonclinical studies and clinical trials of our product candidates;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Our failure, or a failure of a strategic collaborator, to successfully commercialize our product candidates, if approved, or our failure to otherwise monetize our portfolio programs and assets;</w:t>
            </w:r>
          </w:p>
        </w:tc>
      </w:tr>
    </w:tbl>
    <w:p>
      <w:pPr>
        <w:pStyle w:val="TextBody"/>
        <w:bidi w:val="0"/>
        <w:spacing w:before="0" w:after="0"/>
        <w:ind w:left="108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number and scope of product development programs we pursue;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Termination by Organon of our out-license agreement for commercialization of XACIATO® (clindamycin phosphate) vaginal gel 2%, or XACIATO; </w:t>
            </w:r>
          </w:p>
        </w:tc>
      </w:tr>
    </w:tbl>
    <w:p>
      <w:pPr>
        <w:pStyle w:val="TextBody"/>
        <w:bidi w:val="0"/>
        <w:spacing w:before="0" w:after="0"/>
        <w:ind w:left="108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timing and amount of future upside-sharing milestone payments from XOMA under our traditional and synthetic royalty purchase agreements, if 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performance of third parties on which we rely to commercialize, or assist us in commercializing, XACIATO and any future product;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Difficulties with maintaining existing collaborations relating to the development and/or commercialization of our product candidates, or establishing new ones on a timely basis or on acceptable terms, or at all;</w:t>
            </w:r>
          </w:p>
        </w:tc>
      </w:tr>
    </w:tbl>
    <w:p>
      <w:pPr>
        <w:pStyle w:val="TextBody"/>
        <w:bidi w:val="0"/>
        <w:spacing w:before="0" w:after="0"/>
        <w:ind w:left="1080"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terms and conditions of any future strategic collaborations relating to our product candidates;</w:t>
            </w:r>
          </w:p>
        </w:tc>
      </w:tr>
    </w:tbl>
    <w:p>
      <w:pPr>
        <w:pStyle w:val="TextBody"/>
        <w:bidi w:val="0"/>
        <w:spacing w:before="0" w:after="0"/>
        <w:ind w:left="1080" w:right="0" w:hanging="36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degree of market acceptance that XACIATO and any future product achieves;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Coverage and reimbursement levels for XACIATO and any future product by government health care programs, private health insurance companies and other third-party payors;</w:t>
            </w:r>
          </w:p>
        </w:tc>
      </w:tr>
    </w:tbl>
    <w:p>
      <w:pPr>
        <w:pStyle w:val="TextBody"/>
        <w:bidi w:val="0"/>
        <w:spacing w:before="0" w:after="0"/>
        <w:ind w:left="1080" w:right="0" w:hanging="36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Our loss of, or inability to attract, key personnel;</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A change in the FDA’s prior determination that the Center for Devices and Radiological Health would lead the review of a premarket approval application for potential marketing approval of Ovaprene;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 change in regulatory requirements for our product candidates, including the development pathway pursuant to Section 505(b)(2) of the FDCA, or the FDA’s 505(b)(2) pathway;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Unfavorable differences between preliminary, interim or topline clinical study data reported by us and final study results;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Failure to select product candidates that capitalize on the most scientifically, clinically or commercially promising or profitable indications or therapeutic areas within women’s health including due to our limited financial resources;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Loss or impairment of our in-licensed rights to develop and commercialize XACIATO, our product candidates, and DARE to PLAY or potential other Section 503B compounded drugs;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timing and amount of our payment and other obligations under our in-license and acquisition agreements for XACIATO, our product candidates, and DARE to PLAY or potential other Section 503B compounded drugs;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Developments by our competitors that make XACIATO, or any potential product we develop, less competitive or obsolete;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Unfavorable or unanticipated macroeconomic factors, geopolitical events or conflicts, public health emergencies, or natural disasters;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Weak interest in women’s health relative to other healthcare sectors from the investment community or from pharmaceutical companies and other potential development and commercialization collaborators;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Cyber-attacks, security breaches or similar events compromising our technology systems and data, our financial resources and other assets, or the technology systems and data of third parties on which we rely; </w:t>
            </w:r>
          </w:p>
        </w:tc>
      </w:tr>
    </w:tbl>
    <w:p>
      <w:pPr>
        <w:pStyle w:val="TextBody"/>
        <w:bidi w:val="0"/>
        <w:spacing w:before="0" w:after="0"/>
        <w:ind w:left="1080" w:right="0" w:hanging="36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Difficulty in introducing branded products in a market made up of generic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Inability to adequately protect or enforce our, or our licensor’s, intellectual property rights;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Lack of patent protection for the active ingredients in XACIATO and certain of our product candidates that expose them to competition from other formulations using the same active ingredients;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Higher risk of failure associated with product candidates in preclinical stages of development that may lead investors to assign them little to no value and make these assets difficult to fund;</w:t>
            </w:r>
          </w:p>
        </w:tc>
      </w:tr>
    </w:tbl>
    <w:p>
      <w:pPr>
        <w:pStyle w:val="TextBody"/>
        <w:bidi w:val="0"/>
        <w:spacing w:before="0" w:after="0"/>
        <w:ind w:left="108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Dependence on grants and other financial awards from governmental entities and private foundations to advance the development of several of our product candidates;</w:t>
            </w:r>
          </w:p>
        </w:tc>
      </w:tr>
    </w:tbl>
    <w:p>
      <w:pPr>
        <w:pStyle w:val="TextBody"/>
        <w:bidi w:val="0"/>
        <w:spacing w:before="0" w:after="0"/>
        <w:ind w:left="1080" w:right="0" w:hanging="36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Disputes or other developments concerning our intellectual property rights;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Actual and anticipated fluctuations in our quarterly or annual operating results or results that differ from investors’ expectations for such results;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Price and volume fluctuations in the stock market, and in our stock in particular, which could cause investors to experience losses and subject us to securities class-action litigation;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tc>
      </w:tr>
    </w:tbl>
    <w:p>
      <w:pPr>
        <w:pStyle w:val="TextBody"/>
        <w:bidi w:val="0"/>
        <w:spacing w:before="0" w:after="0"/>
        <w:ind w:left="1080" w:right="0" w:hanging="36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Product liability claims or governmental investigations;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Increased costs as a result of operating as a public company, and substantial time devoted by our management to compliance initiatives and corporate governance practices.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030" w:type="dxa"/>
        <w:jc w:val="left"/>
        <w:tblInd w:w="0" w:type="dxa"/>
        <w:tblLayout w:type="fixed"/>
        <w:tblCellMar>
          <w:top w:w="0" w:type="dxa"/>
          <w:left w:w="0" w:type="dxa"/>
          <w:bottom w:w="0" w:type="dxa"/>
          <w:right w:w="0" w:type="dxa"/>
        </w:tblCellMar>
      </w:tblPr>
      <w:tblGrid>
        <w:gridCol w:w="785"/>
        <w:gridCol w:w="7760"/>
        <w:gridCol w:w="485"/>
      </w:tblGrid>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760" w:type="dxa"/>
            <w:tcBorders/>
            <w:vAlign w:val="center"/>
          </w:tcPr>
          <w:p>
            <w:pPr>
              <w:pStyle w:val="TableContents"/>
              <w:bidi w:val="0"/>
              <w:spacing w:before="0" w:after="283"/>
              <w:jc w:val="both"/>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Page</w:t>
            </w:r>
          </w:p>
        </w:tc>
      </w:tr>
      <w:tr>
        <w:trPr/>
        <w:tc>
          <w:tcPr>
            <w:tcW w:w="8545" w:type="dxa"/>
            <w:gridSpan w:val="2"/>
            <w:tcBorders/>
            <w:shd w:fill="CCEEFF" w:val="clear"/>
            <w:vAlign w:val="center"/>
          </w:tcPr>
          <w:p>
            <w:pPr>
              <w:pStyle w:val="TableContents"/>
              <w:bidi w:val="0"/>
              <w:spacing w:before="0" w:after="283"/>
              <w:jc w:val="both"/>
              <w:rPr/>
            </w:pPr>
            <w:hyperlink w:anchor="sh_001">
              <w:r>
                <w:rPr>
                  <w:rStyle w:val="InternetLink"/>
                  <w:rFonts w:ascii="Arial;Helvetica;Sans-Serif" w:hAnsi="Arial;Helvetica;Sans-Serif"/>
                  <w:b/>
                  <w:i w:val="false"/>
                  <w:caps w:val="false"/>
                  <w:smallCaps w:val="false"/>
                  <w:sz w:val="20"/>
                </w:rPr>
                <w:t>PART I. FINANCIAL INFORMATION</w:t>
              </w:r>
            </w:hyperlink>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1.</w:t>
            </w:r>
          </w:p>
        </w:tc>
        <w:tc>
          <w:tcPr>
            <w:tcW w:w="7760" w:type="dxa"/>
            <w:tcBorders/>
            <w:shd w:fill="CCEEFF" w:val="clear"/>
            <w:vAlign w:val="center"/>
          </w:tcPr>
          <w:p>
            <w:pPr>
              <w:pStyle w:val="TableContents"/>
              <w:bidi w:val="0"/>
              <w:spacing w:before="0" w:after="283"/>
              <w:jc w:val="both"/>
              <w:rPr/>
            </w:pPr>
            <w:hyperlink w:anchor="sh_002">
              <w:r>
                <w:rPr>
                  <w:rStyle w:val="InternetLink"/>
                  <w:rFonts w:ascii="Arial;Helvetica;Sans-Serif" w:hAnsi="Arial;Helvetica;Sans-Serif"/>
                  <w:b w:val="false"/>
                  <w:i w:val="false"/>
                  <w:caps w:val="false"/>
                  <w:smallCaps w:val="false"/>
                  <w:sz w:val="20"/>
                </w:rPr>
                <w:t>Condensed Consolidated Financial Statements (Unaudited)</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2.</w:t>
            </w:r>
          </w:p>
        </w:tc>
        <w:tc>
          <w:tcPr>
            <w:tcW w:w="7760" w:type="dxa"/>
            <w:tcBorders/>
            <w:shd w:fill="CCEEFF" w:val="clear"/>
            <w:vAlign w:val="center"/>
          </w:tcPr>
          <w:p>
            <w:pPr>
              <w:pStyle w:val="TableContents"/>
              <w:bidi w:val="0"/>
              <w:spacing w:before="0" w:after="283"/>
              <w:jc w:val="both"/>
              <w:rPr/>
            </w:pPr>
            <w:hyperlink w:anchor="sa_001">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3.</w:t>
            </w:r>
          </w:p>
        </w:tc>
        <w:tc>
          <w:tcPr>
            <w:tcW w:w="7760" w:type="dxa"/>
            <w:tcBorders/>
            <w:shd w:fill="CCEEFF" w:val="clear"/>
            <w:vAlign w:val="center"/>
          </w:tcPr>
          <w:p>
            <w:pPr>
              <w:pStyle w:val="TableContents"/>
              <w:bidi w:val="0"/>
              <w:spacing w:before="0" w:after="283"/>
              <w:jc w:val="both"/>
              <w:rPr/>
            </w:pPr>
            <w:hyperlink w:anchor="sa_002">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47</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4.</w:t>
            </w:r>
          </w:p>
        </w:tc>
        <w:tc>
          <w:tcPr>
            <w:tcW w:w="7760" w:type="dxa"/>
            <w:tcBorders/>
            <w:shd w:fill="CCEEFF" w:val="clear"/>
            <w:vAlign w:val="center"/>
          </w:tcPr>
          <w:p>
            <w:pPr>
              <w:pStyle w:val="TableContents"/>
              <w:bidi w:val="0"/>
              <w:spacing w:before="0" w:after="283"/>
              <w:jc w:val="both"/>
              <w:rPr/>
            </w:pPr>
            <w:hyperlink w:anchor="sa_003">
              <w:r>
                <w:rPr>
                  <w:rStyle w:val="InternetLink"/>
                  <w:rFonts w:ascii="Arial;Helvetica;Sans-Serif" w:hAnsi="Arial;Helvetica;Sans-Serif"/>
                  <w:b w:val="false"/>
                  <w:i w:val="false"/>
                  <w:caps w:val="false"/>
                  <w:smallCaps w:val="false"/>
                  <w:sz w:val="20"/>
                </w:rPr>
                <w:t>Controls and Procedures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47</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545" w:type="dxa"/>
            <w:gridSpan w:val="2"/>
            <w:tcBorders/>
            <w:shd w:fill="CCEEFF" w:val="clear"/>
            <w:vAlign w:val="center"/>
          </w:tcPr>
          <w:p>
            <w:pPr>
              <w:pStyle w:val="TableContents"/>
              <w:bidi w:val="0"/>
              <w:spacing w:before="0" w:after="283"/>
              <w:jc w:val="both"/>
              <w:rPr/>
            </w:pPr>
            <w:hyperlink w:anchor="sa_004">
              <w:r>
                <w:rPr>
                  <w:rStyle w:val="InternetLink"/>
                  <w:rFonts w:ascii="Arial;Helvetica;Sans-Serif" w:hAnsi="Arial;Helvetica;Sans-Serif"/>
                  <w:b/>
                  <w:i w:val="false"/>
                  <w:caps w:val="false"/>
                  <w:smallCaps w:val="false"/>
                  <w:sz w:val="20"/>
                </w:rPr>
                <w:t>PART II. OTHER INFORMATION</w:t>
              </w:r>
            </w:hyperlink>
          </w:p>
        </w:tc>
        <w:tc>
          <w:tcPr>
            <w:tcW w:w="48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1.</w:t>
            </w:r>
          </w:p>
        </w:tc>
        <w:tc>
          <w:tcPr>
            <w:tcW w:w="7760" w:type="dxa"/>
            <w:tcBorders/>
            <w:shd w:fill="CCEEFF" w:val="clear"/>
            <w:vAlign w:val="center"/>
          </w:tcPr>
          <w:p>
            <w:pPr>
              <w:pStyle w:val="TableContents"/>
              <w:bidi w:val="0"/>
              <w:spacing w:before="0" w:after="283"/>
              <w:jc w:val="both"/>
              <w:rPr/>
            </w:pPr>
            <w:hyperlink w:anchor="sa_005">
              <w:r>
                <w:rPr>
                  <w:rStyle w:val="InternetLink"/>
                  <w:rFonts w:ascii="Arial;Helvetica;Sans-Serif" w:hAnsi="Arial;Helvetica;Sans-Serif"/>
                  <w:b w:val="false"/>
                  <w:i w:val="false"/>
                  <w:caps w:val="false"/>
                  <w:smallCaps w:val="false"/>
                  <w:sz w:val="20"/>
                </w:rPr>
                <w:t>Legal Proceedings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1A.</w:t>
            </w:r>
          </w:p>
        </w:tc>
        <w:tc>
          <w:tcPr>
            <w:tcW w:w="7760" w:type="dxa"/>
            <w:tcBorders/>
            <w:shd w:fill="CCEEFF" w:val="clear"/>
            <w:vAlign w:val="center"/>
          </w:tcPr>
          <w:p>
            <w:pPr>
              <w:pStyle w:val="TableContents"/>
              <w:bidi w:val="0"/>
              <w:spacing w:before="0" w:after="283"/>
              <w:jc w:val="both"/>
              <w:rPr/>
            </w:pPr>
            <w:hyperlink w:anchor="sa_006">
              <w:r>
                <w:rPr>
                  <w:rStyle w:val="InternetLink"/>
                  <w:rFonts w:ascii="Arial;Helvetica;Sans-Serif" w:hAnsi="Arial;Helvetica;Sans-Serif"/>
                  <w:b w:val="false"/>
                  <w:i w:val="false"/>
                  <w:caps w:val="false"/>
                  <w:smallCaps w:val="false"/>
                  <w:sz w:val="20"/>
                </w:rPr>
                <w:t>Risk Factors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48</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2.</w:t>
            </w:r>
          </w:p>
        </w:tc>
        <w:tc>
          <w:tcPr>
            <w:tcW w:w="7760" w:type="dxa"/>
            <w:tcBorders/>
            <w:shd w:fill="CCEEFF" w:val="clear"/>
            <w:vAlign w:val="center"/>
          </w:tcPr>
          <w:p>
            <w:pPr>
              <w:pStyle w:val="TableContents"/>
              <w:bidi w:val="0"/>
              <w:spacing w:before="0" w:after="283"/>
              <w:jc w:val="both"/>
              <w:rPr/>
            </w:pPr>
            <w:hyperlink w:anchor="sa_007">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3.</w:t>
            </w:r>
          </w:p>
        </w:tc>
        <w:tc>
          <w:tcPr>
            <w:tcW w:w="7760" w:type="dxa"/>
            <w:tcBorders/>
            <w:shd w:fill="CCEEFF" w:val="clear"/>
            <w:vAlign w:val="center"/>
          </w:tcPr>
          <w:p>
            <w:pPr>
              <w:pStyle w:val="TableContents"/>
              <w:bidi w:val="0"/>
              <w:spacing w:before="0" w:after="283"/>
              <w:jc w:val="both"/>
              <w:rPr/>
            </w:pPr>
            <w:hyperlink w:anchor="sa_008">
              <w:r>
                <w:rPr>
                  <w:rStyle w:val="InternetLink"/>
                  <w:rFonts w:ascii="Arial;Helvetica;Sans-Serif" w:hAnsi="Arial;Helvetica;Sans-Serif"/>
                  <w:b w:val="false"/>
                  <w:i w:val="false"/>
                  <w:caps w:val="false"/>
                  <w:smallCaps w:val="false"/>
                  <w:sz w:val="20"/>
                </w:rPr>
                <w:t>Defaults Upon Senior Securities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4.</w:t>
            </w:r>
          </w:p>
        </w:tc>
        <w:tc>
          <w:tcPr>
            <w:tcW w:w="7760" w:type="dxa"/>
            <w:tcBorders/>
            <w:shd w:fill="CCEEFF" w:val="clear"/>
            <w:vAlign w:val="center"/>
          </w:tcPr>
          <w:p>
            <w:pPr>
              <w:pStyle w:val="TableContents"/>
              <w:bidi w:val="0"/>
              <w:spacing w:before="0" w:after="283"/>
              <w:jc w:val="both"/>
              <w:rPr/>
            </w:pPr>
            <w:hyperlink w:anchor="sa_009">
              <w:r>
                <w:rPr>
                  <w:rStyle w:val="InternetLink"/>
                  <w:rFonts w:ascii="Arial;Helvetica;Sans-Serif" w:hAnsi="Arial;Helvetica;Sans-Serif"/>
                  <w:b w:val="false"/>
                  <w:i w:val="false"/>
                  <w:caps w:val="false"/>
                  <w:smallCaps w:val="false"/>
                  <w:sz w:val="20"/>
                </w:rPr>
                <w:t>Mine Safety Disclosures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5.</w:t>
            </w:r>
          </w:p>
        </w:tc>
        <w:tc>
          <w:tcPr>
            <w:tcW w:w="7760" w:type="dxa"/>
            <w:tcBorders/>
            <w:shd w:fill="CCEEFF" w:val="clear"/>
            <w:vAlign w:val="center"/>
          </w:tcPr>
          <w:p>
            <w:pPr>
              <w:pStyle w:val="TableContents"/>
              <w:bidi w:val="0"/>
              <w:spacing w:before="0" w:after="283"/>
              <w:jc w:val="both"/>
              <w:rPr/>
            </w:pPr>
            <w:hyperlink w:anchor="sa_010">
              <w:r>
                <w:rPr>
                  <w:rStyle w:val="InternetLink"/>
                  <w:rFonts w:ascii="Arial;Helvetica;Sans-Serif" w:hAnsi="Arial;Helvetica;Sans-Serif"/>
                  <w:b w:val="false"/>
                  <w:i w:val="false"/>
                  <w:caps w:val="false"/>
                  <w:smallCaps w:val="false"/>
                  <w:sz w:val="20"/>
                </w:rPr>
                <w:t>Other Information</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Item 6.</w:t>
            </w:r>
          </w:p>
        </w:tc>
        <w:tc>
          <w:tcPr>
            <w:tcW w:w="7760" w:type="dxa"/>
            <w:tcBorders/>
            <w:shd w:fill="CCEEFF" w:val="clear"/>
            <w:vAlign w:val="center"/>
          </w:tcPr>
          <w:p>
            <w:pPr>
              <w:pStyle w:val="TableContents"/>
              <w:bidi w:val="0"/>
              <w:spacing w:before="0" w:after="283"/>
              <w:jc w:val="both"/>
              <w:rPr/>
            </w:pPr>
            <w:hyperlink w:anchor="sa_011">
              <w:r>
                <w:rPr>
                  <w:rStyle w:val="InternetLink"/>
                  <w:rFonts w:ascii="Arial;Helvetica;Sans-Serif" w:hAnsi="Arial;Helvetica;Sans-Serif"/>
                  <w:b w:val="false"/>
                  <w:i w:val="false"/>
                  <w:caps w:val="false"/>
                  <w:smallCaps w:val="false"/>
                  <w:sz w:val="20"/>
                </w:rPr>
                <w:t>Exhibits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51</w:t>
            </w:r>
          </w:p>
        </w:tc>
      </w:tr>
      <w:tr>
        <w:trPr/>
        <w:tc>
          <w:tcPr>
            <w:tcW w:w="7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0" w:type="dxa"/>
            <w:tcBorders/>
            <w:shd w:fill="CCEEFF" w:val="clear"/>
            <w:vAlign w:val="center"/>
          </w:tcPr>
          <w:p>
            <w:pPr>
              <w:pStyle w:val="TableContents"/>
              <w:bidi w:val="0"/>
              <w:spacing w:before="0" w:after="283"/>
              <w:jc w:val="both"/>
              <w:rPr/>
            </w:pPr>
            <w:hyperlink w:anchor="sa_012">
              <w:r>
                <w:rPr>
                  <w:rStyle w:val="InternetLink"/>
                  <w:rFonts w:ascii="Arial;Helvetica;Sans-Serif" w:hAnsi="Arial;Helvetica;Sans-Serif"/>
                  <w:b w:val="false"/>
                  <w:i w:val="false"/>
                  <w:caps w:val="false"/>
                  <w:smallCaps w:val="false"/>
                  <w:sz w:val="20"/>
                </w:rPr>
                <w:t>SIGNATURES</w:t>
              </w:r>
            </w:hyperlink>
          </w:p>
        </w:tc>
        <w:tc>
          <w:tcPr>
            <w:tcW w:w="485"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52</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260" w:right="0" w:hanging="1260"/>
        <w:jc w:val="both"/>
        <w:rPr>
          <w:caps w:val="false"/>
          <w:smallCaps w:val="false"/>
        </w:rPr>
      </w:pPr>
      <w:r>
        <w:rPr>
          <w:caps w:val="false"/>
          <w:smallCaps w:val="false"/>
        </w:rPr>
        <w:t> </w:t>
      </w:r>
    </w:p>
    <w:p>
      <w:pPr>
        <w:pStyle w:val="TextBody"/>
        <w:bidi w:val="0"/>
        <w:spacing w:before="0" w:after="0"/>
        <w:ind w:left="1260" w:right="0" w:hanging="1260"/>
        <w:jc w:val="both"/>
        <w:rPr>
          <w:rFonts w:ascii="Arial;Helvetica;Sans-Serif" w:hAnsi="Arial;Helvetica;Sans-Serif"/>
          <w:b/>
          <w:i w:val="false"/>
          <w:caps w:val="false"/>
          <w:smallCaps w:val="false"/>
          <w:sz w:val="20"/>
        </w:rPr>
      </w:pPr>
      <w:bookmarkStart w:id="2" w:name="sh_001"/>
      <w:bookmarkEnd w:id="2"/>
      <w:r>
        <w:rPr>
          <w:rFonts w:ascii="Arial;Helvetica;Sans-Serif" w:hAnsi="Arial;Helvetica;Sans-Serif"/>
          <w:b/>
          <w:i w:val="false"/>
          <w:caps w:val="false"/>
          <w:smallCaps w:val="false"/>
          <w:sz w:val="20"/>
        </w:rPr>
        <w:t>PART I. FINANCIAL INFORMATION</w:t>
      </w:r>
    </w:p>
    <w:p>
      <w:pPr>
        <w:pStyle w:val="TextBody"/>
        <w:bidi w:val="0"/>
        <w:spacing w:before="0" w:after="0"/>
        <w:ind w:left="1260" w:right="0" w:hanging="126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3" w:name="sh_002"/>
      <w:bookmarkEnd w:id="3"/>
      <w:r>
        <w:rPr>
          <w:rFonts w:ascii="Arial;Helvetica;Sans-Serif" w:hAnsi="Arial;Helvetica;Sans-Serif"/>
          <w:b/>
          <w:i w:val="false"/>
          <w:caps w:val="false"/>
          <w:smallCaps w:val="false"/>
          <w:sz w:val="20"/>
        </w:rPr>
        <w:t>Item 1.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10"/>
        <w:gridCol w:w="60"/>
        <w:gridCol w:w="155"/>
        <w:gridCol w:w="1430"/>
        <w:gridCol w:w="95"/>
        <w:gridCol w:w="60"/>
        <w:gridCol w:w="155"/>
        <w:gridCol w:w="1430"/>
        <w:gridCol w:w="110"/>
      </w:tblGrid>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June 30,</w:t>
              <w:b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December 31,</w:t>
              <w:br/>
              <w:t>2025</w:t>
            </w:r>
          </w:p>
        </w:tc>
        <w:tc>
          <w:tcPr>
            <w:tcW w:w="110" w:type="dxa"/>
            <w:tcBorders/>
            <w:vAlign w:val="center"/>
          </w:tcPr>
          <w:p>
            <w:pPr>
              <w:pStyle w:val="TableContents"/>
              <w:bidi w:val="0"/>
              <w:spacing w:before="0" w:after="283"/>
              <w:jc w:val="center"/>
              <w:rPr/>
            </w:pPr>
            <w:r>
              <w:rPr/>
              <w:t> </w:t>
            </w:r>
          </w:p>
        </w:tc>
      </w:tr>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85" w:type="dxa"/>
            <w:gridSpan w:val="2"/>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12,617,594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24,711,356</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Prepaid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2,776,722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1,392,371</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receivables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456,429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573,062</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835,418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387,090</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16,686,163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27,063,879</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1,419,796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1,558,890</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837,596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1,097,580</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Finance lease right-of-use asset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872,388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1,744,775</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2,554,166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1,009,439</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22,370,109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32,474,563</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Accounts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762,914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1,200,686</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Accrued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448,945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725,184</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Deferred grant funding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14,954,724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19,651,452</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portion of liability related to the sale of future royalties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11,711</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portion of lease liabilities, operating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594,493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602,552</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portion of lease liability, finance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149,374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1,494,102</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16,922,620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23,685,687</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Liability related to the sale of future royalties,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5,733,717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5,386,877</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Lease liabilities long-term, operating</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273,872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559,365</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22,930,209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29,631,929</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Stockholders’ (deficit) equity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Preferred stock, $0.01 par value, 5,000,000 shares authorized; 4,999,620 and 0 designated Series A Convertible Preferred Stock at June 30, 2026 and December 31, 2025, respectively; 75,900 and 0 issued and outstanding at June 30, 2026 and December 31, 2025, respectively. Liquidation preference of $0.4 million and $0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$0.0001 par value; 240,000,000 shares authorized; 15,169,502 and 14,499,502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1,450</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194,484,046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191,951,711</w:t>
            </w:r>
          </w:p>
        </w:tc>
        <w:tc>
          <w:tcPr>
            <w:tcW w:w="11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(374,856</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(421,623</w:t>
            </w:r>
          </w:p>
        </w:tc>
        <w:tc>
          <w:tcPr>
            <w:tcW w:w="1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Accumulated deficit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(194,671,566</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(188,688,904</w:t>
            </w:r>
          </w:p>
        </w:tc>
        <w:tc>
          <w:tcPr>
            <w:tcW w:w="1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710"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stockholders’ (deficit) equity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(560,100</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2,842,634</w:t>
            </w:r>
          </w:p>
        </w:tc>
        <w:tc>
          <w:tcPr>
            <w:tcW w:w="11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22,370,109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32,474,563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Daré Bioscience</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Inc</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r>
        <w:rPr>
          <w:rFonts w:ascii="Arial;Helvetica;Sans-Serif" w:hAnsi="Arial;Helvetica;Sans-Serif"/>
          <w:b/>
          <w:i w:val="false"/>
          <w:caps w:val="false"/>
          <w:smallCaps w:val="false"/>
          <w:sz w:val="20"/>
        </w:rPr>
        <w:t>Unaudited</w:t>
      </w:r>
      <w:r>
        <w:rPr>
          <w:rFonts w:ascii="Arial;Helvetica;Sans-Serif" w:hAnsi="Arial;Helvetica;San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8"/>
        <w:gridCol w:w="60"/>
        <w:gridCol w:w="169"/>
        <w:gridCol w:w="1335"/>
        <w:gridCol w:w="103"/>
        <w:gridCol w:w="65"/>
        <w:gridCol w:w="169"/>
        <w:gridCol w:w="1269"/>
        <w:gridCol w:w="95"/>
        <w:gridCol w:w="60"/>
        <w:gridCol w:w="161"/>
        <w:gridCol w:w="1273"/>
        <w:gridCol w:w="98"/>
        <w:gridCol w:w="62"/>
        <w:gridCol w:w="161"/>
        <w:gridCol w:w="1211"/>
        <w:gridCol w:w="116"/>
      </w:tblGrid>
      <w:tr>
        <w:trPr/>
        <w:tc>
          <w:tcPr>
            <w:tcW w:w="3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0"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Three months ended 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66"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 June 30,</w:t>
            </w:r>
          </w:p>
        </w:tc>
        <w:tc>
          <w:tcPr>
            <w:tcW w:w="116" w:type="dxa"/>
            <w:tcBorders/>
            <w:vAlign w:val="center"/>
          </w:tcPr>
          <w:p>
            <w:pPr>
              <w:pStyle w:val="TableContents"/>
              <w:bidi w:val="0"/>
              <w:spacing w:before="0" w:after="283"/>
              <w:jc w:val="center"/>
              <w:rPr/>
            </w:pPr>
            <w:r>
              <w:rPr/>
              <w:t> </w:t>
            </w:r>
          </w:p>
        </w:tc>
      </w:tr>
      <w:tr>
        <w:trPr/>
        <w:tc>
          <w:tcPr>
            <w:tcW w:w="37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103"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8"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116" w:type="dxa"/>
            <w:tcBorders/>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 services and royalty revenue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187,546</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340,001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116" w:type="dxa"/>
            <w:tcBorders/>
            <w:shd w:fill="FFFFFF" w:val="clear"/>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revenue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187,546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340,001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116" w:type="dxa"/>
            <w:tcBorders/>
            <w:shd w:fill="CCEEFF" w:val="clear"/>
            <w:vAlign w:val="center"/>
          </w:tcPr>
          <w:p>
            <w:pPr>
              <w:pStyle w:val="TableContents"/>
              <w:bidi w:val="0"/>
              <w:spacing w:before="0" w:after="283"/>
              <w:jc w:val="left"/>
              <w:rPr/>
            </w:pPr>
            <w:r>
              <w:rPr/>
              <w:t> </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Cost of revenues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319,889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562,214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2,593,671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2,377,866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4,842,237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4,687,030</w:t>
            </w:r>
          </w:p>
        </w:tc>
        <w:tc>
          <w:tcPr>
            <w:tcW w:w="116" w:type="dxa"/>
            <w:tcBorders/>
            <w:shd w:fill="FFFFFF" w:val="clear"/>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241,966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1,428,762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902,428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3,726,143</w:t>
            </w:r>
          </w:p>
        </w:tc>
        <w:tc>
          <w:tcPr>
            <w:tcW w:w="116" w:type="dxa"/>
            <w:tcBorders/>
            <w:shd w:fill="CCEEFF" w:val="clear"/>
            <w:vAlign w:val="center"/>
          </w:tcPr>
          <w:p>
            <w:pPr>
              <w:pStyle w:val="TableContents"/>
              <w:bidi w:val="0"/>
              <w:spacing w:before="0" w:after="283"/>
              <w:jc w:val="left"/>
              <w:rPr/>
            </w:pPr>
            <w:r>
              <w:rPr/>
              <w:t> </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2,835,637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3,806,628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5,744,665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8,413,173</w:t>
            </w:r>
          </w:p>
        </w:tc>
        <w:tc>
          <w:tcPr>
            <w:tcW w:w="116" w:type="dxa"/>
            <w:tcBorders/>
            <w:shd w:fill="FFFFFF" w:val="clear"/>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Loss from operations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(2,967,980</w:t>
            </w:r>
          </w:p>
        </w:tc>
        <w:tc>
          <w:tcPr>
            <w:tcW w:w="103"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(3,827,800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(5,966,878</w:t>
            </w:r>
          </w:p>
        </w:tc>
        <w:tc>
          <w:tcPr>
            <w:tcW w:w="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(8,408,918</w:t>
            </w:r>
          </w:p>
        </w:tc>
        <w:tc>
          <w:tcPr>
            <w:tcW w:w="1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(expense) income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(14,793</w:t>
            </w:r>
          </w:p>
        </w:tc>
        <w:tc>
          <w:tcPr>
            <w:tcW w:w="10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5"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(188,683</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(15,784</w:t>
            </w:r>
          </w:p>
        </w:tc>
        <w:tc>
          <w:tcPr>
            <w:tcW w:w="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2"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14,128</w:t>
            </w:r>
          </w:p>
        </w:tc>
        <w:tc>
          <w:tcPr>
            <w:tcW w:w="116" w:type="dxa"/>
            <w:tcBorders/>
            <w:shd w:fill="FFFFFF" w:val="clear"/>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(2,982,773</w:t>
            </w:r>
          </w:p>
        </w:tc>
        <w:tc>
          <w:tcPr>
            <w:tcW w:w="103"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5"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69"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(4,016,483</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(5,982,662</w:t>
            </w:r>
          </w:p>
        </w:tc>
        <w:tc>
          <w:tcPr>
            <w:tcW w:w="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2"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(8,394,790</w:t>
            </w:r>
          </w:p>
        </w:tc>
        <w:tc>
          <w:tcPr>
            <w:tcW w:w="1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2,225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46,768</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25,983</w:t>
            </w:r>
          </w:p>
        </w:tc>
        <w:tc>
          <w:tcPr>
            <w:tcW w:w="116" w:type="dxa"/>
            <w:tcBorders/>
            <w:shd w:fill="FFFFFF" w:val="clear"/>
            <w:vAlign w:val="center"/>
          </w:tcPr>
          <w:p>
            <w:pPr>
              <w:pStyle w:val="TableContents"/>
              <w:bidi w:val="0"/>
              <w:spacing w:before="0" w:after="283"/>
              <w:jc w:val="left"/>
              <w:rPr/>
            </w:pPr>
            <w:r>
              <w:rPr/>
              <w:t> </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Comprehensive loss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(2,980,548</w:t>
            </w:r>
          </w:p>
        </w:tc>
        <w:tc>
          <w:tcPr>
            <w:tcW w:w="103"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5"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69"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(4,003,590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(5,935,894</w:t>
            </w:r>
          </w:p>
        </w:tc>
        <w:tc>
          <w:tcPr>
            <w:tcW w:w="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2"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(8,368,807</w:t>
            </w:r>
          </w:p>
        </w:tc>
        <w:tc>
          <w:tcPr>
            <w:tcW w:w="1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(0.20</w:t>
            </w:r>
          </w:p>
        </w:tc>
        <w:tc>
          <w:tcPr>
            <w:tcW w:w="10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5"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(0.45</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73"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(0.41</w:t>
            </w:r>
          </w:p>
        </w:tc>
        <w:tc>
          <w:tcPr>
            <w:tcW w:w="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2"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(0.95</w:t>
            </w:r>
          </w:p>
        </w:tc>
        <w:tc>
          <w:tcPr>
            <w:tcW w:w="1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379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Weighted average number of shares outstanding:</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3798"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Basic and diluted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14,889,832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8,871,155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14,707,347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8,815,414</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Stockholders’ Equity (Deficit)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t>
      </w:r>
      <w:r>
        <w:rPr>
          <w:rFonts w:ascii="Arial;Helvetica;Sans-Serif" w:hAnsi="Arial;Helvetica;Sans-Serif"/>
          <w:b/>
          <w:i/>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3325" w:type="dxa"/>
        <w:jc w:val="left"/>
        <w:tblInd w:w="0" w:type="dxa"/>
        <w:tblLayout w:type="fixed"/>
        <w:tblCellMar>
          <w:top w:w="0" w:type="dxa"/>
          <w:left w:w="0" w:type="dxa"/>
          <w:bottom w:w="28" w:type="dxa"/>
          <w:right w:w="0" w:type="dxa"/>
        </w:tblCellMar>
      </w:tblPr>
      <w:tblGrid>
        <w:gridCol w:w="1535"/>
        <w:gridCol w:w="60"/>
        <w:gridCol w:w="60"/>
        <w:gridCol w:w="965"/>
        <w:gridCol w:w="95"/>
        <w:gridCol w:w="60"/>
        <w:gridCol w:w="240"/>
        <w:gridCol w:w="695"/>
        <w:gridCol w:w="95"/>
        <w:gridCol w:w="60"/>
        <w:gridCol w:w="60"/>
        <w:gridCol w:w="1220"/>
        <w:gridCol w:w="60"/>
        <w:gridCol w:w="60"/>
        <w:gridCol w:w="187"/>
        <w:gridCol w:w="748"/>
        <w:gridCol w:w="60"/>
        <w:gridCol w:w="60"/>
        <w:gridCol w:w="155"/>
        <w:gridCol w:w="1355"/>
        <w:gridCol w:w="60"/>
        <w:gridCol w:w="60"/>
        <w:gridCol w:w="246"/>
        <w:gridCol w:w="1544"/>
        <w:gridCol w:w="95"/>
        <w:gridCol w:w="60"/>
        <w:gridCol w:w="155"/>
        <w:gridCol w:w="1430"/>
        <w:gridCol w:w="95"/>
        <w:gridCol w:w="60"/>
        <w:gridCol w:w="186"/>
        <w:gridCol w:w="1394"/>
        <w:gridCol w:w="110"/>
      </w:tblGrid>
      <w:tr>
        <w:trPr/>
        <w:tc>
          <w:tcPr>
            <w:tcW w:w="13325" w:type="dxa"/>
            <w:gridSpan w:val="33"/>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 June 30, 2026</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5" w:type="dxa"/>
            <w:gridSpan w:val="6"/>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Series 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tcMar>
              <w:bottom w:w="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Accumulated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Total</w:t>
            </w:r>
          </w:p>
        </w:tc>
        <w:tc>
          <w:tcPr>
            <w:tcW w:w="110" w:type="dxa"/>
            <w:tcBorders/>
            <w:tcMar>
              <w:bottom w:w="0" w:type="dxa"/>
            </w:tcMar>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5" w:type="dxa"/>
            <w:gridSpan w:val="6"/>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Convertible Preferred 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5" w:type="dxa"/>
            <w:gridSpan w:val="6"/>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Additional paid-in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other comprehensive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5"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Accumulated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stockholders’ equity</w:t>
            </w:r>
          </w:p>
        </w:tc>
        <w:tc>
          <w:tcPr>
            <w:tcW w:w="110" w:type="dxa"/>
            <w:tcBorders/>
            <w:tcMar>
              <w:bottom w:w="0" w:type="dxa"/>
            </w:tcMar>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Amount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loss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deficit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(deficit)</w:t>
            </w:r>
          </w:p>
        </w:tc>
        <w:tc>
          <w:tcPr>
            <w:tcW w:w="110" w:type="dxa"/>
            <w:tcBorders/>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9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14,499,502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748"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191,951,711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544"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(421,623</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430"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(188,688,904</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94"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2,842,634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Stock-based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455,064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455,064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Issuance of Series A Convertible Preferred Stock and warrants in connection with Regulation A financing, net of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65,640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296,557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297,213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Issuance of common stock, net of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94,881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94,887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(2,999,889</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(2,999,889</w:t>
            </w:r>
          </w:p>
        </w:tc>
        <w:tc>
          <w:tcPr>
            <w:tcW w:w="11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6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FFFFFF" w:val="clear"/>
            <w:vAlign w:val="center"/>
          </w:tcPr>
          <w:p>
            <w:pPr>
              <w:pStyle w:val="TableContents"/>
              <w:bidi w:val="0"/>
              <w:spacing w:before="0" w:after="283"/>
              <w:jc w:val="left"/>
              <w:rPr/>
            </w:pPr>
            <w:r>
              <w:rPr/>
              <w:t> </w:t>
            </w:r>
          </w:p>
        </w:tc>
        <w:tc>
          <w:tcPr>
            <w:tcW w:w="69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vAlign w:val="center"/>
          </w:tcPr>
          <w:p>
            <w:pPr>
              <w:pStyle w:val="TableContents"/>
              <w:bidi w:val="0"/>
              <w:spacing w:before="0" w:after="283"/>
              <w:jc w:val="left"/>
              <w:rPr/>
            </w:pPr>
            <w:r>
              <w:rPr/>
              <w:t> </w:t>
            </w:r>
          </w:p>
        </w:tc>
        <w:tc>
          <w:tcPr>
            <w:tcW w:w="748"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35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FFFFFF" w:val="clear"/>
            <w:vAlign w:val="center"/>
          </w:tcPr>
          <w:p>
            <w:pPr>
              <w:pStyle w:val="TableContents"/>
              <w:bidi w:val="0"/>
              <w:spacing w:before="0" w:after="283"/>
              <w:jc w:val="left"/>
              <w:rPr/>
            </w:pPr>
            <w:r>
              <w:rPr/>
              <w:t> </w:t>
            </w:r>
          </w:p>
        </w:tc>
        <w:tc>
          <w:tcPr>
            <w:tcW w:w="1544"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44,542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8" w:space="0" w:color="000000"/>
            </w:tcBorders>
            <w:shd w:fill="FFFFFF" w:val="clear"/>
            <w:vAlign w:val="center"/>
          </w:tcPr>
          <w:p>
            <w:pPr>
              <w:pStyle w:val="TableContents"/>
              <w:bidi w:val="0"/>
              <w:spacing w:before="0" w:after="283"/>
              <w:jc w:val="left"/>
              <w:rPr/>
            </w:pPr>
            <w:r>
              <w:rPr/>
              <w:t> </w:t>
            </w:r>
          </w:p>
        </w:tc>
        <w:tc>
          <w:tcPr>
            <w:tcW w:w="1394"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44,542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65,640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9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14,559,502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748"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192,798,213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44"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(377,081</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(191,688,793</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94"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734,451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Stock-based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286,602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286,602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Issuance of Series A Convertible Preferred Stock and warrants in connection with Regulation A financing, net of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270,260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1,229,992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1,232,695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Conversion of Series A Preferred Stock into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(260,000</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(2,600</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Issuance of common stock, net of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166,691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166,700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(2,982,773</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(2,982,773</w:t>
            </w:r>
          </w:p>
        </w:tc>
        <w:tc>
          <w:tcPr>
            <w:tcW w:w="11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96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74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 </w:t>
            </w:r>
          </w:p>
        </w:tc>
        <w:tc>
          <w:tcPr>
            <w:tcW w:w="135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1544" w:type="dxa"/>
            <w:tcBorders>
              <w:bottom w:val="single" w:sz="8"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single" w:sz="8" w:space="0" w:color="000000"/>
            </w:tcBorders>
            <w:shd w:fill="CCEEFF" w:val="clear"/>
            <w:vAlign w:val="center"/>
          </w:tcPr>
          <w:p>
            <w:pPr>
              <w:pStyle w:val="TableContents"/>
              <w:bidi w:val="0"/>
              <w:spacing w:before="0" w:after="283"/>
              <w:jc w:val="left"/>
              <w:rPr/>
            </w:pPr>
            <w:r>
              <w:rPr/>
              <w:t> </w:t>
            </w:r>
          </w:p>
        </w:tc>
        <w:tc>
          <w:tcPr>
            <w:tcW w:w="1394" w:type="dxa"/>
            <w:tcBorders>
              <w:bottom w:val="single" w:sz="8"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2,225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96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75,900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9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759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220"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15,169,502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748"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5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194,484,046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544"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(374,856</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430"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(194,671,566</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94"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(560,100</w:t>
            </w:r>
          </w:p>
        </w:tc>
        <w:tc>
          <w:tcPr>
            <w:tcW w:w="110" w:type="dxa"/>
            <w:tcBorders/>
            <w:shd w:fill="FFFF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See accompanying 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Stockholders’ Deficit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t>
      </w:r>
      <w:r>
        <w:rPr>
          <w:rFonts w:ascii="Arial;Helvetica;Sans-Serif" w:hAnsi="Arial;Helvetica;San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2933" w:type="dxa"/>
        <w:jc w:val="left"/>
        <w:tblInd w:w="0" w:type="dxa"/>
        <w:tblLayout w:type="fixed"/>
        <w:tblCellMar>
          <w:top w:w="0" w:type="dxa"/>
          <w:left w:w="0" w:type="dxa"/>
          <w:bottom w:w="28" w:type="dxa"/>
          <w:right w:w="0" w:type="dxa"/>
        </w:tblCellMar>
      </w:tblPr>
      <w:tblGrid>
        <w:gridCol w:w="1535"/>
        <w:gridCol w:w="60"/>
        <w:gridCol w:w="223"/>
        <w:gridCol w:w="607"/>
        <w:gridCol w:w="94"/>
        <w:gridCol w:w="94"/>
        <w:gridCol w:w="526"/>
        <w:gridCol w:w="409"/>
        <w:gridCol w:w="60"/>
        <w:gridCol w:w="60"/>
        <w:gridCol w:w="60"/>
        <w:gridCol w:w="1085"/>
        <w:gridCol w:w="60"/>
        <w:gridCol w:w="60"/>
        <w:gridCol w:w="249"/>
        <w:gridCol w:w="686"/>
        <w:gridCol w:w="60"/>
        <w:gridCol w:w="60"/>
        <w:gridCol w:w="155"/>
        <w:gridCol w:w="1355"/>
        <w:gridCol w:w="60"/>
        <w:gridCol w:w="60"/>
        <w:gridCol w:w="246"/>
        <w:gridCol w:w="1544"/>
        <w:gridCol w:w="95"/>
        <w:gridCol w:w="60"/>
        <w:gridCol w:w="155"/>
        <w:gridCol w:w="1430"/>
        <w:gridCol w:w="95"/>
        <w:gridCol w:w="60"/>
        <w:gridCol w:w="162"/>
        <w:gridCol w:w="1358"/>
        <w:gridCol w:w="110"/>
      </w:tblGrid>
      <w:tr>
        <w:trPr/>
        <w:tc>
          <w:tcPr>
            <w:tcW w:w="12933" w:type="dxa"/>
            <w:gridSpan w:val="33"/>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 June 30, 2025</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3" w:type="dxa"/>
            <w:gridSpan w:val="6"/>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Series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tcMar>
              <w:bottom w:w="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Accumulated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5"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10" w:type="dxa"/>
            <w:tcBorders/>
            <w:tcMar>
              <w:bottom w:w="0" w:type="dxa"/>
            </w:tcMar>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3" w:type="dxa"/>
            <w:gridSpan w:val="6"/>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Convertible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0" w:type="dxa"/>
            <w:gridSpan w:val="6"/>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Additional paid-in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other comprehensive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5"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Accumulated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tcMar>
              <w:bottom w:w="0"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Total stockholders’</w:t>
            </w:r>
          </w:p>
        </w:tc>
        <w:tc>
          <w:tcPr>
            <w:tcW w:w="110" w:type="dxa"/>
            <w:tcBorders/>
            <w:tcMar>
              <w:bottom w:w="0" w:type="dxa"/>
            </w:tcMar>
            <w:vAlign w:val="center"/>
          </w:tcPr>
          <w:p>
            <w:pPr>
              <w:pStyle w:val="TableContents"/>
              <w:bidi w:val="0"/>
              <w:spacing w:before="0" w:after="283"/>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Shares</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loss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deficit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deficit</w:t>
            </w:r>
          </w:p>
        </w:tc>
        <w:tc>
          <w:tcPr>
            <w:tcW w:w="110" w:type="dxa"/>
            <w:tcBorders/>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607" w:type="dxa"/>
            <w:tcBorders/>
            <w:shd w:fill="CCEEFF" w:val="clear"/>
            <w:tcMar>
              <w:bottom w:w="0" w:type="dxa"/>
            </w:tcM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4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8,700,386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86"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870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169,705,480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544"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(428,809</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430"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(175,289,630</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58" w:type="dxa"/>
            <w:tcBorders/>
            <w:shd w:fill="CCEEFF" w:val="clear"/>
            <w:tcMar>
              <w:bottom w:w="0" w:type="dxa"/>
            </w:tcM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(6,012,089</w:t>
            </w:r>
          </w:p>
        </w:tc>
        <w:tc>
          <w:tcPr>
            <w:tcW w:w="110"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Stock-based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607" w:type="dxa"/>
            <w:tcBorders/>
            <w:shd w:fill="FFFFFF" w:val="clear"/>
            <w:tcMar>
              <w:bottom w:w="0" w:type="dxa"/>
            </w:tcMar>
            <w:vAlign w:val="center"/>
          </w:tcPr>
          <w:p>
            <w:pPr>
              <w:pStyle w:val="TableContents"/>
              <w:bidi w:val="0"/>
              <w:spacing w:before="0" w:after="283"/>
              <w:jc w:val="right"/>
              <w:rPr/>
            </w:pPr>
            <w:r>
              <w:rPr/>
              <w:t>—</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6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377,357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358"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377,357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Issuance of common stock, net of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607" w:type="dxa"/>
            <w:tcBorders/>
            <w:shd w:fill="CCEEFF" w:val="clear"/>
            <w:tcMar>
              <w:bottom w:w="0" w:type="dxa"/>
            </w:tcM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686"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436,233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436,248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607" w:type="dxa"/>
            <w:tcBorders/>
            <w:shd w:fill="FFFFFF" w:val="clear"/>
            <w:tcMar>
              <w:bottom w:w="0" w:type="dxa"/>
            </w:tcMar>
            <w:vAlign w:val="center"/>
          </w:tcPr>
          <w:p>
            <w:pPr>
              <w:pStyle w:val="TableContents"/>
              <w:bidi w:val="0"/>
              <w:spacing w:before="0" w:after="283"/>
              <w:jc w:val="right"/>
              <w:rPr/>
            </w:pPr>
            <w:r>
              <w:rPr/>
              <w:t>—</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6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(4,378,307</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358"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(4,378,307</w:t>
            </w:r>
          </w:p>
        </w:tc>
        <w:tc>
          <w:tcPr>
            <w:tcW w:w="11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607" w:type="dxa"/>
            <w:tcBorders>
              <w:bottom w:val="single" w:sz="8" w:space="0" w:color="000000"/>
            </w:tcBorders>
            <w:shd w:fill="CCEEFF" w:val="cle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bottom w:val="single" w:sz="8" w:space="0" w:color="000000"/>
            </w:tcBorders>
            <w:shd w:fill="CCEEFF" w:val="clear"/>
            <w:vAlign w:val="center"/>
          </w:tcPr>
          <w:p>
            <w:pPr>
              <w:pStyle w:val="TableContents"/>
              <w:bidi w:val="0"/>
              <w:spacing w:before="0" w:after="283"/>
              <w:jc w:val="left"/>
              <w:rPr/>
            </w:pPr>
            <w:r>
              <w:rPr/>
              <w:t> </w:t>
            </w:r>
          </w:p>
        </w:tc>
        <w:tc>
          <w:tcPr>
            <w:tcW w:w="409"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CCEEFF" w:val="clear"/>
            <w:vAlign w:val="center"/>
          </w:tcPr>
          <w:p>
            <w:pPr>
              <w:pStyle w:val="TableContents"/>
              <w:bidi w:val="0"/>
              <w:spacing w:before="0" w:after="283"/>
              <w:jc w:val="left"/>
              <w:rPr/>
            </w:pPr>
            <w:r>
              <w:rPr/>
              <w:t> </w:t>
            </w:r>
          </w:p>
        </w:tc>
        <w:tc>
          <w:tcPr>
            <w:tcW w:w="68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 </w:t>
            </w:r>
          </w:p>
        </w:tc>
        <w:tc>
          <w:tcPr>
            <w:tcW w:w="135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1544" w:type="dxa"/>
            <w:tcBorders>
              <w:bottom w:val="single" w:sz="8"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13,090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vAlign w:val="center"/>
          </w:tcPr>
          <w:p>
            <w:pPr>
              <w:pStyle w:val="TableContents"/>
              <w:bidi w:val="0"/>
              <w:spacing w:before="0" w:after="283"/>
              <w:jc w:val="left"/>
              <w:rPr/>
            </w:pPr>
            <w:r>
              <w:rPr/>
              <w:t> </w:t>
            </w:r>
          </w:p>
        </w:tc>
        <w:tc>
          <w:tcPr>
            <w:tcW w:w="1358" w:type="dxa"/>
            <w:tcBorders>
              <w:bottom w:val="single" w:sz="8"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13,090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607" w:type="dxa"/>
            <w:tcBorders/>
            <w:shd w:fill="FFFFFF" w:val="clear"/>
            <w:tcMar>
              <w:bottom w:w="0" w:type="dxa"/>
            </w:tcMar>
            <w:vAlign w:val="center"/>
          </w:tcPr>
          <w:p>
            <w:pPr>
              <w:pStyle w:val="TableContents"/>
              <w:bidi w:val="0"/>
              <w:spacing w:before="0" w:after="283"/>
              <w:jc w:val="right"/>
              <w:rPr/>
            </w:pPr>
            <w:r>
              <w:rPr/>
              <w:t>—</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4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8,850,386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86"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170,519,070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44"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(415,719</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0"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(179,667,937</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58"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(9,563,701</w:t>
            </w:r>
          </w:p>
        </w:tc>
        <w:tc>
          <w:tcPr>
            <w:tcW w:w="11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Stock-based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607" w:type="dxa"/>
            <w:tcBorders/>
            <w:shd w:fill="CCEEFF" w:val="clear"/>
            <w:tcMar>
              <w:bottom w:w="0" w:type="dxa"/>
            </w:tcM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6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359,018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359,018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Issuance of common stock, net of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607" w:type="dxa"/>
            <w:tcBorders/>
            <w:shd w:fill="FFFFFF" w:val="clear"/>
            <w:tcMar>
              <w:bottom w:w="0" w:type="dxa"/>
            </w:tcMar>
            <w:vAlign w:val="center"/>
          </w:tcPr>
          <w:p>
            <w:pPr>
              <w:pStyle w:val="TableContents"/>
              <w:bidi w:val="0"/>
              <w:spacing w:before="0" w:after="283"/>
              <w:jc w:val="right"/>
              <w:rPr/>
            </w:pPr>
            <w:r>
              <w:rPr/>
              <w:t>—</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jc w:val="left"/>
              <w:rPr/>
            </w:pPr>
            <w:r>
              <w:rPr/>
              <w:t> </w:t>
            </w:r>
          </w:p>
        </w:tc>
        <w:tc>
          <w:tcPr>
            <w:tcW w:w="686"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474,995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358"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475,013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607" w:type="dxa"/>
            <w:tcBorders/>
            <w:shd w:fill="CCEEFF" w:val="clear"/>
            <w:tcMar>
              <w:bottom w:w="0" w:type="dxa"/>
            </w:tcM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6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(4,016,483</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358"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(4,016,483</w:t>
            </w:r>
          </w:p>
        </w:tc>
        <w:tc>
          <w:tcPr>
            <w:tcW w:w="11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153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FFFFFF" w:val="clear"/>
            <w:vAlign w:val="center"/>
          </w:tcPr>
          <w:p>
            <w:pPr>
              <w:pStyle w:val="TableContents"/>
              <w:bidi w:val="0"/>
              <w:spacing w:before="0" w:after="283"/>
              <w:jc w:val="left"/>
              <w:rPr/>
            </w:pPr>
            <w:r>
              <w:rPr/>
              <w:t> </w:t>
            </w:r>
          </w:p>
        </w:tc>
        <w:tc>
          <w:tcPr>
            <w:tcW w:w="607" w:type="dxa"/>
            <w:tcBorders>
              <w:bottom w:val="single" w:sz="8" w:space="0" w:color="000000"/>
            </w:tcBorders>
            <w:shd w:fill="FFFFFF" w:val="clear"/>
            <w:vAlign w:val="center"/>
          </w:tcPr>
          <w:p>
            <w:pPr>
              <w:pStyle w:val="TableContents"/>
              <w:bidi w:val="0"/>
              <w:spacing w:before="0" w:after="283"/>
              <w:jc w:val="right"/>
              <w:rPr/>
            </w:pPr>
            <w:r>
              <w:rPr/>
              <w:t>—</w:t>
            </w:r>
          </w:p>
        </w:tc>
        <w:tc>
          <w:tcPr>
            <w:tcW w:w="94"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bottom w:val="single" w:sz="8" w:space="0" w:color="000000"/>
            </w:tcBorders>
            <w:shd w:fill="FFFFFF" w:val="clear"/>
            <w:vAlign w:val="center"/>
          </w:tcPr>
          <w:p>
            <w:pPr>
              <w:pStyle w:val="TableContents"/>
              <w:bidi w:val="0"/>
              <w:spacing w:before="0" w:after="283"/>
              <w:jc w:val="left"/>
              <w:rPr/>
            </w:pPr>
            <w:r>
              <w:rPr/>
              <w:t> </w:t>
            </w:r>
          </w:p>
        </w:tc>
        <w:tc>
          <w:tcPr>
            <w:tcW w:w="409"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08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vAlign w:val="center"/>
          </w:tcPr>
          <w:p>
            <w:pPr>
              <w:pStyle w:val="TableContents"/>
              <w:bidi w:val="0"/>
              <w:spacing w:before="0" w:after="283"/>
              <w:jc w:val="left"/>
              <w:rPr/>
            </w:pPr>
            <w:r>
              <w:rPr/>
              <w:t> </w:t>
            </w:r>
          </w:p>
        </w:tc>
        <w:tc>
          <w:tcPr>
            <w:tcW w:w="686"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35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FFFFFF" w:val="clear"/>
            <w:vAlign w:val="center"/>
          </w:tcPr>
          <w:p>
            <w:pPr>
              <w:pStyle w:val="TableContents"/>
              <w:bidi w:val="0"/>
              <w:spacing w:before="0" w:after="283"/>
              <w:jc w:val="left"/>
              <w:rPr/>
            </w:pPr>
            <w:r>
              <w:rPr/>
              <w:t> </w:t>
            </w:r>
          </w:p>
        </w:tc>
        <w:tc>
          <w:tcPr>
            <w:tcW w:w="1544"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12,893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vAlign w:val="center"/>
          </w:tcPr>
          <w:p>
            <w:pPr>
              <w:pStyle w:val="TableContents"/>
              <w:bidi w:val="0"/>
              <w:spacing w:before="0" w:after="283"/>
              <w:jc w:val="left"/>
              <w:rPr/>
            </w:pPr>
            <w:r>
              <w:rPr/>
              <w:t> </w:t>
            </w:r>
          </w:p>
        </w:tc>
        <w:tc>
          <w:tcPr>
            <w:tcW w:w="1358"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12,893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vAlign w:val="center"/>
          </w:tcPr>
          <w:p>
            <w:pPr>
              <w:pStyle w:val="TableContents"/>
              <w:bidi w:val="0"/>
              <w:spacing w:before="0" w:after="283"/>
              <w:jc w:val="left"/>
              <w:rPr/>
            </w:pPr>
            <w:r>
              <w:rPr/>
              <w:t> </w:t>
            </w:r>
          </w:p>
        </w:tc>
        <w:tc>
          <w:tcPr>
            <w:tcW w:w="607" w:type="dxa"/>
            <w:tcBorders>
              <w:bottom w:val="double" w:sz="6" w:space="0" w:color="000000"/>
            </w:tcBorders>
            <w:shd w:fill="CCEEFF" w:val="clear"/>
            <w:vAlign w:val="center"/>
          </w:tcPr>
          <w:p>
            <w:pPr>
              <w:pStyle w:val="TableContents"/>
              <w:bidi w:val="0"/>
              <w:spacing w:before="0" w:after="283"/>
              <w:jc w:val="right"/>
              <w:rPr/>
            </w:pPr>
            <w:r>
              <w:rPr/>
              <w:t>—</w:t>
            </w:r>
          </w:p>
        </w:tc>
        <w:tc>
          <w:tcPr>
            <w:tcW w:w="94"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409"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085"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9,030,386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86"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903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55"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171,353,083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544"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(402,826</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430"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(183,684,420</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c>
          <w:tcPr>
            <w:tcW w:w="1358"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b/>
              </w:rPr>
            </w:pPr>
            <w:r>
              <w:rPr>
                <w:rFonts w:ascii="Arial;Helvetica;Sans-Serif" w:hAnsi="Arial;Helvetica;Sans-Serif"/>
                <w:b/>
              </w:rPr>
              <w:t>(12,733,260</w:t>
            </w:r>
          </w:p>
        </w:tc>
        <w:tc>
          <w:tcPr>
            <w:tcW w:w="110" w:type="dxa"/>
            <w:tcBorders/>
            <w:shd w:fill="CCEEFF" w:val="clear"/>
            <w:tcMar>
              <w:bottom w:w="0"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See accompanying 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Cash Flows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6"/>
        <w:gridCol w:w="60"/>
        <w:gridCol w:w="155"/>
        <w:gridCol w:w="1305"/>
        <w:gridCol w:w="95"/>
        <w:gridCol w:w="60"/>
        <w:gridCol w:w="155"/>
        <w:gridCol w:w="1305"/>
        <w:gridCol w:w="114"/>
      </w:tblGrid>
      <w:tr>
        <w:trPr/>
        <w:tc>
          <w:tcPr>
            <w:tcW w:w="6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 June 30,</w:t>
            </w:r>
          </w:p>
        </w:tc>
        <w:tc>
          <w:tcPr>
            <w:tcW w:w="114" w:type="dxa"/>
            <w:tcBorders/>
            <w:vAlign w:val="center"/>
          </w:tcPr>
          <w:p>
            <w:pPr>
              <w:pStyle w:val="TableContents"/>
              <w:bidi w:val="0"/>
              <w:spacing w:before="0" w:after="283"/>
              <w:jc w:val="left"/>
              <w:rPr/>
            </w:pPr>
            <w:r>
              <w:rPr/>
              <w:t> </w:t>
            </w:r>
          </w:p>
        </w:tc>
      </w:tr>
      <w:tr>
        <w:trPr/>
        <w:tc>
          <w:tcPr>
            <w:tcW w:w="69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114" w:type="dxa"/>
            <w:tcBorders/>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(5,982,662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(8,394,790</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1,126,786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629,807</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Write-off of deferred offering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Right-of-use assets - operating lease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251,291</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741,666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736,375</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Non-cash royalty revenue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(5,846</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125,387</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Accounts receivable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receivables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113,439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41,866</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Prepaid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(1,384,351</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469,750</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(516,733</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(1,751,365</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29,070</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(293,552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(266,338</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Accounts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(437,772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(152,082</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Accrued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(93,718</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(388,070</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Interest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323,527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268,738</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Deferred grant funding</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(4,696,729</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(4,234,748</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(12,295,690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(10,887,999</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(80,586</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(3,935</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(80,586</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(3,935</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261,587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911,261</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proceeds from issuance of Series A Convertible Preferred Stock and warrants in connection with Regulation A financing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1,529,908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Payments of deferred offering costs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(28,500</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Payments on note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(182,521</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(249,628</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Principal payments on financing lease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(1,344,727</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(458,850</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235,747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202,783</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Effect of exchange rate changes on 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25,983</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(12,093,762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(10,663,168</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25,011,356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15,998,174</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12,917,594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5,335,006</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Reconciliation of cash, cash equivalents and restricted cash to amounts reported in the consolidated balance sheets: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12,617,594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5,035,006</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Restricted cash included in other non-current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300,000</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12,917,594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5,335,006</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Conversion of Series A preferred stock into common stock</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Financing right-of-use assets obtained in exchange for new financing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2,481,027</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Prepaid rent reclassified to finance lease right-of-use asset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458,850</w:t>
            </w:r>
          </w:p>
        </w:tc>
        <w:tc>
          <w:tcPr>
            <w:tcW w:w="114" w:type="dxa"/>
            <w:tcBorders/>
            <w:shd w:fill="CCEEFF" w:val="clear"/>
            <w:vAlign w:val="center"/>
          </w:tcPr>
          <w:p>
            <w:pPr>
              <w:pStyle w:val="TableContents"/>
              <w:bidi w:val="0"/>
              <w:spacing w:before="0" w:after="283"/>
              <w:jc w:val="left"/>
              <w:rPr/>
            </w:pPr>
            <w:r>
              <w:rPr/>
              <w:t> </w:t>
            </w:r>
          </w:p>
        </w:tc>
      </w:tr>
      <w:tr>
        <w:trPr/>
        <w:tc>
          <w:tcPr>
            <w:tcW w:w="695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Finance lease payment due included in accounts payable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458,850</w:t>
            </w:r>
          </w:p>
        </w:tc>
        <w:tc>
          <w:tcPr>
            <w:tcW w:w="114" w:type="dxa"/>
            <w:tcBorders/>
            <w:shd w:fill="FFFFFF" w:val="clear"/>
            <w:vAlign w:val="center"/>
          </w:tcPr>
          <w:p>
            <w:pPr>
              <w:pStyle w:val="TableContents"/>
              <w:bidi w:val="0"/>
              <w:spacing w:before="0" w:after="283"/>
              <w:jc w:val="left"/>
              <w:rPr/>
            </w:pPr>
            <w:r>
              <w:rPr/>
              <w:t> </w:t>
            </w:r>
          </w:p>
        </w:tc>
      </w:tr>
      <w:tr>
        <w:trPr/>
        <w:tc>
          <w:tcPr>
            <w:tcW w:w="695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Additions to property and equipment included in accrued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0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330,196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See accompanying 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00"/>
        <w:gridCol w:w="483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w:t>
            </w:r>
          </w:p>
        </w:tc>
        <w:tc>
          <w:tcPr>
            <w:tcW w:w="483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ORGANIZATION AND DESCRIPTION OF BUSINESS </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 is a purpose-driven health biotech company solely focused on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operations have historically focused on research and development activities to advance its product candidates through clinical development and regulatory approval</w:t>
      </w:r>
      <w:r>
        <w:rPr>
          <w:rFonts w:ascii="Arial;Helvetica;Sans-Serif" w:hAnsi="Arial;Helvetica;Sans-Serif"/>
          <w:b w:val="false"/>
          <w:i/>
          <w:caps w:val="false"/>
          <w:smallCaps w:val="false"/>
          <w:sz w:val="20"/>
        </w:rPr>
        <w:t xml:space="preserve">. </w:t>
      </w:r>
      <w:r>
        <w:rPr>
          <w:rFonts w:ascii="Arial;Helvetica;Sans-Serif" w:hAnsi="Arial;Helvetica;Sans-Serif"/>
          <w:b w:val="false"/>
          <w:i w:val="false"/>
          <w:caps w:val="false"/>
          <w:smallCaps w:val="false"/>
          <w:sz w:val="20"/>
        </w:rPr>
        <w:t>While research and development remain an important part of the Company’s strategy, the Company announced in March 2025 an expansion of its business model to include a dual-path approach to bringing new products to market. For select proprietary formulations, the Company is pursuing both traditional approval from the U.S. Food and Drug Administration (FDA) and earlier market access via outsourcing facilities registered under Section 503B of the Federal Food, Drug, and Cosmetic Act (FDCA), which may compound and distribute certain drugs without patient-specific prescriptions. This dual-path approach reflects a shift in the Company’s operational priorities and resource allocation toward commercial execution, including partnerships and product distribution via Section 503B-registered outsourcing facilities and select consumer health channels. The Company uses the term “Section 503B compounding” to refer to the production and supply of compounded drugs by outsourcing facilities registered under Section 503B of the FDCA without patient-specific prescriptions in accordance with Section 503B of the FDCA. In addition to prescription-based offerings — both products approved by the FDA and compounded drugs— the Company intends to bring to market select consumer health products that do not require a physician’s prescription.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portfolio of product candidates includes drug and drug/device product candidates and potential product candidates in various stages of development, from preclinical through a Phase 3 clinical study, and will require review and approval from the FDA or a comparable foreign regulatory authority, prior to being marketed and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first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In January 2024, Organon announced that XACIATO was available nationwide in the U.S.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pStyle w:val="TextBody"/>
        <w:bidi w:val="0"/>
        <w:spacing w:before="0" w:after="0"/>
        <w:ind w:left="0" w:right="0" w:firstLine="72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200"/>
        <w:gridCol w:w="8060"/>
      </w:tblGrid>
      <w:tr>
        <w:trPr/>
        <w:tc>
          <w:tcPr>
            <w:tcW w:w="200"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w:t>
            </w:r>
          </w:p>
        </w:tc>
        <w:tc>
          <w:tcPr>
            <w:tcW w:w="806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BASIS OF PRESENTATION AND 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2025, or the 2025 10-K.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and the recoverability of advances to suppliers.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Reclassification of Prior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prior year amounts have been reclassified for consistency with the current year presentation. These reclassifications had no effect on the reported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has received grant funds under grant agreements with private foundations. The grant funds received under these agreements may be applied solely toward direct costs for the projects funded under these grant agreements, or grant-funded projects, subject to an indirect cost allowance of approximately 5% to 22%. In accordance with GAAP, grant funds received under these grant agreements but not yet expended on direct costs for grant-funded projects and the associated indirect cost allowance are recorded both in cash and cash equivalents and in the deferred grant funding liability in the Company’s condensed consolidated balance sheets. As of June 30, 2026, the Company’s deferred grant funding liability, which is classified as a current liability on the Company’s condensed consolidated balance sheets, was approximately $15.0 million. As the Company incurs and expenses direct costs for grant-funded projects, the deferred grant funding liability is reduced accordingly. However, the deferred grant funding liability may not always correspond directly to the amount of grant funds and the associated indirect cost allowance remaining in cash and cash equivalents. This can occur when the Company incurs direct costs for grant-funded projects in a particular period, thereby reducing its cash, but the related expense is not recognized in the same period due to timing differences under GAAP, resulting in no corresponding reduction of the deferred grant funding liability. As a result of these timing differences, when this occurs, a portion of the Company’s cash and cash equivalents that has already been disbursed for grant-funded project costs continues to be reflected in the deferred grant funding liability until the related expense is recognized under GAAP. See Note 10, Grant Awards for additional information. At June 30, 2026, the Company had cash and cash equivalents of approximately $12.6 million, all of which represented grant funds received under grant agreements with the private foundations. As of June 30, 2026, the Company had a working capital deficit, which is calculated as current assets minus current liabilities, including the deferred grant funding liability, of approximately $0.2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require additional capital to advance the development programs in its pipeline that are not currently being supported by non-dilutive grant or other funding, to enable further investment across its entire portfolio of product candidates, and to support its operating plan. The Company will continue to evaluate and may pursue various capital raising options, including sales of equity, debt financings, government or other grant funding, collaborations, structured financings, and commercial collaborations or other strategic transactions. The Company’s ability to obtain additional capital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 technologies or product candidates and their future revenue streams. If the Company cannot raise capital when needed, on favorable terms or at all, the Company will need to reevaluate its planned operations and may need to delay, scale back or eliminate some or all of its product candidate programs and/or reduce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has a history of losses from operations, net losses and negative cash flows from operations. At June 30, 2026, the Company had an accumulated deficit of approximately $194.7 million and the Company incurred a net loss of approximately $6.0 million and had negative cash flow from operations of approximately $12.3 million for the six months ended June 30, 2026. The Company may continue to incur significant losses from operations and negative cash flows from operations for the next several years, and may never generate sufficient revenues to finance its operations or achieve profitability. Based on the Company’s current analysis of the conditions described above, there is substantial doubt about the Company’s ability to continue as a going concern within the 12 month period from the issuance date of the accompanying condensed consolidated financial statements given that the timing and amount of potential revenue the Company may generate remain uncertain. The accompanying condensed consolidated financial statements were prepared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segments are defined as components of an enterprise about which discrete financial information is available for evaluation by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significant accounting policies are described in Note 2 to the consolidated financial statements included in the 2025 10-K. Since the date on which the 2025 10-K was filed with the U.S. Securities and Exchange Commission, or the SEC, there have been no material changes to the Company’s significant accounting policies except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 xml:space="preserve">Research and Development Services Revenue. </w:t>
      </w:r>
      <w:r>
        <w:rPr>
          <w:rFonts w:ascii="Arial;Helvetica;Sans-Serif" w:hAnsi="Arial;Helvetica;Sans-Serif"/>
          <w:b w:val="false"/>
          <w:i w:val="false"/>
          <w:caps w:val="false"/>
          <w:smallCaps w:val="false"/>
          <w:sz w:val="20"/>
        </w:rPr>
        <w:t>In September and October 2025, the Company entered into two separate services agreements with the Gates Foundation (the “Foundation”) (collectively, “Foundation Services Agreements”): (i) a Preeclampsia Project Support and Mentorship Agreement (the “Preeclampsia Agreement”), under which the Company may receive up to approximately $499,000, and (ii) a Contraceptive Landscape Review Agreement (the “Contraceptive Landscape Review Agreement”), under which the Company may receive up to approximately $300,000. The Foundation Services Agreements are accounted for as contracts with a customer under FASB Accounting Standards Codification (“ASC”) 606, as each represents an exchange transaction in which the Foundation obtains services that directly benefit the Foundation, and for which the Foundation is the sole owner of all deliverables produced in exchange for consideration. The work under both agreements commenced in November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recognizes revenue from the Foundation Services Agreements when, or as, the related performance obligations are satisfied. Under the Preeclampsia Agreement, the Company provides ongoing project management, technical guidance, and mentorship services, and under the Contraceptive Landscape Review Agreement, the Company is engaged to perform an assessment of certain organizations with capabilities in contraceptives. In both cases, the transaction price is variable, based on actual hours incurred by designated personnel multiplied by agreed upon billing rates, and is recognized over time in the period in which the services are performed. Both contracts are rolling 30-day contracts and the Company invoices the Foundation in arrears on a monthly basis. To date, the Company has recognized approximately $0.4 million in research and development services revenue related to the Foundation Services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Advances to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time to time, the Company makes unsecured advances to certain suppliers, specifically, the Section 503B-registered outsourcing facilities engaged to manufacture and distribute the Company’s Section 503B products. These advances are generally non-interest bearing and are expected to be repaid to the Company through discounts applied to future manufacturing costs or through direct cash payments. Such advances are classified in the condensed consolidated balance sheets based on the estimated repayment period. Amounts expected to be recovered within one year are classified as other receivables, while amounts expected to be recovered beyond one year are classified within other non-current assets. Repayment periods for outstanding advances currently range from two to four years. As of June 30, 2026, total outstanding advances were approximately $2.1 million, consisting of $0.4 million classified as other receivables and $1.7 million classified within other non-current assets. As of December 31, 2025, total outstanding advances were approximately $0.4 million, all of which were classified as other receivables. The Company evaluates advances for impairment each reporting period. An advance is considered impaired when, based on current information and events, it is probable that the Company will be unable to collect the amounts due. As of June 30, 2026, the Company determined that all outstanding advances are probable of full recovery and, accordingly, no impairment has been recognized.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applies the guidance enumerated in ASC 480, when determining the classification and measurement of preferred stock. Preferred stock subject to mandatory redemption, if any, is classified as a liability and is measured at fair value. The Company classifies conditionally redeemable preferred stock,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Selected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Fair Value of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before="0" w:after="0"/>
        <w:ind w:left="0" w:right="0" w:firstLine="720"/>
        <w:jc w:val="both"/>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17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inputs are unadjusted quoted prices in active markets for identical assets or liabilities.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unobservable inputs that are supported by little or no market activity and that are significant to the fair value of the assets or liabilities.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tables present the classification within the fair value hierarchy of financial assets and liabilities that are remeasured on a recurring basis as of June 30, 2026 and December 31, 2025. There were no financial assets or liabilities that were remeasured using other observable inputs (Level 2) or using unobservable inputs (Level 3) as of June 30, 2026 or December 31, 2025.</w:t>
      </w:r>
    </w:p>
    <w:p>
      <w:pPr>
        <w:pStyle w:val="TextBody"/>
        <w:bidi w:val="0"/>
        <w:spacing w:before="0" w:after="0"/>
        <w:ind w:left="0" w:right="0" w:firstLine="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455"/>
        <w:gridCol w:w="60"/>
        <w:gridCol w:w="155"/>
        <w:gridCol w:w="1220"/>
        <w:gridCol w:w="60"/>
        <w:gridCol w:w="60"/>
        <w:gridCol w:w="309"/>
        <w:gridCol w:w="520"/>
        <w:gridCol w:w="60"/>
        <w:gridCol w:w="60"/>
        <w:gridCol w:w="309"/>
        <w:gridCol w:w="520"/>
        <w:gridCol w:w="60"/>
        <w:gridCol w:w="60"/>
        <w:gridCol w:w="155"/>
        <w:gridCol w:w="1220"/>
        <w:gridCol w:w="75"/>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68" w:type="dxa"/>
            <w:gridSpan w:val="14"/>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Fair Value Measurements</w:t>
            </w:r>
          </w:p>
        </w:tc>
        <w:tc>
          <w:tcPr>
            <w:tcW w:w="75" w:type="dxa"/>
            <w:tcBorders/>
            <w:vAlign w:val="center"/>
          </w:tcPr>
          <w:p>
            <w:pPr>
              <w:pStyle w:val="TableContents"/>
              <w:bidi w:val="0"/>
              <w:spacing w:before="0" w:after="283"/>
              <w:jc w:val="center"/>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Total</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June 30, 2026</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Cash equivalents </w:t>
            </w:r>
            <w:r>
              <w:rPr>
                <w:rFonts w:ascii="Arial;Helvetica;Sans-Serif" w:hAnsi="Arial;Helvetica;San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12,319,934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12,319,934</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Current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Cash equivalents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24,356,333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24,356,333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3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xml:space="preserve"> Represents cash held in money market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carrying amounts of all prepaid expenses and other current assets, accounts payable and accrued liabilities are considered to be representative of their respective fair values because of the short-term nature of those instruments. In addition, the carrying value of the liability related to the sale of future royalties approximates its fair value as of June 30, 2026, and is based on the Company’s current estimate of future royalties expected to be earned over the estimated life of the royalty interest financing arrangement. See Note 7 for the description of the Level 3 inputs used to estimate the carrying value of the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Cash, Cash Equivalents, and Restricted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considers cash and all highly liquid investments with an original maturity of three months or less to be cash and cash equivalents. The Company has an aggregate of approximately $0.3 million in restricted cash as of June 30, 2026,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 xml:space="preserve">Recently Issued Accounting Pronouncements Not Yet Adopted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December 2025, the FASB issued ASU 2025-11, </w:t>
      </w:r>
      <w:r>
        <w:rPr>
          <w:rFonts w:ascii="Arial;Helvetica;Sans-Serif" w:hAnsi="Arial;Helvetica;Sans-Serif"/>
          <w:b w:val="false"/>
          <w:i/>
          <w:caps w:val="false"/>
          <w:smallCaps w:val="false"/>
          <w:sz w:val="20"/>
        </w:rPr>
        <w:t>Interim Reporting (Topic 270): Narrow-Scope Improvements</w:t>
      </w:r>
      <w:r>
        <w:rPr>
          <w:rFonts w:ascii="Arial;Helvetica;Sans-Serif" w:hAnsi="Arial;Helvetica;Sans-Serif"/>
          <w:b w:val="false"/>
          <w:i w:val="false"/>
          <w:caps w:val="false"/>
          <w:smallCaps w:val="false"/>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December 2025, the FASB issued ASU 2025-10, </w:t>
      </w:r>
      <w:r>
        <w:rPr>
          <w:rFonts w:ascii="Arial;Helvetica;Sans-Serif" w:hAnsi="Arial;Helvetica;Sans-Serif"/>
          <w:b w:val="false"/>
          <w:i/>
          <w:caps w:val="false"/>
          <w:smallCaps w:val="false"/>
          <w:sz w:val="20"/>
        </w:rPr>
        <w:t>Government Grants (Topic 832): Accounting for Government Grants Received by Business Entities</w:t>
      </w:r>
      <w:r>
        <w:rPr>
          <w:rFonts w:ascii="Arial;Helvetica;Sans-Serif" w:hAnsi="Arial;Helvetica;Sans-Serif"/>
          <w:b w:val="false"/>
          <w:i w:val="false"/>
          <w:caps w:val="false"/>
          <w:smallCaps w:val="false"/>
          <w:sz w:val="20"/>
        </w:rPr>
        <w:t>,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September 2025, the FASB issued ASU 2025-06, </w:t>
      </w:r>
      <w:r>
        <w:rPr>
          <w:rFonts w:ascii="Arial;Helvetica;Sans-Serif" w:hAnsi="Arial;Helvetica;Sans-Serif"/>
          <w:b w:val="false"/>
          <w:i/>
          <w:caps w:val="false"/>
          <w:smallCaps w:val="false"/>
          <w:sz w:val="20"/>
        </w:rPr>
        <w:t>Targeted Improvements to the Accounting for Internal Use Software</w:t>
      </w:r>
      <w:r>
        <w:rPr>
          <w:rFonts w:ascii="Arial;Helvetica;Sans-Serif" w:hAnsi="Arial;Helvetica;Sans-Serif"/>
          <w:b w:val="false"/>
          <w:i w:val="false"/>
          <w:caps w:val="false"/>
          <w:smallCaps w:val="false"/>
          <w:sz w:val="20"/>
        </w:rPr>
        <w:t>, which modernizes the accounting guidance for costs associated with developing or obtaining internal-use software. The ASU eliminates the previous stage-based model (preliminary project stage, application development stage, and post-implementation-stage) and replaces it with a principles-based approach that better aligns with modern software development practices, including agile and iterative methodologies. Under the new guidance, companies may begin to capitalize internal-use software development costs when (1) management has authorized and committed to funding the project, and (2) it is probable that the project will be completed and the software will be used as intended. The ASU also supersedes the separate guidance on website development costs and incorporates it into the internal-use software framework. This guidance is effective for annual reporting periods beginning after December 15, 2027, and interim reporting periods within those annual reporting periods. Early adoption is permitted. The Company is evaluating the impact of adopting ASU 2025-06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November 2024, the FASB issued ASU 2024-03, </w:t>
      </w:r>
      <w:r>
        <w:rPr>
          <w:rFonts w:ascii="Arial;Helvetica;Sans-Serif" w:hAnsi="Arial;Helvetica;Sans-Serif"/>
          <w:b w:val="false"/>
          <w:i/>
          <w:caps w:val="false"/>
          <w:smallCaps w:val="false"/>
          <w:sz w:val="20"/>
        </w:rPr>
        <w:t>Disaggregation of Income Statement Expenses</w:t>
      </w:r>
      <w:r>
        <w:rPr>
          <w:rFonts w:ascii="Arial;Helvetica;Sans-Serif" w:hAnsi="Arial;Helvetica;Sans-Serif"/>
          <w:b w:val="false"/>
          <w:i w:val="false"/>
          <w:caps w:val="false"/>
          <w:smallCaps w:val="false"/>
          <w:sz w:val="20"/>
        </w:rPr>
        <w:t>.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does not believe other recently issued but not yet effective accounting standards, if currently adopted, would have a material effect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00"/>
        <w:gridCol w:w="2600"/>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w:t>
            </w:r>
          </w:p>
        </w:tc>
        <w:tc>
          <w:tcPr>
            <w:tcW w:w="260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STRATEGIC AGREEMENTS</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Strategic Agreements for Product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Organon Exclusive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2022, the Company entered into an exclusive license agreement with Organon, whereby Organon licensed exclusive worldwide rights to develop, manufacture and commercialize XACIATO and other future intravaginal or urological products for human use formulated with clindamycin that rely on intellectual property controlled by the Company. As of June 30, 2026, the Company has received a total of $12.8 million in non-refundable payments, all of which have been recorded as license fee revenue in historical periods.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There have been no subsequent changes to the transaction price since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Bayer HealthCare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January 2020, the Company entered into a license agreement with Bayer, regarding the further development and commercialization of Ovaprene in the U.S. In November 2025, the Company received notice from Bayer that it was terminating the license agreement. The Company and Bayer mutually agreed to terminate the agreement effective as of December 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entering into the license agreement, the Company received a $1.0 million upfront non-refundable license fee payment from Bayer, which was recorded as license revenue when the agreement terminated. See Note 2, Basis of Presentation and Summary of Significant Accounting Policies – Revenue Recognition—Bayer License, to our consolidated financial statements contained in the 2025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Strategic Agreements for Pipeline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Theramex Co-Development and Licensing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The license fee paid by the Company during the first quarter of 2025 was recorded as research and development expense. Given that the product is in an ongoing Phase 1 study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Douglas License Agreement / The University of Manchester Stand-by Direct License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 As of June 30, 2026, no payments had been made under the Douglas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Hennepin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 Additionally, Hennepin is eligible to receive tiered royalties in low single-digit to low double-digit percentages based on worldwide net sales of products and processes covered by the licenses granted under the agreement. As of June 30, 2026, no payments have been made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MBI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November 2019, the Company acquired Dare MB Inc., or MBI, to secure the rights to develop a long-acting reversible contraception method, that a woman can turn on or off herself, according to her own needs. This candidate is now known as DARE-LARC1 and the drug delivery technology underlying DARE-LARC1 is now known as the Company’s intelligent drug delivery system platform, DARE-IDDS.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2021, a total of $1.25 million of the contingent consideration became payable, $75,000 of which was paid in cash and the balance of which was paid in shares of the Company’s common stock, as permitted by the terms of the merger agreement. As of June 30, 2026, no additional payments have been made under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TriLogic and MilanaPharm License Agreement / Hammock Assignment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2022, the Company entered into a Consent, Waiver and Stand-By License Agreement with TriLogic, MilanaPharm and Organon, which further amended the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Pear Tree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June 30, 2026, no payments have been made under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Catalent JNP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June 30, 2026;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As of June 30, 2026, no such payments have been made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Adare Development and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SST License and Collaboration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June 30, 2026, $1.0 million has been paid under this agreement, which was paid in February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ADVA-Tec License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March 2017, the Company entered into a license agreement with ADVA-Tec, Inc., or ADVA-Tec, under which the Company was granted the exclusive right to develop and commercialize Ovaprene for human contraceptive use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license agreement, the Company will pay ADVA-Tec (a) up to $14.6 million in the aggregate based on the achievement of specified development and regulatory milestones, and (b) up to $20.0 million in the aggregate based on the achievement of certain worldwide net sales milestones. As of June 30, 2026, $1.2 million in milestone payments have been paid, all of which were made prior to the periods presented in these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pStyle w:val="TextBody"/>
        <w:bidi w:val="0"/>
        <w:spacing w:before="0" w:after="0"/>
        <w:ind w:left="0" w:right="0" w:firstLine="72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00"/>
        <w:gridCol w:w="2510"/>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4.</w:t>
            </w:r>
          </w:p>
        </w:tc>
        <w:tc>
          <w:tcPr>
            <w:tcW w:w="251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STOCKHOLDERS’ EQUITY</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Equity 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through December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may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Company’s 2026 annual meeting of stockholders in June 2026, the Company received stockholder approval to issue shares of common stock under the purchase agreement to Lincoln Park in excess of the Exchange Cap (as described below), thereby eliminating the Exchange Cap limitation. The Exchange Cap was a limitation imposed under applicable Nasdaq rules on the number of shares that the Company could issue and sell to Lincoln Park under the purchase agreement, unless the average price of all applicable sales of the Company’s common stock to Lincoln Park under the purchase agreement equaled or exceeded $3.59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six months ended June 30, 2026 and 2025, the Company sold 150,000 and 330,000 shares of common stock, respectively, under this agreement for net proceeds of approximately $0.3 million and $0.9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three months ended June 30, 2026, the Company wrote off approximately $0.2 million of previously deferred offering costs related to the Lincoln Park purchase agreement, which is reflected in selling, general and administrative expense in the condensed consolidated statements of operations for the three and six months ended June 30, 2026. The write-off resulted from a reduction in the Company’s estimate of the total proceeds expected to be raised under the Lincoln Park purchase agreement, based on management’s assessment of the amount that could reasonably be expected to be sold under the agreement through December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March 2023 ATM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In April 2024, the Company and Cantor mutually agreed to terminate the sales agreement with respect to Cantor. The Company sold no shares of common stock under this agreement during either of the six months ended June 30, 2026 or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warrants outstanding as of June 30, 2026, are exercisable into 1,940,371 shares of common stock which shares had a fair value of $2.11 per share, based on the closing market price of the Company’s common stock on June 30, 2026. The aggregate intrinsic value of warrants outstanding as of June 30, 2026, is calculated as the difference between the exercise price of the warrants and the closing market price of the Company’s common stock on that date. The intrinsic value of warrants outstanding as of June 30, 2026, was zero. The Company has performed an assessment of all warrants issued and determined that the Company’s warrants are equity-classified.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summary of common stock warrants outstanding as of June 30, 2026 and December 31, 2025 is presented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9"/>
        <w:gridCol w:w="60"/>
        <w:gridCol w:w="93"/>
        <w:gridCol w:w="1693"/>
        <w:gridCol w:w="93"/>
        <w:gridCol w:w="93"/>
        <w:gridCol w:w="110"/>
        <w:gridCol w:w="1736"/>
        <w:gridCol w:w="60"/>
        <w:gridCol w:w="60"/>
        <w:gridCol w:w="244"/>
        <w:gridCol w:w="1193"/>
        <w:gridCol w:w="60"/>
        <w:gridCol w:w="60"/>
        <w:gridCol w:w="187"/>
        <w:gridCol w:w="1390"/>
        <w:gridCol w:w="114"/>
      </w:tblGrid>
      <w:tr>
        <w:trPr/>
        <w:tc>
          <w:tcPr>
            <w:tcW w:w="2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8" w:type="dxa"/>
            <w:gridSpan w:val="6"/>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Quantity of Warrants Outstanding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29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8"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295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Description</w:t>
            </w:r>
          </w:p>
        </w:tc>
        <w:tc>
          <w:tcPr>
            <w:tcW w:w="60" w:type="dxa"/>
            <w:tcBorders/>
            <w:vAlign w:val="center"/>
          </w:tcPr>
          <w:p>
            <w:pPr>
              <w:pStyle w:val="TableContents"/>
              <w:bidi w:val="0"/>
              <w:spacing w:before="0" w:after="283"/>
              <w:jc w:val="left"/>
              <w:rPr/>
            </w:pPr>
            <w:r>
              <w:rPr/>
              <w:t> </w:t>
            </w:r>
          </w:p>
        </w:tc>
        <w:tc>
          <w:tcPr>
            <w:tcW w:w="1786"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June 30, 2026</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846"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Expiration Date</w:t>
            </w:r>
          </w:p>
        </w:tc>
        <w:tc>
          <w:tcPr>
            <w:tcW w:w="114" w:type="dxa"/>
            <w:tcBorders/>
            <w:vAlign w:val="center"/>
          </w:tcPr>
          <w:p>
            <w:pPr>
              <w:pStyle w:val="TableContents"/>
              <w:bidi w:val="0"/>
              <w:spacing w:before="0" w:after="283"/>
              <w:jc w:val="left"/>
              <w:rPr/>
            </w:pPr>
            <w:r>
              <w:rPr/>
              <w:t> </w:t>
            </w:r>
          </w:p>
        </w:tc>
      </w:tr>
      <w:tr>
        <w:trPr/>
        <w:tc>
          <w:tcPr>
            <w:tcW w:w="2959"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Initial Royalty Warrant </w:t>
            </w:r>
            <w:r>
              <w:rPr>
                <w:rFonts w:ascii="Arial;Helvetica;Sans-Serif" w:hAnsi="Arial;Helvetica;San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9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422,804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36"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422,804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9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12/22/2028</w:t>
            </w:r>
          </w:p>
        </w:tc>
        <w:tc>
          <w:tcPr>
            <w:tcW w:w="114" w:type="dxa"/>
            <w:tcBorders/>
            <w:shd w:fill="CCEEFF" w:val="clear"/>
            <w:vAlign w:val="center"/>
          </w:tcPr>
          <w:p>
            <w:pPr>
              <w:pStyle w:val="TableContents"/>
              <w:bidi w:val="0"/>
              <w:spacing w:before="0" w:after="283"/>
              <w:jc w:val="left"/>
              <w:rPr/>
            </w:pPr>
            <w:r>
              <w:rPr/>
              <w:t> </w:t>
            </w:r>
          </w:p>
        </w:tc>
      </w:tr>
      <w:tr>
        <w:trPr/>
        <w:tc>
          <w:tcPr>
            <w:tcW w:w="2959"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September 2023 Warrants </w:t>
            </w:r>
            <w:r>
              <w:rPr>
                <w:rFonts w:ascii="Arial;Helvetica;Sans-Serif" w:hAnsi="Arial;Helvetica;San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9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845,225</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36"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845,225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9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3/1/2029</w:t>
            </w:r>
          </w:p>
        </w:tc>
        <w:tc>
          <w:tcPr>
            <w:tcW w:w="114" w:type="dxa"/>
            <w:tcBorders/>
            <w:shd w:fill="FFFFFF" w:val="clear"/>
            <w:vAlign w:val="center"/>
          </w:tcPr>
          <w:p>
            <w:pPr>
              <w:pStyle w:val="TableContents"/>
              <w:bidi w:val="0"/>
              <w:spacing w:before="0" w:after="283"/>
              <w:jc w:val="left"/>
              <w:rPr/>
            </w:pPr>
            <w:r>
              <w:rPr/>
              <w:t> </w:t>
            </w:r>
          </w:p>
        </w:tc>
      </w:tr>
      <w:tr>
        <w:trPr/>
        <w:tc>
          <w:tcPr>
            <w:tcW w:w="2959"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October 2016 Warrants </w:t>
            </w:r>
            <w:r>
              <w:rPr>
                <w:rFonts w:ascii="Arial;Helvetica;Sans-Serif" w:hAnsi="Arial;Helvetica;San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9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542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36"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9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10/4/2026</w:t>
            </w:r>
          </w:p>
        </w:tc>
        <w:tc>
          <w:tcPr>
            <w:tcW w:w="114" w:type="dxa"/>
            <w:tcBorders/>
            <w:shd w:fill="CCEEFF" w:val="clear"/>
            <w:vAlign w:val="center"/>
          </w:tcPr>
          <w:p>
            <w:pPr>
              <w:pStyle w:val="TableContents"/>
              <w:bidi w:val="0"/>
              <w:spacing w:before="0" w:after="283"/>
              <w:jc w:val="left"/>
              <w:rPr/>
            </w:pPr>
            <w:r>
              <w:rPr/>
              <w:t> </w:t>
            </w:r>
          </w:p>
        </w:tc>
      </w:tr>
      <w:tr>
        <w:trPr/>
        <w:tc>
          <w:tcPr>
            <w:tcW w:w="2959"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Regulation A Offering Investor Warrants </w:t>
            </w:r>
            <w:r>
              <w:rPr>
                <w:rFonts w:ascii="Arial;Helvetica;Sans-Serif" w:hAnsi="Arial;Helvetica;San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671,800</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295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Warrants Outstanding</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3"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1,940,371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36"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1,268,571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Refers to a warrant issued in connection with entering into the royalty interest financing agreement with UiE.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Refers to the warrants issued in connection with a registered direct offering the Company completed in September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Refers to a warrant issued in October 2016 to a former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 Refers to warrants issued to investors in the Regulation A Offering. Such warrants have expiration dates ranging from 1/27/29 to 6/12/29.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January 23, 2026, the Company filed a certificate of designation with the Delaware Secretary of State pursuant to which 4,999,620 shares of the Company’s preferred stock, $0.01 par value per share, was designated as Series A Convertible Preferred Stock (the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Series A Preferred Stock ranks, as to rights upon liquidation, dissolution, or winding up, senior to the Company’s common stock. Each share of the Series A Preferred Stock has a stated value and liquidation preference of $5.00, in each case, subject to customary adjustments in the event of stock dividends, stock splits, reorganizations or similar events affecting the Series A Preferred Stock. Except as required by law, the Series A Preferred Stock has no voting rights. The Series A Preferred Stock is convertible at the holder’s option into shares of the Company’s common stock at a conversion price of $2.50 per share, subject to customary adjustments in the event of stock dividends, stock splits, reorganizations or similar events affecting the Series A Preferred Stock. The Company has the right to require all or any portion of the Series A Preferred Stock to convert into shares of the Company’s common stock: (a) in the event of a change in control, (b) if the closing price of the Company’s common stock is at or above $4.50 per share, subject to customary adjustments in the event of stock dividends, stock splits, reorganizations or similar events, for any 10 trading days out of any 30 consecutive trading day period, or (c) if the Company consummates a firm commitment public offering of shares of the Company’s common stock resulting in gross proceeds of at least $15.0 million at an offering price per share equal to or greater than $4.50, subject to customary adjustments in the event of stock dividends, stock splits, reorganizations or similar events. Commencing on January 27, 2029, the Company may redeem the outstanding shares of Series A Preferred Stock at the lesser of (i) the stated value per share plus a non-compounded rate of return calculated at 8% per annum, and (ii) 200% of the stated value per share. Notwithstanding the conversion rights described above, to the extent prohibited by Nasdaq listing rules, the Company will not issue shares of its common stock upon conversion of shares of Series A Preferred Stock if such issuance will result in a change of control of the Company, unless the Company obtains stockholder approval of such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Company evaluated the terms of the Series A Preferred Stock, and in accordance with the guidance of ASC 480, </w:t>
      </w:r>
      <w:r>
        <w:rPr>
          <w:rFonts w:ascii="Arial;Helvetica;Sans-Serif" w:hAnsi="Arial;Helvetica;Sans-Serif"/>
          <w:b w:val="false"/>
          <w:i/>
          <w:caps w:val="false"/>
          <w:smallCaps w:val="false"/>
          <w:sz w:val="20"/>
        </w:rPr>
        <w:t>Distinguishing Liabilities from Equity</w:t>
      </w:r>
      <w:r>
        <w:rPr>
          <w:rFonts w:ascii="Arial;Helvetica;Sans-Serif" w:hAnsi="Arial;Helvetica;Sans-Serif"/>
          <w:b w:val="false"/>
          <w:i w:val="false"/>
          <w:caps w:val="false"/>
          <w:smallCaps w:val="false"/>
          <w:sz w:val="20"/>
        </w:rPr>
        <w:t>, the Series A Preferred Stock is classified as permanent equity in the accompanying condensed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Regulation A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January 27, 2026, the Company completed the initial closing of its Regulation A Offering of up to 4,854,000 units (each, an “Investor Unit” and collectively the “Investor Units”), each consisting of one share of Series A Preferred Stock and two warrants, each to purchase one share of the Company’s common stock (“Investor Warrants”), with each Investor Unit being offered at an offering price of $5.00 (the “Regulation A Offering”). The closing price of the Company’s common stock on January 26, 2026, was $1.90, and because the Initial Conversion Price exceeded the sum of that closing price plus $0.125, the limitations under Nasdaq Listing Rule 5635(d) that could have applied to the conversion of the Series A Preferred Stock and to the exercise of the Investor Warrants issued in the Regulation A Offering will not apply to any of the shares of Series A Preferred Stock or the Investor Warrants that are part of the up to 4,854,000 Investors Units that may be issued in the Regulation A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Regulation A Offering is being conducted pursuant to the Company’s offering statement on Form 1-A (File No. 024-12688), as amended (the “Offering Statement”), which was most recently qualified by the SEC on April 1, 2026, and the offering circular, dated January 6, 2026, and the offering circular supplement dated March 26, 2026, which form a part thereof (the “Offering Circular”). The Regulation A Offering is being conducted on a “best efforts” basis pursuant to a selling agency agreement, dated January 5, 2026 (the “Selling Agency Agreement”), between the Company and Digital Offering, LLC (“Digital Offering”), acting as the lead selling agent for the Regulation A Offering. Digital Offering is not required to sell any specific number or dollar amount of Investor Units. The Company will pay to Digital Offering a placement fee equal to 7.25% of the offering price per Investor Unit sold in the Regulation A Offering. The Company will also issue Agent Unit Warrants (as defined below) to purchase that number of Agent Units (as defined below) equal to 3% of the total number of Investor Units sold in the Regulation A Offering. In addition, the Company paid Digital Offering a $25,000 consulting fee and reimbursed or will reimburse Digital Offering for up to $85,000 of its reasonable, out-of-pocket, and documented fees and expenses incurred in connection with the Regulation A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Investor Warrants are exercisable at any time after issuance through the 36-month anniversary of their date of issuance at an exercise price of $4.00 per share, subject to customary adjustments in the event of stock dividends, stock splits, reorganizations or similar events. Notwithstanding the foregoing, there are certain limitations on the exercise of the Investor Warrants to the extent a holder (together with its affiliates) would own more than 4.99% (or 9.99% if elected by the warrant holder) of the Company’s common stock outstanding immediately after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Regulation A Offering will terminate at the earliest of (i) the date on which the maximum offering amount of Investor Units has been sold, (ii) January 5, 2027 (one year after the date on which the Offering Statement was initially qualified by the SEC) and (iii) the date on which the Company determines to terminate the Regulation A Offering, which the Company may do in its sole discretion at any time and for any reason or no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Offering Circular also relates to 145,620 warrants (the “Agent Unit Warrants”) to purchase up to 145,620 units (the “Agent Units”) issuable to the selling agent(s) for the Regulation A offering, each Agent Unit consisting of one share of Series A Preferred Stock and two warrants, each to purchase one share of the Company’s common stock (the “Agent Common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per Agent Unit Warrant is $6.25, subject to customary adjustments in the event of stock dividends, stock splits, reorganizations or similar events. The Agent Unit Warrants will expire on January 7, 2031, which is the five-year anniversary of the date of commencement of sales in the Regulation A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per Agent Common Warrant is $4.00 per share, subject to customary adjustments in the event of stock dividends, stock splits, reorganizations or similar events. The terms of the Agent Common Warrant are substantially similar to the terms of the Investor Warrants, except that they expire on January 7,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six months ended June 30, 2026, the Company issued an aggregate of 335,900 Investor Units consisting of 335,900 shares of Series A Preferred Stock and Investor Warrants to purchase up to 671,800 shares of the Company’s common stock, for gross proceeds of approximately $1.7 million, and Agent Unit Warrants to purchase up to 10,075 Agent Units. The Company incurred total issuance costs of approximately $0.1 million including legal fees and placement fees directly related to the issuance that are recognized as a reduction in equity, resulting in net proceeds of approximately $1.5 million. The Investor Warrants were recognized in additional paid-in-capital as they met the criteria for equity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six months ended June 30, 2026, the Company issued 520,000 shares of its common stock upon the conversion of 260,000 shares of Series A Preferred Stock in accordance with the terms of the Series A Preferred Stock. No gain, loss, or deemed dividend was recognized in connection with these conversions. As of June 30, 2026, 75,900 shares of Series A Preferred Stock remain outstanding. During the three months ended June 30, 2026, the Company wrote off approximately $0.1 million of previously deferred offering costs related to the Regulation A Offering, which is reflected in selling, general and administrative expense in the condensed consolidated statements of operations for the three and six months ended June 30, 2026. The write-off resulted from a reduction in the Company’s estimate of the total proceeds expected to be raised under the Regulation A Offering, based on management’s assessment of the number of Investor Units that could reasonably be expected to be sold prior to the scheduled termination of the Regulation A Offering on January 5,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Summary of Agent Unit Warrant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summary of Agent Unit Warrants outstanding during the six months ended June 30, 2026 is presented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6"/>
        <w:gridCol w:w="60"/>
        <w:gridCol w:w="149"/>
        <w:gridCol w:w="1889"/>
        <w:gridCol w:w="60"/>
        <w:gridCol w:w="60"/>
        <w:gridCol w:w="420"/>
        <w:gridCol w:w="1318"/>
        <w:gridCol w:w="60"/>
        <w:gridCol w:w="60"/>
        <w:gridCol w:w="230"/>
        <w:gridCol w:w="1873"/>
        <w:gridCol w:w="60"/>
        <w:gridCol w:w="60"/>
        <w:gridCol w:w="410"/>
        <w:gridCol w:w="689"/>
        <w:gridCol w:w="81"/>
      </w:tblGrid>
      <w:tr>
        <w:trPr/>
        <w:tc>
          <w:tcPr>
            <w:tcW w:w="2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8" w:type="dxa"/>
            <w:gridSpan w:val="14"/>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Agent Unit Warrants</w:t>
            </w:r>
          </w:p>
        </w:tc>
        <w:tc>
          <w:tcPr>
            <w:tcW w:w="81" w:type="dxa"/>
            <w:tcBorders/>
            <w:vAlign w:val="center"/>
          </w:tcPr>
          <w:p>
            <w:pPr>
              <w:pStyle w:val="TableContents"/>
              <w:bidi w:val="0"/>
              <w:spacing w:before="0" w:after="283"/>
              <w:jc w:val="left"/>
              <w:rPr/>
            </w:pPr>
            <w:r>
              <w:rPr/>
              <w:t> </w:t>
            </w:r>
          </w:p>
        </w:tc>
      </w:tr>
      <w:tr>
        <w:trPr/>
        <w:tc>
          <w:tcPr>
            <w:tcW w:w="2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Number of Shares Underlying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8"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3"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Weighted Average Remaining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Intrinsic Value</w:t>
            </w:r>
          </w:p>
        </w:tc>
        <w:tc>
          <w:tcPr>
            <w:tcW w:w="81" w:type="dxa"/>
            <w:tcBorders/>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8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Agent Unit Warrants Issued in connection with Regulation A Offering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89"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7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Exercised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Forfeited or expired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Outstanding and exercisable June 30, 2026</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89"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73"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00"/>
        <w:gridCol w:w="309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w:t>
            </w:r>
          </w:p>
        </w:tc>
        <w:tc>
          <w:tcPr>
            <w:tcW w:w="309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STOCK-BASED COMPENSATION</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2014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2014 Employee Stock Purchase Plan, or the ESPP, was suspended in June 2024. There was no stock-based compensation related to the ESPP for the six months ended June 30, 2026 or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Amended and Restated 2014 Stock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2022 Stock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April 2022, the Company’s board of directors approved the Daré Bioscience, Inc. 2022 Stock Incentive Plan, or the 2022 Plan, which was subsequently approved by the Company’s stockholders in June 2022, and became effective as of such approval. In April 2025, the Company’s board of directors approved an amendment to the 2022 Plan to increase the number of shares of common stock available for issuance thereunder by 600,000, which was subsequently approved by the Company’s stockholders in July 2025. In April 2026, the Company’s board of directors approved an amendment to the 2022 Plan to increase the number of shares of common stock available for issuance thereunder by 1,500,000, which was subsequently approved by the Company’s stockholders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2022 Plan provides for the grant of stock-based incentive awards to employees, directors, consultants, and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June 30, 2026, the number of shares of common stock authorized for issuance under the 2022 Plan was 3,449,085, which is the sum of:</w:t>
      </w:r>
    </w:p>
    <w:p>
      <w:pPr>
        <w:pStyle w:val="TextBody"/>
        <w:bidi w:val="0"/>
        <w:spacing w:before="0" w:after="0"/>
        <w:ind w:left="0" w:right="0" w:firstLine="72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45"/>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t>
            </w:r>
          </w:p>
        </w:tc>
        <w:tc>
          <w:tcPr>
            <w:tcW w:w="74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1,427,206 shares available for awards that may be granted under the 2022 Plan, plus</w:t>
            </w:r>
          </w:p>
        </w:tc>
      </w:tr>
    </w:tbl>
    <w:p>
      <w:pPr>
        <w:pStyle w:val="TextBody"/>
        <w:bidi w:val="0"/>
        <w:spacing w:before="0" w:after="0"/>
        <w:ind w:left="1080" w:right="0" w:hanging="36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45"/>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w:t>
            </w:r>
          </w:p>
        </w:tc>
        <w:tc>
          <w:tcPr>
            <w:tcW w:w="614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1,628,620 shares underlying awards granted under the 2022 Plan, plus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w:t>
            </w:r>
          </w:p>
        </w:tc>
        <w:tc>
          <w:tcPr>
            <w:tcW w:w="994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393,259 shares underlying awards granted under the Amended 2014 Plan, which if they expire, terminate or are otherwise forfeited will become available for issuance under the 2022 Plan.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Summary of Stock Option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summarizes stock option activity under the Company’s stock incentive plans and related information for the six months ended June 30, 2026. The exercise price of all options granted during the six months ended June 30, 2026 was equal to the market value of the Company’s common stock on the date of grant. As of June 30, 2026, unamortized stock-based compensation expense of approximately $2.0 million will be amortized over a weighted average period of 1.10 years. The number of shares of common stock available for future awards granted under the 2022 Plan as of June 30, 2026 was 1,427,206.</w:t>
      </w:r>
    </w:p>
    <w:p>
      <w:pPr>
        <w:pStyle w:val="TextBody"/>
        <w:bidi w:val="0"/>
        <w:spacing w:before="0" w:after="0"/>
        <w:ind w:left="0" w:right="0" w:firstLine="72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740"/>
        <w:gridCol w:w="60"/>
        <w:gridCol w:w="109"/>
        <w:gridCol w:w="1980"/>
        <w:gridCol w:w="95"/>
        <w:gridCol w:w="60"/>
        <w:gridCol w:w="289"/>
        <w:gridCol w:w="1410"/>
        <w:gridCol w:w="75"/>
      </w:tblGrid>
      <w:tr>
        <w:trPr/>
        <w:tc>
          <w:tcPr>
            <w:tcW w:w="37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8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Weighted Average</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Exercise Price</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98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1,409,042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9.41</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Granted</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98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471,700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1.84</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Exercised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Cancelled/forfeited</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98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(4,500</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2.44</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Expired</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8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(332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249.60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Outstanding at June 30, 2026</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8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7.48</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Exercisable at June 30, 2026</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8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999,416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weighted average grant-date fair value of stock options granted was $2.03 and $1.28 for the three and six months ended June 30, 2026, respectively, and $2.24 and $2.51, for the three and six months ended June 30, 2025, respectively. The total fair value of stock options vested was approximately $0.3 million and $0.7 million for the three and six months ended June 30, 2026, respectively, and $0.4 million and $0.7 million during the three and six months ended June 30,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stock-based compensation expense related to stock options granted to employees and non-employee directors recognized in the condensed consolidated statements of operations and comprehensive loss is as follows:</w:t>
      </w:r>
    </w:p>
    <w:p>
      <w:pPr>
        <w:pStyle w:val="TextBody"/>
        <w:bidi w:val="0"/>
        <w:spacing w:before="0" w:after="0"/>
        <w:ind w:left="0" w:right="0" w:firstLine="720"/>
        <w:jc w:val="both"/>
        <w:rPr>
          <w:caps w:val="false"/>
          <w:smallCaps w:val="false"/>
        </w:rPr>
      </w:pPr>
      <w:r>
        <w:rPr>
          <w:caps w:val="false"/>
          <w:smallCaps w:val="false"/>
        </w:rPr>
        <w:t> </w:t>
      </w:r>
    </w:p>
    <w:tbl>
      <w:tblPr>
        <w:tblW w:w="8592" w:type="dxa"/>
        <w:jc w:val="left"/>
        <w:tblInd w:w="0" w:type="dxa"/>
        <w:tblLayout w:type="fixed"/>
        <w:tblCellMar>
          <w:top w:w="0" w:type="dxa"/>
          <w:left w:w="0" w:type="dxa"/>
          <w:bottom w:w="0" w:type="dxa"/>
          <w:right w:w="0" w:type="dxa"/>
        </w:tblCellMar>
      </w:tblPr>
      <w:tblGrid>
        <w:gridCol w:w="3725"/>
        <w:gridCol w:w="60"/>
        <w:gridCol w:w="168"/>
        <w:gridCol w:w="968"/>
        <w:gridCol w:w="65"/>
        <w:gridCol w:w="65"/>
        <w:gridCol w:w="168"/>
        <w:gridCol w:w="968"/>
        <w:gridCol w:w="60"/>
        <w:gridCol w:w="60"/>
        <w:gridCol w:w="155"/>
        <w:gridCol w:w="890"/>
        <w:gridCol w:w="60"/>
        <w:gridCol w:w="60"/>
        <w:gridCol w:w="155"/>
        <w:gridCol w:w="890"/>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2" w:type="dxa"/>
            <w:gridSpan w:val="6"/>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w:t>
              <w:br/>
              <w:t>June 30,</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6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118,493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6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158,154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325,212</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168,109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200,864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411,163</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286,602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359,018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741,666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736,375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2022 Plan authorizes the issuance of restricted stock units, or RSUs. On June 30, 2026, the Company granted an aggregate of 145,969 RSUs to its five non-employee directors in lieu of cash payment of board fees for the second half of 2026. In early 2026, the Company’s board of directors determined to suspend the payment of board fees to non-employee directors for their service during the first half of 2026. Each RSU represents the right to receive one share of the Company’s common stock upon settlement. The RSUs vest in full on January 4, 2027, subject to continued service through the vesting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accounts for RSU awards in accordance with ASC Topic 718, Compensation—Stock Compensation. The grant-date fair value of each RSU was $2.11, equal to the closing price of the Company’s common stock on June 30, 2026, the grant date. Compensation cost is recognized on a straight-line basis over the requisite service period, which is approximately six months from the grant date through January 4,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three and six months ended June 30, 2026, the Company recognized stock-based compensation expense of approximately $2,000 related to RSU awards. As of June 30, 2026, total unrecognized compensation cost related to unvested RSUs was approximately $0.3 million, which is expected to be recognized over a remaining weighted-average service period of approximately six months.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RSU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RSU activity for the six months ended June 30, 2026:</w:t>
      </w:r>
    </w:p>
    <w:p>
      <w:pPr>
        <w:pStyle w:val="TextBody"/>
        <w:bidi w:val="0"/>
        <w:spacing w:before="0" w:after="0"/>
        <w:ind w:left="0" w:right="0" w:firstLine="720"/>
        <w:jc w:val="both"/>
        <w:rPr>
          <w:caps w:val="false"/>
          <w:smallCaps w:val="false"/>
        </w:rPr>
      </w:pPr>
      <w:r>
        <w:rPr>
          <w:caps w:val="false"/>
          <w:smallCaps w:val="false"/>
        </w:rPr>
        <w:t> </w:t>
      </w:r>
    </w:p>
    <w:tbl>
      <w:tblPr>
        <w:tblW w:w="9898" w:type="dxa"/>
        <w:jc w:val="left"/>
        <w:tblInd w:w="0" w:type="dxa"/>
        <w:tblLayout w:type="fixed"/>
        <w:tblCellMar>
          <w:top w:w="0" w:type="dxa"/>
          <w:left w:w="0" w:type="dxa"/>
          <w:bottom w:w="0" w:type="dxa"/>
          <w:right w:w="0" w:type="dxa"/>
        </w:tblCellMar>
      </w:tblPr>
      <w:tblGrid>
        <w:gridCol w:w="3080"/>
        <w:gridCol w:w="60"/>
        <w:gridCol w:w="122"/>
        <w:gridCol w:w="1817"/>
        <w:gridCol w:w="60"/>
        <w:gridCol w:w="60"/>
        <w:gridCol w:w="1119"/>
        <w:gridCol w:w="3505"/>
        <w:gridCol w:w="75"/>
      </w:tblGrid>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Number of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Weighted-Average Grant-Date Fair Value</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Unvested at January 1, 2026</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8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left"/>
              <w:rPr/>
            </w:pPr>
            <w:r>
              <w:rPr/>
              <w:t> </w:t>
            </w:r>
          </w:p>
        </w:tc>
        <w:tc>
          <w:tcPr>
            <w:tcW w:w="35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817"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350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Vested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8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left"/>
              <w:rPr/>
            </w:pPr>
            <w:r>
              <w:rPr/>
              <w:t> </w:t>
            </w:r>
          </w:p>
        </w:tc>
        <w:tc>
          <w:tcPr>
            <w:tcW w:w="35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Forfeited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Unvested at June 30, 2026</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17"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3505"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00"/>
        <w:gridCol w:w="216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6.</w:t>
            </w:r>
          </w:p>
        </w:tc>
        <w:tc>
          <w:tcPr>
            <w:tcW w:w="216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LEASED PROPERTIES</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Finance Lease - Clean Room Space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July 24, 2024, the Company entered into a scope of work (the “SOW”) with an unrelated third party for a controlled clean room space in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determined that the Clean Room Agreement is a finance lease. On the commencement date, the Company recorded an initial finance lease right-of-use, or ROU, asset and related lease liability of approximately $3.3 million and $2.8 million, respectively. Included in the $3.3 million finance ROU asset is the $459,000 prepayment which was reclassified to the finance lease ROU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During 2025, the parties executed two change orders primarily to amend the total contract consideration under the lease arrangement. The Company evaluated these amendments and concluded they represented a lease modification. As such, the finance lease ROU asset and finance lease liability were remeasured using an incremental borrowing rate at the date of the modification resulting in a decrease of approximately $83,000 to both the ROU asset and corresponding finance lease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Operating Leases - General 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lease for its corporate headquarters (3,169 square feet of office space) commenced in July 2018 and, as a result of an extension entered into in March 2024, expires on October 31,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MBI, a wholly-owned subsidiary the Company, leases general office and laboratory space in Massachusetts. The lease commenced on November 1, 2023 for a term of three years, expiring on December 31, 2026. On December 18, 2025, the term of the lease was extended to December 31, 2027, which resulted in additional operating lease liabilities and ROU assets of approximately $0.4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each lease, the lessee pays base annual rent (subject to an annual fixed percentage increase), plus property taxes, and other normal and necessary expenses, such as utilities, repairs, and maintenance. 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Aggregate Lease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components of lease cost recorded in the Company’s condensed consolidated statements of operations and comprehensive loss were as follows:</w:t>
      </w:r>
    </w:p>
    <w:p>
      <w:pPr>
        <w:pStyle w:val="TextBody"/>
        <w:bidi w:val="0"/>
        <w:spacing w:before="0" w:after="0"/>
        <w:ind w:left="0" w:right="0" w:firstLine="720"/>
        <w:jc w:val="both"/>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440"/>
        <w:gridCol w:w="60"/>
        <w:gridCol w:w="155"/>
        <w:gridCol w:w="890"/>
        <w:gridCol w:w="60"/>
        <w:gridCol w:w="60"/>
        <w:gridCol w:w="155"/>
        <w:gridCol w:w="890"/>
        <w:gridCol w:w="60"/>
        <w:gridCol w:w="60"/>
        <w:gridCol w:w="155"/>
        <w:gridCol w:w="1085"/>
        <w:gridCol w:w="60"/>
        <w:gridCol w:w="60"/>
        <w:gridCol w:w="155"/>
        <w:gridCol w:w="1085"/>
        <w:gridCol w:w="75"/>
      </w:tblGrid>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Three Months Ended</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Six Months Ended</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75" w:type="dxa"/>
            <w:tcBorders/>
            <w:vAlign w:val="center"/>
          </w:tcPr>
          <w:p>
            <w:pPr>
              <w:pStyle w:val="TableContents"/>
              <w:bidi w:val="0"/>
              <w:spacing w:before="0" w:after="283"/>
              <w:jc w:val="center"/>
              <w:rPr/>
            </w:pPr>
            <w:r>
              <w:rPr/>
              <w:t> </w:t>
            </w:r>
          </w:p>
        </w:tc>
      </w:tr>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lease cost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191,355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224,849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387,663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424,007</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Finance lease cost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Amortization of finance lease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436,194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449,983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872,388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599,978</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Interest on finance lease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53,845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72,704</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Variable lease cost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61,807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63,676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97,923</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lease cost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667,583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790,484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1,355,549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1,194,612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Maturities of the Company’s finance and operating lease liabilities as of June 30, 2026 were as follows:</w:t>
      </w:r>
    </w:p>
    <w:p>
      <w:pPr>
        <w:pStyle w:val="TextBody"/>
        <w:bidi w:val="0"/>
        <w:spacing w:before="0" w:after="0"/>
        <w:ind w:left="0" w:right="0" w:firstLine="720"/>
        <w:jc w:val="both"/>
        <w:rPr>
          <w:caps w:val="false"/>
          <w:smallCaps w:val="false"/>
        </w:rPr>
      </w:pPr>
      <w:r>
        <w:rPr>
          <w:caps w:val="false"/>
          <w:smallCaps w:val="false"/>
        </w:rPr>
        <w:t> </w:t>
      </w:r>
    </w:p>
    <w:tbl>
      <w:tblPr>
        <w:tblW w:w="9128" w:type="dxa"/>
        <w:jc w:val="left"/>
        <w:tblInd w:w="0" w:type="dxa"/>
        <w:tblLayout w:type="fixed"/>
        <w:tblCellMar>
          <w:top w:w="0" w:type="dxa"/>
          <w:left w:w="0" w:type="dxa"/>
          <w:bottom w:w="28" w:type="dxa"/>
          <w:right w:w="0" w:type="dxa"/>
        </w:tblCellMar>
      </w:tblPr>
      <w:tblGrid>
        <w:gridCol w:w="3695"/>
        <w:gridCol w:w="60"/>
        <w:gridCol w:w="299"/>
        <w:gridCol w:w="1730"/>
        <w:gridCol w:w="95"/>
        <w:gridCol w:w="60"/>
        <w:gridCol w:w="249"/>
        <w:gridCol w:w="1435"/>
        <w:gridCol w:w="95"/>
        <w:gridCol w:w="60"/>
        <w:gridCol w:w="155"/>
        <w:gridCol w:w="1085"/>
        <w:gridCol w:w="110"/>
      </w:tblGrid>
      <w:tr>
        <w:trPr/>
        <w:tc>
          <w:tcPr>
            <w:tcW w:w="3695" w:type="dxa"/>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Year</w:t>
            </w:r>
          </w:p>
        </w:tc>
        <w:tc>
          <w:tcPr>
            <w:tcW w:w="60" w:type="dxa"/>
            <w:tcBorders/>
            <w:tcMar>
              <w:bottom w:w="0" w:type="dxa"/>
            </w:tcMar>
            <w:vAlign w:val="center"/>
          </w:tcPr>
          <w:p>
            <w:pPr>
              <w:pStyle w:val="TableContents"/>
              <w:bidi w:val="0"/>
              <w:spacing w:before="0" w:after="283"/>
              <w:jc w:val="left"/>
              <w:rPr/>
            </w:pPr>
            <w:r>
              <w:rPr/>
              <w:t> </w:t>
            </w:r>
          </w:p>
        </w:tc>
        <w:tc>
          <w:tcPr>
            <w:tcW w:w="2029"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Operating Leases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Finance Lease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Total</w:t>
            </w:r>
          </w:p>
        </w:tc>
        <w:tc>
          <w:tcPr>
            <w:tcW w:w="110" w:type="dxa"/>
            <w:tcBorders/>
            <w:tcMar>
              <w:bottom w:w="0" w:type="dxa"/>
            </w:tcMar>
            <w:vAlign w:val="center"/>
          </w:tcPr>
          <w:p>
            <w:pPr>
              <w:pStyle w:val="TableContents"/>
              <w:bidi w:val="0"/>
              <w:spacing w:before="0" w:after="283"/>
              <w:jc w:val="left"/>
              <w:rPr/>
            </w:pPr>
            <w:r>
              <w:rPr/>
              <w:t> </w:t>
            </w:r>
          </w:p>
        </w:tc>
      </w:tr>
      <w:tr>
        <w:trPr/>
        <w:tc>
          <w:tcPr>
            <w:tcW w:w="3695"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2026 (remaining)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73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340,928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152,950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493,878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9" w:type="dxa"/>
            <w:tcBorders>
              <w:bottom w:val="single" w:sz="8" w:space="0" w:color="000000"/>
            </w:tcBorders>
            <w:shd w:fill="FFFFFF" w:val="clear"/>
            <w:vAlign w:val="center"/>
          </w:tcPr>
          <w:p>
            <w:pPr>
              <w:pStyle w:val="TableContents"/>
              <w:bidi w:val="0"/>
              <w:spacing w:before="0" w:after="283"/>
              <w:jc w:val="left"/>
              <w:rPr/>
            </w:pPr>
            <w:r>
              <w:rPr/>
              <w:t> </w:t>
            </w:r>
          </w:p>
        </w:tc>
        <w:tc>
          <w:tcPr>
            <w:tcW w:w="1730"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583,046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vAlign w:val="center"/>
          </w:tcPr>
          <w:p>
            <w:pPr>
              <w:pStyle w:val="TableContents"/>
              <w:bidi w:val="0"/>
              <w:spacing w:before="0" w:after="283"/>
              <w:jc w:val="left"/>
              <w:rPr/>
            </w:pPr>
            <w:r>
              <w:rPr/>
              <w:t> </w:t>
            </w:r>
          </w:p>
        </w:tc>
        <w:tc>
          <w:tcPr>
            <w:tcW w:w="143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085"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583,046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695"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 w:type="dxa"/>
            <w:tcBorders/>
            <w:shd w:fill="CCEEFF" w:val="clear"/>
            <w:tcMar>
              <w:bottom w:w="0" w:type="dxa"/>
            </w:tcMar>
            <w:vAlign w:val="center"/>
          </w:tcPr>
          <w:p>
            <w:pPr>
              <w:pStyle w:val="TableContents"/>
              <w:bidi w:val="0"/>
              <w:spacing w:before="0" w:after="283"/>
              <w:jc w:val="left"/>
              <w:rPr/>
            </w:pPr>
            <w:r>
              <w:rPr/>
              <w:t> </w:t>
            </w:r>
          </w:p>
        </w:tc>
        <w:tc>
          <w:tcPr>
            <w:tcW w:w="1730"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923,974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jc w:val="left"/>
              <w:rPr/>
            </w:pPr>
            <w:r>
              <w:rPr/>
              <w:t> </w:t>
            </w:r>
          </w:p>
        </w:tc>
        <w:tc>
          <w:tcPr>
            <w:tcW w:w="143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152,950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1,076,924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Less: amount representing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9" w:type="dxa"/>
            <w:tcBorders>
              <w:bottom w:val="single" w:sz="8" w:space="0" w:color="000000"/>
            </w:tcBorders>
            <w:shd w:fill="FFFFFF" w:val="clear"/>
            <w:vAlign w:val="center"/>
          </w:tcPr>
          <w:p>
            <w:pPr>
              <w:pStyle w:val="TableContents"/>
              <w:bidi w:val="0"/>
              <w:spacing w:before="0" w:after="283"/>
              <w:jc w:val="left"/>
              <w:rPr/>
            </w:pPr>
            <w:r>
              <w:rPr/>
              <w:t> </w:t>
            </w:r>
          </w:p>
        </w:tc>
        <w:tc>
          <w:tcPr>
            <w:tcW w:w="1730"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(55,608</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vAlign w:val="center"/>
          </w:tcPr>
          <w:p>
            <w:pPr>
              <w:pStyle w:val="TableContents"/>
              <w:bidi w:val="0"/>
              <w:spacing w:before="0" w:after="283"/>
              <w:jc w:val="left"/>
              <w:rPr/>
            </w:pPr>
            <w:r>
              <w:rPr/>
              <w:t> </w:t>
            </w:r>
          </w:p>
        </w:tc>
        <w:tc>
          <w:tcPr>
            <w:tcW w:w="1435"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(3,576</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085" w:type="dxa"/>
            <w:tcBorders>
              <w:bottom w:val="single" w:sz="8"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(59,184</w:t>
            </w:r>
          </w:p>
        </w:tc>
        <w:tc>
          <w:tcPr>
            <w:tcW w:w="11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3695"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9"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730"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868,366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35"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149,374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1,017,740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weighted-average remaining lease terms and discount rates related to the Company’s leases were as follows:</w:t>
      </w:r>
    </w:p>
    <w:p>
      <w:pPr>
        <w:pStyle w:val="TextBody"/>
        <w:bidi w:val="0"/>
        <w:spacing w:before="0" w:after="0"/>
        <w:ind w:left="0" w:right="0" w:firstLine="720"/>
        <w:jc w:val="both"/>
        <w:rPr>
          <w:caps w:val="false"/>
          <w:smallCaps w:val="false"/>
        </w:rPr>
      </w:pPr>
      <w:r>
        <w:rPr>
          <w:caps w:val="false"/>
          <w:smallCaps w:val="false"/>
        </w:rPr>
        <w:t> </w:t>
      </w:r>
    </w:p>
    <w:tbl>
      <w:tblPr>
        <w:tblW w:w="7288" w:type="dxa"/>
        <w:jc w:val="left"/>
        <w:tblInd w:w="0" w:type="dxa"/>
        <w:tblLayout w:type="fixed"/>
        <w:tblCellMar>
          <w:top w:w="0" w:type="dxa"/>
          <w:left w:w="0" w:type="dxa"/>
          <w:bottom w:w="0" w:type="dxa"/>
          <w:right w:w="0" w:type="dxa"/>
        </w:tblCellMar>
      </w:tblPr>
      <w:tblGrid>
        <w:gridCol w:w="5345"/>
        <w:gridCol w:w="60"/>
        <w:gridCol w:w="71"/>
        <w:gridCol w:w="576"/>
        <w:gridCol w:w="273"/>
        <w:gridCol w:w="71"/>
        <w:gridCol w:w="71"/>
        <w:gridCol w:w="576"/>
        <w:gridCol w:w="245"/>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As of June 30,</w:t>
            </w:r>
          </w:p>
        </w:tc>
        <w:tc>
          <w:tcPr>
            <w:tcW w:w="245" w:type="dxa"/>
            <w:tcBorders/>
            <w:vAlign w:val="center"/>
          </w:tcPr>
          <w:p>
            <w:pPr>
              <w:pStyle w:val="TableContents"/>
              <w:bidi w:val="0"/>
              <w:spacing w:before="0" w:after="283"/>
              <w:jc w:val="center"/>
              <w:rPr/>
            </w:pPr>
            <w:r>
              <w:rPr/>
              <w:t> </w:t>
            </w:r>
          </w:p>
        </w:tc>
      </w:tr>
      <w:tr>
        <w:trPr/>
        <w:tc>
          <w:tcPr>
            <w:tcW w:w="5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7"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273"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647"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24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27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leases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1.42</w:t>
            </w:r>
          </w:p>
        </w:tc>
        <w:tc>
          <w:tcPr>
            <w:tcW w:w="27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1.92</w:t>
            </w:r>
          </w:p>
        </w:tc>
        <w:tc>
          <w:tcPr>
            <w:tcW w:w="245"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Finance lease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0.50</w:t>
            </w:r>
          </w:p>
        </w:tc>
        <w:tc>
          <w:tcPr>
            <w:tcW w:w="27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w:t>
            </w:r>
          </w:p>
        </w:tc>
        <w:tc>
          <w:tcPr>
            <w:tcW w:w="245" w:type="dxa"/>
            <w:tcBorders/>
            <w:shd w:fill="CCEEFF"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Operating leases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9.1</w:t>
            </w:r>
          </w:p>
        </w:tc>
        <w:tc>
          <w:tcPr>
            <w:tcW w:w="273"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10.5</w:t>
            </w:r>
          </w:p>
        </w:tc>
        <w:tc>
          <w:tcPr>
            <w:tcW w:w="24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5345"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Finance lease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9.5</w:t>
            </w:r>
          </w:p>
        </w:tc>
        <w:tc>
          <w:tcPr>
            <w:tcW w:w="27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9.5</w:t>
            </w:r>
          </w:p>
        </w:tc>
        <w:tc>
          <w:tcPr>
            <w:tcW w:w="24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Supplemental cash flow information related to the Company’s leases was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5"/>
        <w:gridCol w:w="60"/>
        <w:gridCol w:w="163"/>
        <w:gridCol w:w="938"/>
        <w:gridCol w:w="63"/>
        <w:gridCol w:w="63"/>
        <w:gridCol w:w="163"/>
        <w:gridCol w:w="938"/>
        <w:gridCol w:w="60"/>
        <w:gridCol w:w="60"/>
        <w:gridCol w:w="155"/>
        <w:gridCol w:w="1085"/>
        <w:gridCol w:w="60"/>
        <w:gridCol w:w="60"/>
        <w:gridCol w:w="155"/>
        <w:gridCol w:w="890"/>
        <w:gridCol w:w="77"/>
      </w:tblGrid>
      <w:tr>
        <w:trPr/>
        <w:tc>
          <w:tcPr>
            <w:tcW w:w="5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Three Months Ended</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05" w:type="dxa"/>
            <w:gridSpan w:val="6"/>
            <w:tcBorders>
              <w:bottom w:val="single" w:sz="8" w:space="0" w:color="000000"/>
            </w:tcBorders>
            <w:tcMar>
              <w:bottom w:w="28" w:type="dxa"/>
            </w:tcMar>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Six Months Ended</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77" w:type="dxa"/>
            <w:tcBorders/>
            <w:vAlign w:val="center"/>
          </w:tcPr>
          <w:p>
            <w:pPr>
              <w:pStyle w:val="TableContents"/>
              <w:bidi w:val="0"/>
              <w:spacing w:before="0" w:after="283"/>
              <w:jc w:val="center"/>
              <w:rPr/>
            </w:pPr>
            <w:r>
              <w:rPr/>
              <w:t> </w:t>
            </w:r>
          </w:p>
        </w:tc>
      </w:tr>
      <w:tr>
        <w:trPr/>
        <w:tc>
          <w:tcPr>
            <w:tcW w:w="5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77" w:type="dxa"/>
            <w:tcBorders/>
            <w:vAlign w:val="center"/>
          </w:tcPr>
          <w:p>
            <w:pPr>
              <w:pStyle w:val="TableContents"/>
              <w:bidi w:val="0"/>
              <w:spacing w:before="0" w:after="283"/>
              <w:jc w:val="left"/>
              <w:rPr/>
            </w:pPr>
            <w:r>
              <w:rPr/>
              <w:t> </w:t>
            </w:r>
          </w:p>
        </w:tc>
      </w:tr>
      <w:tr>
        <w:trPr/>
        <w:tc>
          <w:tcPr>
            <w:tcW w:w="521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21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Financing cash flows from finance lease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3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448,178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3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448,123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1,344,727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458,850</w:t>
            </w:r>
          </w:p>
        </w:tc>
        <w:tc>
          <w:tcPr>
            <w:tcW w:w="77" w:type="dxa"/>
            <w:tcBorders/>
            <w:shd w:fill="FFFFFF" w:val="clear"/>
            <w:vAlign w:val="center"/>
          </w:tcPr>
          <w:p>
            <w:pPr>
              <w:pStyle w:val="TableContents"/>
              <w:bidi w:val="0"/>
              <w:spacing w:before="0" w:after="283"/>
              <w:jc w:val="left"/>
              <w:rPr/>
            </w:pPr>
            <w:r>
              <w:rPr/>
              <w:t> </w:t>
            </w:r>
          </w:p>
        </w:tc>
      </w:tr>
      <w:tr>
        <w:trPr/>
        <w:tc>
          <w:tcPr>
            <w:tcW w:w="521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cash flows from finance lease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3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10,672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3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53,845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72,704</w:t>
            </w:r>
          </w:p>
        </w:tc>
        <w:tc>
          <w:tcPr>
            <w:tcW w:w="77" w:type="dxa"/>
            <w:tcBorders/>
            <w:shd w:fill="CCEEFF" w:val="clear"/>
            <w:vAlign w:val="center"/>
          </w:tcPr>
          <w:p>
            <w:pPr>
              <w:pStyle w:val="TableContents"/>
              <w:bidi w:val="0"/>
              <w:spacing w:before="0" w:after="283"/>
              <w:jc w:val="left"/>
              <w:rPr/>
            </w:pPr>
            <w:r>
              <w:rPr/>
              <w:t> </w:t>
            </w:r>
          </w:p>
        </w:tc>
      </w:tr>
      <w:tr>
        <w:trPr/>
        <w:tc>
          <w:tcPr>
            <w:tcW w:w="521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3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169,577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3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164,490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08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339,153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89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328,980</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00"/>
        <w:gridCol w:w="318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7.</w:t>
            </w:r>
          </w:p>
        </w:tc>
        <w:tc>
          <w:tcPr>
            <w:tcW w:w="318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ROYALTY INTEREST FINANCING </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December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until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Royalty Interest Agreement, the Company agreed to make the following payments to UiE, until such time when UiE has received aggregate payments equaling a 12% internal rate of return (the “IRR”) on the Initial Investment and each Supplemental Investment, if any: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IRR by December 31, 2029, December 31, 2033, and December 31, 2034, respectively. In addition, if UiE has not received payments equaling the IRR by December 31, 2035 and the Company has other sources of assets or income (besides XACIATO) sufficient to complete such payments, the Company has agreed to pay UiE quarterly payments evenly divided over a two-year term (“Catch-up Payments”), such that UiE will have obtained the IRR, taking into account all other payments received by UiE from the Company under the Royalty Interest Agreement. UiE’s right to receive payments will terminate when UiE has received payments in an amount equal to the IRR (such period of time is referred to as the “Financing Term”). Under the Royalty Interest Agreement, the Company has the right, at any time and from time to time, to make voluntary prepayments to UiE, and such payments will be credited against the IRR. In addition, the Company has the right at any time to pay in full and retire all of the Company’s payment obligations to UiE by paying the full amount of the IRR (the “Call Payment”), calculated as of the date of the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evaluated the terms of the Royalty Interest Agreement and concluded that its features were similar to those of a debt instrument. As a result, the Company applied the debt recognition guidance under ASC 470, Debt, and recorded the Initial Investment as a liability related to the sale of future royalties, which will be amortized under the effective interest method over the estimated Financing Term.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Financing Term. In addition, in accordance with ASC 470, Debt, any royalties and milestone payments received by or on behalf of the Company from Organon from and after the date of the Initial Investment are recorded as non-cash royalty revenue in the consolidated statements of operations as a reduction to the liability related to the sale of future royalties.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determine the amortization of the liability related to the sale of future royalties, the Company is required to estimate the duration of the Financing Term and the total amount of future payments to UiE during the Financing Term. These estimates involve significant estimates and assumptions regarding future Net Royalty Payments that impact both the amount of the liability related to the sale of future royalties and the interest expense that will be recognized over the Financing Term. The Company will periodically reassess the estimated amounts due and payable to UiE and the duration of the Financing Term and to the extent the estimated amount or timing of such payments is materially different than the prior estimate, an adjustment will be recorded in future periods, prospectively, to increase or decrease interest expense. There are a number of factors that could materially affect XACIATO’s commercial success, and therefore the amount and timing of the Company’s payments to UiE, and correspondingly, the amount of interest expense and interest payable recorded by the Company, most of which are not within the Company’s control. Such factors include, but are not limited to, the capabilities of Organon and its commitment of sufficient resources to market, distribute and sell the product; timely and adequate commercial supply of XACIATO and its components; perceived superiority of XACIATO’s cure rates compared to other available treatments; patient satisfaction and willingness to use XACIATO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the length of the Financing Term and the total amount owed to UiE.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June 30, 2026, based on Net Royalty Payments to date and other factors, the Financing Term is estimated to extend through 2037, and the effective interest rate on the liability related to the sale of future royalties is 12.8%. Under the current estimated Financing Term, the estimated total amount potentially owed to UiE would be approximately $22.0 million, substantially all of which would be paid as Catch-up Payments. However, as discussed above, the Company has the right to make voluntary prepayments to UiE that would be credited against the IRR, as well as the right to make the Call Payment, either of which actions could reduce the total amount owed to UiE, potentially materially.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entering into the Royalty Interest Agreement, the Company issued to UiE a warrant (the “Initial Royalty Warrant”) to purchase up to 422,804 shares of the Company’s common stock (see Note 4, Stockholders’ Equity). In addition, for every $1.0 million of Supplemental Investment, the Company will issue to UiE a warrant to purchase 84,561 shares of common stock. If the Company elects to receive the maximum amount of Supplemental Investments, the Company would issue to UiE warrants to purchase an aggregate of up to 591,927 shares of common stock (collectively the “Additional Royalty Warrants,” and together with the Initial Royalty Warrant, the “Royalty Interest Agreement Warrants”). As of June 30, 2026, the Company has only issued the Initial Royalty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Initial Royalty Warrant was deemed to be an equity classified warrant and recorded under additional paid in capital. The fair value of the Initial Royalty Warrant was determined to be $0.8 million (Note 4) and was recorded as a debt discount against the Initial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shows the activity of the liability related to the sale of future royalties since the date of the Initial Investment through the period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9"/>
        <w:gridCol w:w="60"/>
        <w:gridCol w:w="191"/>
        <w:gridCol w:w="1343"/>
        <w:gridCol w:w="112"/>
      </w:tblGrid>
      <w:tr>
        <w:trPr/>
        <w:tc>
          <w:tcPr>
            <w:tcW w:w="8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June 30, 2026</w:t>
            </w:r>
          </w:p>
        </w:tc>
        <w:tc>
          <w:tcPr>
            <w:tcW w:w="112" w:type="dxa"/>
            <w:tcBorders/>
            <w:vAlign w:val="center"/>
          </w:tcPr>
          <w:p>
            <w:pPr>
              <w:pStyle w:val="TableContents"/>
              <w:bidi w:val="0"/>
              <w:spacing w:before="0" w:after="283"/>
              <w:jc w:val="left"/>
              <w:rPr/>
            </w:pPr>
            <w:r>
              <w:rPr/>
              <w:t> </w:t>
            </w:r>
          </w:p>
        </w:tc>
      </w:tr>
      <w:tr>
        <w:trPr/>
        <w:tc>
          <w:tcPr>
            <w:tcW w:w="84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Upfront payment from the sale of future royalties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4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5,000,000</w:t>
            </w:r>
          </w:p>
        </w:tc>
        <w:tc>
          <w:tcPr>
            <w:tcW w:w="112" w:type="dxa"/>
            <w:tcBorders/>
            <w:shd w:fill="CCEEFF" w:val="clear"/>
            <w:vAlign w:val="center"/>
          </w:tcPr>
          <w:p>
            <w:pPr>
              <w:pStyle w:val="TableContents"/>
              <w:bidi w:val="0"/>
              <w:spacing w:before="0" w:after="283"/>
              <w:jc w:val="left"/>
              <w:rPr/>
            </w:pPr>
            <w:r>
              <w:rPr/>
              <w:t> </w:t>
            </w:r>
          </w:p>
        </w:tc>
      </w:tr>
      <w:tr>
        <w:trPr/>
        <w:tc>
          <w:tcPr>
            <w:tcW w:w="84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Debt issuance cost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(276,101</w:t>
            </w:r>
          </w:p>
        </w:tc>
        <w:tc>
          <w:tcPr>
            <w:tcW w:w="11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84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Relative fair value of Initial Royalty Warrant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(834,512</w:t>
            </w:r>
          </w:p>
        </w:tc>
        <w:tc>
          <w:tcPr>
            <w:tcW w:w="11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84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Royalty payments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(14,102</w:t>
            </w:r>
          </w:p>
        </w:tc>
        <w:tc>
          <w:tcPr>
            <w:tcW w:w="11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84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Non-cash interest expense and interest payable associated with the sale of future royalties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1,870,602</w:t>
            </w:r>
          </w:p>
        </w:tc>
        <w:tc>
          <w:tcPr>
            <w:tcW w:w="112" w:type="dxa"/>
            <w:tcBorders/>
            <w:shd w:fill="CCEEFF" w:val="clear"/>
            <w:vAlign w:val="center"/>
          </w:tcPr>
          <w:p>
            <w:pPr>
              <w:pStyle w:val="TableContents"/>
              <w:bidi w:val="0"/>
              <w:spacing w:before="0" w:after="283"/>
              <w:jc w:val="left"/>
              <w:rPr/>
            </w:pPr>
            <w:r>
              <w:rPr/>
              <w:t> </w:t>
            </w:r>
          </w:p>
        </w:tc>
      </w:tr>
      <w:tr>
        <w:trPr/>
        <w:tc>
          <w:tcPr>
            <w:tcW w:w="84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Liability related to the sale of future royalties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5,745,887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200"/>
        <w:gridCol w:w="3545"/>
      </w:tblGrid>
      <w:tr>
        <w:trPr/>
        <w:tc>
          <w:tcPr>
            <w:tcW w:w="20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8.</w:t>
            </w:r>
          </w:p>
        </w:tc>
        <w:tc>
          <w:tcPr>
            <w:tcW w:w="354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ROYALTY PURCHASE AGREEMENTS</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Royalty Purchase Agreements, the Company sold, assigned, transferred and conveyed its right, title and interest in and to the following to XOMA: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25% of the $20.0 million payment that the Company could have potentially received under the Company’s since terminated license agreement with Bayer relating to Ovaprene;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a synthetic royalty of 4.0% of the Company’s, its affiliates’ and its sublicensees’ future net sales of Ovaprene, and 2.0% of the Company’s, its affiliates’ and its sublicensees’ future net sales of Sildenafil Cream and DARE to PLAY</w:t>
      </w:r>
      <w:r>
        <w:rPr>
          <w:rFonts w:ascii="Arial;Helvetica;Sans-Serif" w:hAnsi="Arial;Helvetica;Sans-Serif"/>
          <w:b w:val="false"/>
          <w:i w:val="false"/>
          <w:caps w:val="false"/>
          <w:smallCaps w:val="false"/>
          <w:position w:val="7"/>
          <w:sz w:val="16"/>
          <w:sz w:val="20"/>
        </w:rPr>
        <w:t>TM</w:t>
      </w:r>
      <w:r>
        <w:rPr>
          <w:rFonts w:ascii="Arial;Helvetica;Sans-Serif" w:hAnsi="Arial;Helvetica;Sans-Serif"/>
          <w:b w:val="false"/>
          <w:i w:val="false"/>
          <w:caps w:val="false"/>
          <w:smallCaps w:val="false"/>
          <w:sz w:val="20"/>
        </w:rPr>
        <w:t xml:space="preserve"> Sildenafil Cream; </w:t>
      </w:r>
      <w:r>
        <w:rPr>
          <w:rFonts w:ascii="Arial;Helvetica;Sans-Serif" w:hAnsi="Arial;Helvetica;Sans-Serif"/>
          <w:b w:val="false"/>
          <w:i/>
          <w:caps w:val="false"/>
          <w:smallCaps w:val="false"/>
          <w:sz w:val="20"/>
        </w:rPr>
        <w:t>provided, however</w:t>
      </w:r>
      <w:r>
        <w:rPr>
          <w:rFonts w:ascii="Arial;Helvetica;Sans-Serif" w:hAnsi="Arial;Helvetica;Sans-Serif"/>
          <w:b w:val="false"/>
          <w:i w:val="false"/>
          <w:caps w:val="false"/>
          <w:smallCaps w:val="false"/>
          <w:sz w:val="20"/>
        </w:rPr>
        <w:t>, that, if XOMA receives total payments under the Royalty Purchase Agreements, net of any Contingent Purchase Price Payments made to the Company, equal to an amount that exceeds $110.0 million, the foregoing percentages will be reduced to 2.5% and 1.25%, respectively (we refer to the amounts described in this clause (c) as the “Revenue Participation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in the 2025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July 2026, XOMA’s parent company was acquired by Ligand Pharmaceuticals Incorporated.</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85"/>
        <w:gridCol w:w="3650"/>
      </w:tblGrid>
      <w:tr>
        <w:trPr/>
        <w:tc>
          <w:tcPr>
            <w:tcW w:w="185"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9.</w:t>
            </w:r>
          </w:p>
        </w:tc>
        <w:tc>
          <w:tcPr>
            <w:tcW w:w="365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COMMITMENTS AND CONTINGENCIES</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pStyle w:val="TextBody"/>
        <w:bidi w:val="0"/>
        <w:spacing w:before="0" w:after="0"/>
        <w:ind w:left="0" w:right="0" w:firstLine="72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10.</w:t>
            </w:r>
          </w:p>
        </w:tc>
        <w:tc>
          <w:tcPr>
            <w:tcW w:w="161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GRANT AWARDS</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October 2024 Grant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October 2024, the Company </w:t>
      </w:r>
      <w:r>
        <w:rPr>
          <w:rFonts w:ascii="Arial;Helvetica;Sans-Serif" w:hAnsi="Arial;Helvetica;Sans-Serif"/>
          <w:b w:val="false"/>
          <w:i w:val="false"/>
          <w:caps w:val="false"/>
          <w:smallCaps w:val="false"/>
          <w:sz w:val="20"/>
          <w:shd w:fill="FFFFFF" w:val="clear"/>
        </w:rPr>
        <w:t xml:space="preserve">entered into a subaward agreement with National Collegiate Inventors and Innovators Alliance, Inc. d/b/a VentureWell (the “CMF”) under which the Company is entitled to receive funding of up to </w:t>
      </w:r>
      <w:r>
        <w:rPr>
          <w:rFonts w:ascii="Arial;Helvetica;Sans-Serif" w:hAnsi="Arial;Helvetica;Sans-Serif"/>
          <w:b w:val="false"/>
          <w:i w:val="false"/>
          <w:caps w:val="false"/>
          <w:smallCaps w:val="false"/>
          <w:sz w:val="20"/>
        </w:rPr>
        <w:t xml:space="preserve">$10.0 million </w:t>
      </w:r>
      <w:r>
        <w:rPr>
          <w:rFonts w:ascii="Arial;Helvetica;Sans-Serif" w:hAnsi="Arial;Helvetica;Sans-Serif"/>
          <w:b w:val="false"/>
          <w:i w:val="false"/>
          <w:caps w:val="false"/>
          <w:smallCaps w:val="false"/>
          <w:sz w:val="20"/>
          <w:shd w:fill="FFFFFF" w:val="clear"/>
        </w:rPr>
        <w:t>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w:t>
      </w:r>
      <w:r>
        <w:rPr>
          <w:rFonts w:ascii="Arial;Helvetica;Sans-Serif" w:hAnsi="Arial;Helvetica;Sans-Serif"/>
          <w:b w:val="false"/>
          <w:i w:val="false"/>
          <w:caps w:val="false"/>
          <w:smallCaps w:val="false"/>
          <w:sz w:val="20"/>
        </w:rPr>
        <w:t xml:space="preserve"> The subaward agreement was the result of the Company’s selection by Advanced Research Projects Agency for Health (ARPA-H), part of the U.S. Department of Health and Human Services. </w:t>
      </w:r>
      <w:r>
        <w:rPr>
          <w:rFonts w:ascii="Arial;Helvetica;Sans-Serif" w:hAnsi="Arial;Helvetica;Sans-Serif"/>
          <w:b w:val="false"/>
          <w:i w:val="false"/>
          <w:caps w:val="false"/>
          <w:smallCaps w:val="false"/>
          <w:sz w:val="20"/>
          <w:shd w:fill="FFFFFF" w:val="clear"/>
        </w:rPr>
        <w:t>The CMF is a consortium management firm that received funding from the federal agency for the subaward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 liability in the Company’s condensed consolidated balance sheets. Funds that have been spent but not yet expensed in accordance with GAAP or not spent on direct costs for the funded project in excess of the indirect cost allowance are also recorded in deferred grant funding liability.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June 30, 2026, the Company had received payments totaling $9.0 million under this award. The Company recorded credits to research and development expense of approximately $1.7 million and $2.3 million for costs related to this award for the three and six months ended June 30, 2026, respectively, and $0.8 million and $1.4 million for the three and six months ended June 30, 2025, respectively. As of June 30, 2026 and December 31, 2025, the Company recorded approximately $3.2 million and $2.0 million in deferred grant funding liability related to this award in the Company’s condensed consolidated balance sheets,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NICHD and NIH Non-Dilutive Grant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has received notices of awards and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The federal agency that administers funding to the NIH is the Small Business Innovation Research (SBIR). In October 2025, legislative authority for the SBIR program expired, halting new solicitations and continuation awards across federal agencies, including NIH. On April 13, 2026, the Small Business Innovation and Economic Security Act (S. 3971) was signed into law, reauthorizing the SBIR and STTR programs through September 30,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DARE-HPV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December 2024, the Company received a notice of award from the National Institute of Allergy and Infectious Diseases (NIAID), a component of the NIH, that the Company was awarded the initial $1.0 million of a $2.0 million grant in support of non-clinical activities for the development of DARE-HPV. In May 2026, the Company received a notice of award for an additional $1.0 million for a project year of December 1, 2025 through November 30, 2026. The Company recorded credits to research and development expense of approximately $6,000 and $6,000 for costs related to this award during the three and six months ended June 30, 2026, respectively, and $0.6 million and $0.6 million for three and six months ended June 30, 2025, respectively. The Company recorded a receivable of $6,000 and $11,000 at June 30, 2026 and December 31,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DARE-PTB1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December 2023, the Company received a notice of award from NICHD of approximately $2.0 million to support the development of DARE-PTB1. The award is to be used to support what is referred to as the “Phase II” segment of the project outlined in the Company’s grant application through November 2026. The Company recorded no credits to research and development expense for costs related to this award during the three and six months ended June 30, 2026, and $0.2 million and $0.3 million during the three and six months ended June 30, 2025, respectively. At June 30, 2026 and December 31, 2025, the Company had no outstanding receivable under this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Non-Dilutive Grant Funding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described below, the Company has received substantial funding under grant agreements it entered into with the Foundation. The Company receives funding in advance and tracks and reports eligible expenses incurred to the Foundation. The Company is required to apply the funds it receives solely toward direct costs for the funded projects, other than an approximately 5% to 15% indirect cost allowance (see “—October 2024 Grant Awards” for more information regarding the indirect cost allowance). Funds received that have not been spent are recorded both in cash and cash equivalents and in deferred grant funding liability in the Company’s consolidated balance sheets. Funds spent but not yet expensed in accordance with GAAP or not spent on direct costs for the funded project in excess of the indirect cost allowance are also recorded in deferred grant funding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2024 Contraceptive Product Candidate Grant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The term of the agreement, as amended, extends through June 2027. An initial payment of approximately $5.4 million was made to the Company in November 2024 and a second payment of approximately $3.6 million was made to the Company in November 2025. Additional payments are contingent upon the Company’s achievement of specified development and reporting milestones during the term of the grant agreement. The Company will track and report eligible expenses incurred to the Foundation.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recorded credits to research and development expense of approximately $1.1 million and $2.3 million for costs related to this award for the three and six months ended June 30, 2026, respectively, and $0.7 million and $1.4 million for the three and six months ended June 30, 2025, respectively. As of June 30, 2026 and December 31, 2025, the Company had recorded approximately $2.8 million and $5.1 million of deferred grant funding liability related to this award in the Company’s condensed consolidated balance sheets,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2021 DARE-LARC1 Grant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June 2021, the Company entered into an agreement with the Foundation under which the Company was awarded up to approximately $49.0 million to support the development of DARE-LARC1. The term of the agreement, as amended, extends through December 2027. The agreement supports technology development and preclinical activities to advance DARE-LARC1 through nonclinical proof-of-principle studies and other IND-enabling work to allow for the submission of an investigational new drug, or IND, application with the FDA, approval of which will be required to commence testing in humans.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June 30, 2026, the Company had received a cumulative total of approximately $41.8 million under the agreement. Additional payments are contingent upon the DARE-LARC1 program’s achievement of specified development and reporting milestones. The Company recorded credits to research and development expense of approximately $1.9 million and $3.6 million for costs related to this award for the three and six months ended June 30, 2026, respectively, and $2.3 million and $3.9 million for three and six months ended June 30, 2025, respectively. As of June 30, 2026 and December 31, 2025, the Company had recorded approximately $9.0 million and $12.6 million of deferred grant funding liability related to this award in the Company’s condensed consolidated balance sheets, respectively.</w:t>
      </w:r>
    </w:p>
    <w:p>
      <w:pPr>
        <w:pStyle w:val="TextBody"/>
        <w:bidi w:val="0"/>
        <w:spacing w:before="0" w:after="0"/>
        <w:ind w:left="0" w:right="0" w:firstLine="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11.</w:t>
            </w:r>
          </w:p>
        </w:tc>
        <w:tc>
          <w:tcPr>
            <w:tcW w:w="221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NET LOSS PER SHARE</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 Dilutive securities are excluded from the diluted EPS calculation if their effect is anti-dilutive.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potentially dilutive outstanding securities were excluded from diluted EPS for the period indicated because of their anti-dilutive effect: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30"/>
        <w:gridCol w:w="60"/>
        <w:gridCol w:w="60"/>
        <w:gridCol w:w="1085"/>
        <w:gridCol w:w="60"/>
        <w:gridCol w:w="60"/>
        <w:gridCol w:w="60"/>
        <w:gridCol w:w="1085"/>
        <w:gridCol w:w="60"/>
        <w:gridCol w:w="60"/>
        <w:gridCol w:w="60"/>
        <w:gridCol w:w="1085"/>
        <w:gridCol w:w="60"/>
        <w:gridCol w:w="60"/>
        <w:gridCol w:w="60"/>
        <w:gridCol w:w="1085"/>
        <w:gridCol w:w="75"/>
      </w:tblGrid>
      <w:tr>
        <w:trPr/>
        <w:tc>
          <w:tcPr>
            <w:tcW w:w="5130" w:type="dxa"/>
            <w:tcBorders>
              <w:bottom w:val="single" w:sz="8" w:space="0" w:color="000000"/>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Potentially dilutive securities</w:t>
            </w:r>
          </w:p>
        </w:tc>
        <w:tc>
          <w:tcPr>
            <w:tcW w:w="60" w:type="dxa"/>
            <w:tcBorders/>
            <w:tcMar>
              <w:bottom w:w="0" w:type="dxa"/>
            </w:tcMar>
            <w:vAlign w:val="center"/>
          </w:tcPr>
          <w:p>
            <w:pPr>
              <w:pStyle w:val="TableContents"/>
              <w:bidi w:val="0"/>
              <w:spacing w:before="0" w:after="283"/>
              <w:jc w:val="left"/>
              <w:rPr/>
            </w:pPr>
            <w:r>
              <w:rPr/>
              <w:t> </w:t>
            </w:r>
          </w:p>
        </w:tc>
        <w:tc>
          <w:tcPr>
            <w:tcW w:w="2410" w:type="dxa"/>
            <w:gridSpan w:val="6"/>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Three Months Ended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0" w:type="dxa"/>
            <w:gridSpan w:val="6"/>
            <w:tcBorders>
              <w:bottom w:val="single" w:sz="8" w:space="0" w:color="000000"/>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Six Months Ended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75" w:type="dxa"/>
            <w:tcBorders/>
            <w:tcMar>
              <w:bottom w:w="0" w:type="dxa"/>
            </w:tcMar>
            <w:vAlign w:val="center"/>
          </w:tcPr>
          <w:p>
            <w:pPr>
              <w:pStyle w:val="TableContents"/>
              <w:bidi w:val="0"/>
              <w:spacing w:before="0" w:after="283"/>
              <w:jc w:val="left"/>
              <w:rPr/>
            </w:pPr>
            <w:r>
              <w:rPr/>
              <w:t> </w:t>
            </w:r>
          </w:p>
        </w:tc>
      </w:tr>
      <w:tr>
        <w:trPr/>
        <w:tc>
          <w:tcPr>
            <w:tcW w:w="5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513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1,121,802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1,121,802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1,940,371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1,268,572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1,940,371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1,268,572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3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issuable upon settlement of restricted stock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145,969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145,969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issuable upon conversion of Series A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151,800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151,800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3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issuable upon exercise or conversion of the securities underlying the Agent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3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08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4,154,350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08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2,390,374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08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4,154,350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08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2,390,374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00" w:right="0" w:hanging="90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 SEGMENT INFORMATION</w:t>
      </w:r>
    </w:p>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the segment’s financial information including the Company’s significant segment expenses: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2"/>
        <w:gridCol w:w="60"/>
        <w:gridCol w:w="155"/>
        <w:gridCol w:w="1160"/>
        <w:gridCol w:w="95"/>
        <w:gridCol w:w="60"/>
        <w:gridCol w:w="155"/>
        <w:gridCol w:w="1160"/>
        <w:gridCol w:w="95"/>
        <w:gridCol w:w="60"/>
        <w:gridCol w:w="164"/>
        <w:gridCol w:w="1234"/>
        <w:gridCol w:w="100"/>
        <w:gridCol w:w="63"/>
        <w:gridCol w:w="164"/>
        <w:gridCol w:w="1234"/>
        <w:gridCol w:w="114"/>
      </w:tblGrid>
      <w:tr>
        <w:trPr/>
        <w:tc>
          <w:tcPr>
            <w:tcW w:w="4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Three Months Ended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9"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 June 30,</w:t>
            </w:r>
          </w:p>
        </w:tc>
        <w:tc>
          <w:tcPr>
            <w:tcW w:w="114" w:type="dxa"/>
            <w:tcBorders/>
            <w:vAlign w:val="center"/>
          </w:tcPr>
          <w:p>
            <w:pPr>
              <w:pStyle w:val="TableContents"/>
              <w:bidi w:val="0"/>
              <w:spacing w:before="0" w:after="283"/>
              <w:jc w:val="left"/>
              <w:rPr/>
            </w:pPr>
            <w:r>
              <w:rPr/>
              <w:t> </w:t>
            </w:r>
          </w:p>
        </w:tc>
      </w:tr>
      <w:tr>
        <w:trPr/>
        <w:tc>
          <w:tcPr>
            <w:tcW w:w="4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114" w:type="dxa"/>
            <w:tcBorders/>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 services and royalty revenue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340,001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revenue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340,001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Cost of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319,889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562,214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Segment operating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Direct program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Ovaprene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843,503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1,316,372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2,075,263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2,812,101</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Sildenafil Cream </w:t>
            </w:r>
            <w:r>
              <w:rPr>
                <w:rFonts w:ascii="Arial;Helvetica;Sans-Serif" w:hAnsi="Arial;Helvetica;San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134,769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49,881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202,560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261,270</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advanced clinical stage programs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1,244,028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975,489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1,619,791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1,466,051</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Phase 1 and Phase 1-ready clinical stage programs </w:t>
            </w:r>
            <w:r>
              <w:rPr>
                <w:rFonts w:ascii="Arial;Helvetica;Sans-Serif" w:hAnsi="Arial;Helvetica;San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164,068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628,595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260,123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1,125,342</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Preclinical stage programs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1,457,723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1,718,320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2,626,102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2,767,058</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Personnel-related (including stock-based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1,084,019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1,209,437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2,276,881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2,701,684</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Contra-R&amp;D expenses </w:t>
            </w:r>
            <w:r>
              <w:rPr>
                <w:rFonts w:ascii="Arial;Helvetica;Sans-Serif" w:hAnsi="Arial;Helvetica;San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(4,017,949</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(3,780,794</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(7,087,095</w:t>
            </w:r>
          </w:p>
        </w:tc>
        <w:tc>
          <w:tcPr>
            <w:tcW w:w="10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(6,399,167</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research and development direct program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910,161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1,973,625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4,734,339</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Indirect costs: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indirect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30,654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70,462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59,500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199,196</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Contra R&amp;D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(698,849</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(759,000</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(1,130,697</w:t>
            </w:r>
          </w:p>
        </w:tc>
        <w:tc>
          <w:tcPr>
            <w:tcW w:w="10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(1,207,392</w:t>
            </w:r>
          </w:p>
        </w:tc>
        <w:tc>
          <w:tcPr>
            <w:tcW w:w="1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research and development indirect costs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(668,195</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(688,538</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(1,071,197</w:t>
            </w:r>
          </w:p>
        </w:tc>
        <w:tc>
          <w:tcPr>
            <w:tcW w:w="10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3"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(1,008,196</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241,966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1,428,762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902,428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3,726,143</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2,593,671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2,377,866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4,842,237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4,687,030</w:t>
            </w:r>
          </w:p>
        </w:tc>
        <w:tc>
          <w:tcPr>
            <w:tcW w:w="114" w:type="dxa"/>
            <w:tcBorders/>
            <w:shd w:fill="CCEEFF" w:val="clear"/>
            <w:vAlign w:val="center"/>
          </w:tcPr>
          <w:p>
            <w:pPr>
              <w:pStyle w:val="TableContents"/>
              <w:bidi w:val="0"/>
              <w:spacing w:before="0" w:after="283"/>
              <w:jc w:val="left"/>
              <w:rPr/>
            </w:pPr>
            <w:r>
              <w:rPr/>
              <w:t> </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segment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2,835,637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3,806,628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5,744,665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8,413,173</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Loss from operations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(2,967,980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(3,827,800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(5,966,878</w:t>
            </w:r>
          </w:p>
        </w:tc>
        <w:tc>
          <w:tcPr>
            <w:tcW w:w="10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(8,408,918</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Interest expense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190,965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268,532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390,359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402,583</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Interest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(176,145</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(69,847</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(367,833</w:t>
            </w:r>
          </w:p>
        </w:tc>
        <w:tc>
          <w:tcPr>
            <w:tcW w:w="10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(226,469</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132"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income,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6,742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190,242</w:t>
            </w:r>
          </w:p>
        </w:tc>
        <w:tc>
          <w:tcPr>
            <w:tcW w:w="114" w:type="dxa"/>
            <w:tcBorders/>
            <w:shd w:fill="FFFFFF" w:val="clear"/>
            <w:vAlign w:val="center"/>
          </w:tcPr>
          <w:p>
            <w:pPr>
              <w:pStyle w:val="TableContents"/>
              <w:bidi w:val="0"/>
              <w:spacing w:before="0" w:after="283"/>
              <w:jc w:val="left"/>
              <w:rPr/>
            </w:pPr>
            <w:r>
              <w:rPr/>
              <w:t> </w:t>
            </w:r>
          </w:p>
        </w:tc>
      </w:tr>
      <w:tr>
        <w:trPr/>
        <w:tc>
          <w:tcPr>
            <w:tcW w:w="4132"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(2,982,773</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(4,016,483</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(5,982,662</w:t>
            </w:r>
          </w:p>
        </w:tc>
        <w:tc>
          <w:tcPr>
            <w:tcW w:w="10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3"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(8,394,790</w:t>
            </w:r>
          </w:p>
        </w:tc>
        <w:tc>
          <w:tcPr>
            <w:tcW w:w="1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(1)</w:t>
            </w:r>
          </w:p>
        </w:tc>
        <w:tc>
          <w:tcPr>
            <w:tcW w:w="993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applicable program(s) receive grant funding and/or the Tax Incentive. The amount of R&amp;D expense for the period indicated is shown on a gross basis (i.e., without deducting the amount of contra R&amp;D expense for the applicable program(s). See footnote (3) below.</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(2)</w:t>
            </w:r>
          </w:p>
        </w:tc>
        <w:tc>
          <w:tcPr>
            <w:tcW w:w="993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amount of expenses includes expenses for Sildenafil Cream, 3.6% and DARE to PLAY Sildenafil Cream.</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(3)</w:t>
            </w:r>
          </w:p>
        </w:tc>
        <w:tc>
          <w:tcPr>
            <w:tcW w:w="993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These contra R&amp;D expenses were recognized as follows for the three months ended June 30, 2026 and 2025: (a) Ovaprene, $0.8 million and $0.4 million, respectively; (b) other advanced clinical stage programs, $1.3 million and $1.0 million, respectively, (c) Phase 1 and Phase 1-ready clinical stage programs, $0 and $0.1 million, respectively; and (d) preclinical stage programs, $1.9 million and $2.2 million, respectively. </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These contra R&amp;D expenses were recognized as follows for the six months ended June 30, 2026 and 2025: (a) Ovaprene, $1.7 million and $0.9 million, respectively; (b) other advanced clinical stage programs, $1.8 million and $1.5 million, respectively, (c) Phase 1 and Phase 1-ready clinical stage programs, $0 million and $0.2 million, respectively; and (d) preclinical stage programs, $3.6 million and $3.8 million,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13.</w:t>
            </w:r>
          </w:p>
        </w:tc>
        <w:tc>
          <w:tcPr>
            <w:tcW w:w="2225" w:type="dxa"/>
            <w:tcBorders/>
            <w:vAlign w:val="center"/>
          </w:tcPr>
          <w:p>
            <w:pPr>
              <w:pStyle w:val="TableContents"/>
              <w:bidi w:val="0"/>
              <w:spacing w:before="0" w:after="283"/>
              <w:jc w:val="both"/>
              <w:rPr>
                <w:rFonts w:ascii="Arial;Helvetica;Sans-Serif" w:hAnsi="Arial;Helvetica;Sans-Serif"/>
                <w:b/>
                <w:sz w:val="20"/>
              </w:rPr>
            </w:pPr>
            <w:r>
              <w:rPr>
                <w:rFonts w:ascii="Arial;Helvetica;Sans-Serif" w:hAnsi="Arial;Helvetica;Sans-Serif"/>
                <w:b/>
                <w:sz w:val="20"/>
              </w:rPr>
              <w:t>SUBSEQUENT EVENTS</w:t>
            </w:r>
          </w:p>
        </w:tc>
      </w:tr>
    </w:tbl>
    <w:p>
      <w:pPr>
        <w:pStyle w:val="TextBody"/>
        <w:bidi w:val="0"/>
        <w:spacing w:before="0" w:after="0"/>
        <w:ind w:left="900" w:right="0" w:hanging="90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Insurance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July 2026, the Company obtained financing for certain director and officer and other insurance premiums. The total amount financed was approximately $0.5 million, with an annual interest rate of approximately 7.32%. In consideration of the premium payment by the lender to the insurance companies or the agent or broker, the Company unconditionally promised to pay the lender the amount financed plus interest and other charges and the Company assigned to the lender a first priority lien on and a security interest in the financed insurance policies. Monthly installment payments on the financed amount are due through March 20, 2027. The financed amount will be recognized as an insurance financing cost included in other current assets and accrued expenses in the Company’s condensed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July 13, 2026, the Company was notified by the Nasdaq Listing Qualifications Staff (the “Staff”) that, because the Company’s Form 10-Q for the period ended March 31, 2026 reported stockholders’ equity of less than $2.5 million and, as of July 13, 2026, the Company did not meet the alternative requirements of $35 million in market value of listed securities or $500,000 in net income from continuing operations, the Company no longer complies with Nasdaq Listing Rule 5550(b) (the “Rule”) and, as such, the Company’s common stock is subject to delisting from Nasdaq unless the Company timely requests a hearing to address the deficiency before a Nasdaq Hearing Panel (the “Panel”). The Company requested a hearing before the Panel, which request stayed the suspension and delisting of the Company’s common stock at least pending the issuance of the Panel’s decision following the hearing and the expiration of any extension period that may be granted by the Panel. The hearing is scheduled for late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can be no assurance that the Panel will grant the Company’s request for an extension to evidence compliance with the Rule, or if any such extension period is granted, that the Company will regain compliance with the Rule within such extension period, or that the Company will be successful in otherwise maintaining the listing of its common stock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Sales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Subsequent to June 30, 2026, the Company sold 120,000 shares of its common stock under its purchase agreement with Lincoln Park for aggregate gross proceeds of approximately $0.2 million, resulting in aggregate proceeds of approximately $0.2 million net of commissions and other offering expenses of approximately $9,400. For a discussion of the purchase agreement, see Note 4, Stockholders’ Equity.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4" w:name="sa_001"/>
      <w:bookmarkEnd w:id="4"/>
      <w:r>
        <w:rPr>
          <w:rFonts w:ascii="Arial;Helvetica;Sans-Serif" w:hAnsi="Arial;Helvetica;San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following discussion and analysis of financial condition and results of operations should be read in conjunction with our unaudited condensed consolidated financial statements and notes thereto included in this Quarterly Report on Form 10-Q and our audited consolidated financial statements and notes thereto for the year ended December 31, 2025 included in our Annual Report on Form 10-K for the year ended December 31, 2025, or our 2025 10-K, filed with the Securities and Exchange Commission, or SEC, on March 26, 2026. Past operating results are not necessarily indicative of results that may occur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2025 10-K, and in our subsequent filings with the SEC, including any discussed in Part II, Item 1A of this report under the heading “Risk Factors,” which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use the term “Section 503B compounding,” “503B compounding,” or similar terms to refer to the production and supply of compounded drugs by outsourcing facilities registered under Section 503B of the FDCA without patient-specific prescriptions in accordance with Section 503B of the FDCA.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is a registered trademark of Daré Bioscience, Inc. and DARE to PLAY™, DARE to RESTORE™, Flora Sync LF5™, and DARE to RECLAIM™ are trademarks of Daré Bioscience, Inc. with registration pending. Ovaprene® is a registered trademark licensed to Daré Bioscience, Inc. XACIATO® is a registered trademark of N.V. Organon.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sexual health to fertility, vaginal health to infectious disease, we’re working to close critical gaps in care using science that serves her needs. In March 2025, we announced an expansion of our business model to include a dual-path approach to bringing new products to market. For select proprietary formulations, we are pursuing both traditional FDA approval 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Section 503B Compounding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proprietary topical cream formulation of sildenafil is our first product to market under Section 503B. The compounded drug is branded as DARE to PLAY Sildenafil Cream and became available for pre-order fulfillment by prescription in the U.S. in December 2025. We expect product to begin shipping and to record revenue from sales thereof in the third quarter of 2026, however, we do not expect the amount of such revenue, if any, to be material during 2026. The amount of potential revenue we may generate remains uncertain because we are in the early stages of executing against our Section 503B compounding strategy, we rely on a third-party Section 503B-registered outsourcing facility to manufacture DARE to PLAY and to obtain and maintain all state-level pharmacy and outsourcing facility licenses required to fulfill DARE to PLAY prescriptions, and, as an organization, we have no experience in and limited infrastructure for commercializing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also taking action to bring our proprietary estradiol progesterone intravaginal ring (DARE-HRT1) to market under Section 503B. The compounded product will be branded as DARE to RECLAIM. We are targeting to have DARE to RECLAIM available in 2027. There are no FDA-approved products that provide estradiol and progesterone together in a non-oral monthly form.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Consumer Health Products - DARE to RESTORE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launched our first consumer health product, Flora Sync LF5, in June 2026 under the brand family DARE to RESTORE. Flora Sync LF5 is a vaginal probiotic suppository formulated with Limosilactobacillus fermentum LF5, a clinically studied probiotic strain originally isolated from the vaginal microbiome of women with no reported history of yeast infections, manufactured by Probiotical S.p.A. in Italy. Flora Sync LF5 is available in the United States exclusively through the DARE Health Hub, an online platform operated by Medvantx Pharmacy.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Pipeline: Clinical Stage and Pre-Clinical Stage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2025 10-K and “—Recent Events—Product Candidate Updates,” below, for additional information regarding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XACIATO®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first FDA-approved product to emerge from our portfolio is XACIATO® (clindamycin phosphate) vaginal gel 2%, or XACIATO, was approved by the FDA in December 2021, as a single-dose prescription medication for the treatment of bacterial vaginosis in females 12 years of age and older. In 2022, we licensed exclusive worldwide rights to develop, manufacture and commercialize XACIATO to Organon and in April 2024, we sold our rights to all royalty and potential milestone payments based on net sales of XACIATO under our agreement with Organon to XOMA. See Note 3 “Strategic Agreements” and Note 8 “Royalty Purchase Agreements” to the condensed consolidated financial statements included in this report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IND-enabling preclinical work, and with respect to DARE-HPV, through our ongoing Phase 2 clinical study. See Note 10, “Grant Awards” to the accompanying condensed consolidated financial statements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sales, marketing and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discussed below, we will need to raise substantial additional capital to continue to fund our operations and execute our current business strategy. Our business is subject to a number of risks common to biopharmaceutical companies (see Item 1A. Risk Factors in Part II of this report)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Commercial Launch of First Consumer Health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discussed above, our first consumer health product, Flora Sync LF5, became available for purchase in the U.S.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Product Candidate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Ovaprene®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Enrollment is ongoing in our pivotal Phase 3 multicenter, single-arm, non-comparative clinical study of Ovaprene to evaluate its effectiveness as a contraceptive along with its safety and acceptability (ClinicalTrials.gov ID: NCT06127199). We intend to maintain active recruitment at five study sites, supported by funding received under a grant agreement we entered into in November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May 2026, the study’s data safety monitoring board (DSMB), an independent group of experts which evaluates the safety and integrity of the study, conducted a second planned interim analysis and recommended the study continue without modification. As was the case with the data presented to the DSMB in July 2025, these interim data showed that approximately 9% of the women treated in the study had experienced a pregnancy. No new types of adverse events or tolerability concerns were identified. Neither an increase in the frequency of adverse events nor the emergence of new types of adverse events was observed with prolonged Ovaprene use. Approximately 12% of participants discontinued the study due to vaginal odor, the most commonly reported product-related adverse event, which is a 5% decrease compared to data reviewed by the DSMB in July 2025. No serious adverse events related to the study device were identified. A majority of participants who had completed the study reported they would be very likely or likely to use Ovaprene if it became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interim analysis, the DSMB reviewed data from 339 study subjects, contributing 1,789 menstrual cycles of safety data. The study protocol calls for at least 2,500 cycles of exposure and expects that at least 250 subjects would complete 13 menstrual cycles of use, whom we refer to as completers. Based on current enrollment trends, we expect to achieve 2,500 menstrual cycles of exposure before 250 completers. Interim data reviewed by the DSMB indicate that prolonged product use was not associated with the emergence of new types of adverse events or an increase in the frequency of adverse events, which we believe may support the sufficiency of fewer than 250 completers to evaluate Ovaprene’s safety profile. We engaged with the FDA regarding these findings and proposed amending the study protocol to remove the specific expectation of at least 250 completers. In August 2026, the FDA approved our proposed protocol amendment, but also cautioned that it believes implementing the proposed modification would result in a study that is not able to generate sufficient evidence of Ovaprene’s safety profile to support a favorable premarket approval decision. We intend to continue engagement with FDA on this point as well as the additional study design and future premarket approval submission considerations it provided. Based on the interim safety data reviewed by the DSMB, including the absence of new types of adverse events or increased frequency of adverse events with prolonged use, and the study’s expected achievement of at least 2,500 menstrual cycles of exposure, we believe the amended protocol will generate sufficient safety data to support a premarket approval submission, although there can be no assurance that the FDA will agree. We currently expect to proceed to amend the protocol to eliminate the 250 completer expectation and to enroll sufficient women in 2026 to achieve at least 2,500 menstrual cycles of exposure in 2027, supporting a top line data announcement in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DARE-HPV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May 2026, we announced the initiation of a randomized, placebo-controlled, double-blinded Phase 2 clinical study of DARE-HPV to evaluate the safety and antiviral activity of a lower and higher dose of DARE-HPV in approximately 100 women with persistent high-risk HPV infection (ClinicalTrials.gov ID: NCT07601074). The primary endpoint is HPV clearance rate at three months post end of treatment. Secondary endpoints include safety, tolerability, and reduction in viral load. The ongoing Phase 2 study is supported by ARPA-H award funding. We currently expect to report topline data from the study in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Receipt of Payment Under October 2024 Grant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May 2026, we received a payment of $1.5 million under the subaward agreement we entered into with National Collegiate Inventors and Innovators Alliance, Inc. d/b/a VentureWell in October 2024 to support the development of DARE-HPV, which was the result of our selection for an initiative award by the Advanced Research Projects Agency for Health (ARPA-H), part of the U.S. Department of Health and Human Services. For a discussion of this agreement, see Note 10, “Grant Awards” to the accompanying condensed consolidated financial statements. Taking into account this payment, we have received a cumulative total of approximately $9.0 million of the up to $10.0 million in potential funding under the subaward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July 13, 2026, in accordance with Nasdaq Listing Rule 5815(d)(4)(B), we received a delisting determination letter from the Listing Qualifications Staff (the “Staff”) of The Nasdaq Stock Market LLC (“Nasdaq”). The Staff informed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and the Staff was not permitted to grant additional time for us to regain compliance because, as previously reported, we were subject to a mandatory monitoring period of one-year from July 24, 2025 due to previous noncompliance with Nasdaq Listing Rule 5550(b)(1). We were permitted to request an appeal of the Staff’s delisting determination and a hearing to address the deficiency before a Nasdaq Hearing Panel (the “Panel”). We timely submitted the hearing request, which stayed the suspension and delisting of our common stock at least pending the issuance of the Panel’s decision following the hearing and the expiration of any extension period that may be granted by the Panel. The hearing has been scheduled for late August 2026. Pursuant to published Nasdaq guidance, the Panel typically issues its decision within 30 days of the hearing.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Following the hearing, the Panel may, as it deems appropriate, grant an extension period not to exceed 180 days from the date of the Staff’s delisting determination letter for us to evidence compliance with Nasdaq Listing Rule 5550(b), suspend and delist our common stock from The Nasdaq Capital Market, or find us in compliance with all applicable listing standards. There can be no assurance that our hearing before the Panel will result in a favorable outcome or, if any extension period is granted, that we will regain compliance with Nasdaq Listing Rule 5550(b) within such extension period or that we will be successful in otherwise maintaining the listing of our common stock on The Nasdaq Capital Market. See the risk factor titled, </w:t>
      </w:r>
      <w:r>
        <w:rPr>
          <w:rFonts w:ascii="Arial;Helvetica;Sans-Serif" w:hAnsi="Arial;Helvetica;Sans-Serif"/>
          <w:b w:val="false"/>
          <w:i/>
          <w:caps w:val="false"/>
          <w:smallCaps w:val="false"/>
          <w:sz w:val="2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r>
        <w:rPr>
          <w:rFonts w:ascii="Arial;Helvetica;Sans-Serif" w:hAnsi="Arial;Helvetica;Sans-Serif"/>
          <w:b w:val="false"/>
          <w:i w:val="false"/>
          <w:caps w:val="false"/>
          <w:smallCaps w:val="false"/>
          <w:sz w:val="20"/>
        </w:rPr>
        <w:t>, under the heading “Risk Factors” in Part II, Item 1A of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Macroeconomic, Political, and Regulatory Environment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financial condition, operating results, and our ability to raise additional capital may be adversely affected by the uncertainty in the U.S. and global macroeconomic, political, and regulatory environments, such as inflation, trade disruptions and restrictive measures, including tariffs, interest rate uncertainty, slowed economic growth or recession, uncertainty with respect to the federal budget and debt ceiling, potential or prolonged U.S. government shutdowns,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bring to market. Further, the service providers, manufacturers, vendors, and collaborators on which we rely may be adversely affected by the foregoing risks, which could directly impact our ability to achieve our operating goals within planned timelines and budgets.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Moreover, we have benefited significantly from federal government funding through grants and other agreements in support of several of our development programs, including Ovaprene and DARE-HPV. In early 2025, the U.S. presidential administration took actions to freeze billions of dollars in NIH grants, and the status of NIH grant funding has continued to evolve since that time as a result of additional executive actions, legal challenges, and court orders, and the long-term status of many grants remains uncertain.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continue to evolve, we are not able to reasonably predict the full extent of the potential impact on our business at this time. For additional information, see the risk factors described in Part II, Item 1A, Risk Factors in this report and Part I, Item 1A. Risk Factors in our 2025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six months ended June 30, 2026, substantially all of our revenue relates to two agreements we entered into with the Gates Foundation, or the Foundation, under which we provide research and development services related to preeclampsia and the contraceptive market. We commenced work under both agreements in November 2025. We may receive up to approximately $499,000 under the agreement related to preeclampsia, and up to approximately $300,000 under the agreement related to the contraceptive market. We began recording revenue from sales of Flora Sync LF5 in July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of our revenue for 2025 was royalties from net sales of XACIATO, which have been paid to UiE under our royalty interest financing agreement with UiE, and recognized as non-cash royalty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future, we may generate revenue from license fees, milestone payments, and research and development payments in connection with strategic collaborations, and from product sales, including sales of 503B compounded products, consumer health products, and FDA-approved products, if any. We expect to begin recording revenue from sales of DARE to PLAY in the third quarter of 2026. Our ability to generate such revenue will depend on the extent to which we are successful in executing against our Section 503B strategy, the extent to which the clinical development of our product candidates is successful, and whether we or a strategic collaborator receive the regulatory approvals necessary to market such product candidates, as well as the eventual commercial success of any FDA-approved products. If we fail to successfully achieve any of the foregoing, our ability to generate future revenue and our results of operations would be materially adversely affected.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revenues primarily represent expenses associated with medical education and consumer awareness related to the commercialization of DARE to PLAY through our 503B business model and the costs of providing research and development services to the Foundation. Beginning in the third quarter of 2026, cost of revenues will also include costs related to sales of Flora Sync LF5.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Research and development, or R&amp;D, represents a core operational focus. We are advancing multiple product candidates through preclinical and clinical development, supported in part by significant non-dilutive grant funding from governmental and non-governmental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Although our R&amp;D activities remain substantial, as explained in more detail below, grant funding and other financial awards offset a significant portion of our R&amp;D expenses. As a result, our reported operating expenses may appear to be weighted more heavily toward selling, general and administrative, or SG&amp;A, expenses. However, this reflects the reduction to R&amp;D expenses (contra R&amp;D expense) as a result of grant funding and other financial awards, rather than a reduction in our commitment to or investment in R&amp;D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expect our R&amp;D expenses will continue to represent the majority of our operating expenses, on a pre-contra R&amp;D expenses basis, for at least the next twelve months. R&amp;D expenses consist primarily of:</w:t>
      </w:r>
    </w:p>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 program costs, including:</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contract manufacturing expenses, primarily for the production of materials for use in our clinical trials and nonclinical studies;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expenses related to production of select proprietary formulations by 503B-registered outsourcing facilities prior to commercial launch of the product via Section 503B compounding;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transaction costs related to acquisitions of companies, technologies and related intellectual property, and other assets,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milestone payments due to third parties under acquisition and in-licensing arrangements based on our product candidates’ achievement of R&amp;D and regulatory milestones specified therein, and</w:t>
            </w:r>
          </w:p>
        </w:tc>
      </w:tr>
    </w:tbl>
    <w:p>
      <w:pPr>
        <w:pStyle w:val="TextBody"/>
        <w:bidi w:val="0"/>
        <w:spacing w:before="0" w:after="0"/>
        <w:ind w:left="0" w:right="0" w:firstLine="36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170"/>
        <w:gridCol w:w="2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1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indirect costs, including:</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personnel-related costs, including salaries, bonuses, benefits, payroll taxes, and stock-based compensation expenses for employees engaged in R&amp;D functions,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of services performed by third parties, including consulting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facilities-related costs, including rent and maintenance costs, and insurance, depreciation, supplies, and miscellaneous expenses,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travel, conference participation, service contracts, information technology, dues and subscriptions.</w:t>
            </w:r>
          </w:p>
        </w:tc>
      </w:tr>
    </w:tbl>
    <w:p>
      <w:pPr>
        <w:pStyle w:val="TextBody"/>
        <w:bidi w:val="0"/>
        <w:spacing w:before="0" w:after="0"/>
        <w:ind w:left="1080" w:right="0" w:hanging="45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(contra-R&amp;D expense). For more information, see Note 2 “Basis of Presentation and Summary of Significant Accounting Policies–Grant Funding” to our consolidated financial statements contained in our 2025 10-K and Note 10 “Grant Awards” to the accompanying condensed consolidated financial statements. We recognized contra-R&amp;D expense of approximately $4.7 million and $8.2 million for the three and six months ended June 30, 2026, respectively, and $4.5 million and $7.6 million for the three and six months ended June 30, 2025, respectively.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 results of ongoing and future clinical trials and preclinical studies, regulatory developments, and our ongoing assessments as to the commercial potential of each product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 any products we develop.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SG&amp;A expenses consist of personnel costs, facility expenses, expenses for outside professional services, including legal, audit and accounting services, commercial-readiness expenses, including for Section 503B compounded drug products and consumer health products,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2025 10-K. Since December 31, 2025, there have been no material changes to our critical accounting policies or the methodologies or assumptions we apply under them except for as described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Research and Development Services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entered into two services agreements with the Foundation (the “Foundation Services Agreements”) pursuant to which we provide research and development support services. Revenue from these arrangements is recognized in accordance with ASC 606. Additional information is included in Note 2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consider revenue recognition under the Foundation Services Agreements to be a critical accounting policy due to the judgments required in determining the appropriate pattern of revenue recognition and in measuring variable consideration. We recognize revenue over time under both agreements. This determination requires judgment in evaluating whether the customer simultaneously receives and consumes the benefits of our performance or whether our performance creates an asset with no alternative use and an enforceable right to payment for performance completed to date. These conclusions are based on the specific contractual terms and the nature of the services provided. The transaction price under the Foundation Services Agreements is variable and is based on actual hours incurred by designated personnel at contractually specified billing rates. We recognize revenue in the period in which services are performed and apply judgment in determining the appropriate level of effort incurred and the allocation of personnel time to the contracts. Changes in estimates of hours incurred or services performed could result in variability in the timing and amount of revenue recognized. For arrangements involving delivery of a defined work product, revenue is recognized based on progress toward completion. We apply judgment in measuring progress, including estimating total expected effort. Changes in these estimates could result in adjustments to revenue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Because we invoice the Foundation in arrears, revenue recognized may exceed amounts invoiced, resulting in contract assets. We evaluate such balances to ensure revenue recognized appropriately reflects the transfer of services. Changes in our judgments or estimates regarding performance obligations, measure of progress, or variable consideration could materially impact the amount and timing of revenue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Comparison of Three Months Ended June 30, 2026 and 2025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our condensed consolidated results of operations for the periods indicated, together with the changes in those items in terms of dollars and percentage: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9"/>
        <w:gridCol w:w="60"/>
        <w:gridCol w:w="155"/>
        <w:gridCol w:w="1160"/>
        <w:gridCol w:w="95"/>
        <w:gridCol w:w="60"/>
        <w:gridCol w:w="155"/>
        <w:gridCol w:w="1160"/>
        <w:gridCol w:w="95"/>
        <w:gridCol w:w="60"/>
        <w:gridCol w:w="155"/>
        <w:gridCol w:w="1160"/>
        <w:gridCol w:w="95"/>
        <w:gridCol w:w="60"/>
        <w:gridCol w:w="60"/>
        <w:gridCol w:w="425"/>
        <w:gridCol w:w="301"/>
      </w:tblGrid>
      <w:tr>
        <w:trPr/>
        <w:tc>
          <w:tcPr>
            <w:tcW w:w="49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Change</w:t>
            </w:r>
          </w:p>
        </w:tc>
        <w:tc>
          <w:tcPr>
            <w:tcW w:w="301" w:type="dxa"/>
            <w:tcBorders/>
            <w:vAlign w:val="center"/>
          </w:tcPr>
          <w:p>
            <w:pPr>
              <w:pStyle w:val="TableContents"/>
              <w:bidi w:val="0"/>
              <w:spacing w:before="0" w:after="283"/>
              <w:jc w:val="left"/>
              <w:rPr/>
            </w:pPr>
            <w:r>
              <w:rPr/>
              <w:t> </w:t>
            </w:r>
          </w:p>
        </w:tc>
      </w:tr>
      <w:tr>
        <w:trPr/>
        <w:tc>
          <w:tcPr>
            <w:tcW w:w="49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301" w:type="dxa"/>
            <w:tcBorders/>
            <w:vAlign w:val="center"/>
          </w:tcPr>
          <w:p>
            <w:pPr>
              <w:pStyle w:val="TableContents"/>
              <w:bidi w:val="0"/>
              <w:spacing w:before="0" w:after="283"/>
              <w:jc w:val="left"/>
              <w:rPr/>
            </w:pPr>
            <w:r>
              <w:rPr/>
              <w:t> </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jc w:val="left"/>
              <w:rPr/>
            </w:pPr>
            <w:r>
              <w:rPr/>
              <w:t> </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 services and royalty revenue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208,718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986</w:t>
            </w:r>
          </w:p>
        </w:tc>
        <w:tc>
          <w:tcPr>
            <w:tcW w:w="301"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revenue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187,546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208,718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986</w:t>
            </w:r>
          </w:p>
        </w:tc>
        <w:tc>
          <w:tcPr>
            <w:tcW w:w="301"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Cost of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319,889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319,889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N/A</w:t>
            </w:r>
          </w:p>
        </w:tc>
        <w:tc>
          <w:tcPr>
            <w:tcW w:w="301" w:type="dxa"/>
            <w:tcBorders/>
            <w:shd w:fill="FFFFFF" w:val="clear"/>
            <w:vAlign w:val="center"/>
          </w:tcPr>
          <w:p>
            <w:pPr>
              <w:pStyle w:val="TableContents"/>
              <w:bidi w:val="0"/>
              <w:spacing w:before="0" w:after="283"/>
              <w:jc w:val="left"/>
              <w:rPr/>
            </w:pPr>
            <w:r>
              <w:rPr/>
              <w:t> </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jc w:val="left"/>
              <w:rPr/>
            </w:pPr>
            <w:r>
              <w:rPr/>
              <w:t> </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2,593,671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2,377,866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215,805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w:t>
            </w:r>
          </w:p>
        </w:tc>
        <w:tc>
          <w:tcPr>
            <w:tcW w:w="301"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241,966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1,428,762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(1,186,796</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w:t>
            </w:r>
          </w:p>
        </w:tc>
        <w:tc>
          <w:tcPr>
            <w:tcW w:w="301"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2,835,637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3,806,628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(970,991</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w:t>
            </w:r>
          </w:p>
        </w:tc>
        <w:tc>
          <w:tcPr>
            <w:tcW w:w="301"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Loss from operations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(2,967,980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(3,827,800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859,820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w:t>
            </w:r>
          </w:p>
        </w:tc>
        <w:tc>
          <w:tcPr>
            <w:tcW w:w="301"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expense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(14,793</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(188,683</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173,890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(92</w:t>
            </w:r>
          </w:p>
        </w:tc>
        <w:tc>
          <w:tcPr>
            <w:tcW w:w="301"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(2,982,773</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(4,016,483</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1,033,710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w:t>
            </w:r>
          </w:p>
        </w:tc>
        <w:tc>
          <w:tcPr>
            <w:tcW w:w="301"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494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(10,668</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w:t>
            </w:r>
          </w:p>
        </w:tc>
        <w:tc>
          <w:tcPr>
            <w:tcW w:w="301"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4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(2,980,548</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(4,003,590</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1,023,042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w:t>
            </w:r>
          </w:p>
        </w:tc>
        <w:tc>
          <w:tcPr>
            <w:tcW w:w="301"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of approximately $0.2 million in revenue for the three months ended June 30, 2026 as compared to the three months ended June 30, 2025 was attributable to R&amp;D services revenues from the agreements we entered into with the Foundation in September and October 2025, partially offset by a decrease in non-cash royalty revenues related to XACIATO. See “—Financial Overview—Revenue,” above for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revenues increased by approximately $0.3 million compared to the prior period, which had no comparable activity. Cost of revenues related to the cost of performing research and development services under our R&amp;D services agreements we entered into with the Foundation in September and October 2025, and to expenses associated with medical education and awareness related to the commercialization of DARE to 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of approximately $0.2 million in SG&amp;A expenses for the three months ended June 30, 2026 as compared to the three months ended June 30, 2025 was primarily attributable to an approximately $0.3 million non-cash write down of previously deferred offering costs, an increase of approximately $0.1 million in personnel costs, and an increase of approximately $0.1 million in commercial-readiness expenses driven by execution against our expanded business strategy, partially offset by decreases of approximately $0.2 million in professional services and approximately $0.1 million in stock-based compensation expense. See Note 4 “Stockholders’ Equity” to the accompanying condensed consolidated financial statements for additional information regarding the non-cash write down of previously deferred offering costs.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our R&amp;D expenses for the periods indicated, together with the changes in those items in terms of dollars and percentage: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6"/>
        <w:gridCol w:w="60"/>
        <w:gridCol w:w="155"/>
        <w:gridCol w:w="1160"/>
        <w:gridCol w:w="95"/>
        <w:gridCol w:w="60"/>
        <w:gridCol w:w="155"/>
        <w:gridCol w:w="1160"/>
        <w:gridCol w:w="95"/>
        <w:gridCol w:w="60"/>
        <w:gridCol w:w="155"/>
        <w:gridCol w:w="1160"/>
        <w:gridCol w:w="95"/>
        <w:gridCol w:w="60"/>
        <w:gridCol w:w="60"/>
        <w:gridCol w:w="500"/>
        <w:gridCol w:w="299"/>
      </w:tblGrid>
      <w:tr>
        <w:trPr/>
        <w:tc>
          <w:tcPr>
            <w:tcW w:w="4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Three Months Ended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Change</w:t>
            </w:r>
          </w:p>
        </w:tc>
        <w:tc>
          <w:tcPr>
            <w:tcW w:w="299"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299" w:type="dxa"/>
            <w:tcBorders/>
            <w:vAlign w:val="center"/>
          </w:tcPr>
          <w:p>
            <w:pPr>
              <w:pStyle w:val="TableContents"/>
              <w:bidi w:val="0"/>
              <w:spacing w:before="0" w:after="283"/>
              <w:jc w:val="left"/>
              <w:rPr/>
            </w:pPr>
            <w:r>
              <w:rPr/>
              <w:t> </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Direct program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Ovaprene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843,503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1,316,372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(472,869</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(36</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Sildenafil Cream </w:t>
            </w:r>
            <w:r>
              <w:rPr>
                <w:rFonts w:ascii="Arial;Helvetica;Sans-Serif" w:hAnsi="Arial;Helvetica;San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134,769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49,881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170</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Other advanced clinical stage programs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1,244,028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975,489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268,539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Phase 1 and Phase 1-ready clinical stage programs </w:t>
            </w:r>
            <w:r>
              <w:rPr>
                <w:rFonts w:ascii="Arial;Helvetica;Sans-Serif" w:hAnsi="Arial;Helvetica;San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164,068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628,595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(464,527</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(74</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Preclinical stage programs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1,457,723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1,718,320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(260,597</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Personnel-related (including stock-based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1,084,019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1,209,437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(125,418</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Contra R&amp;D expenses </w:t>
            </w:r>
            <w:r>
              <w:rPr>
                <w:rFonts w:ascii="Arial;Helvetica;Sans-Serif" w:hAnsi="Arial;Helvetica;San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(4,017,949</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(3,780,794</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(237,155</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direct program costs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910,161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2,117,300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(1,207,139</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Indirect costs: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Outside services (including consulting)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(8,839</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(101</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Facilities-related (including depreciation)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18,516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indirect R&amp;D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60,785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(50,887</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Contra R&amp;D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(698,849</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(759,000</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60,151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indirect R&amp;D costs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(668,195</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(688,538</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7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R&amp;D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241,966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1,428,762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(1,186,796</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1.</w:t>
            </w:r>
          </w:p>
        </w:tc>
        <w:tc>
          <w:tcPr>
            <w:tcW w:w="999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The applicable program(s) receive grant funding and/or the Tax Incentive. The amount of R&amp;D expense for the period indicated is shown on a gross basis (i.e., without deducting the amount of contra R&amp;D expense for the applicable program(s). See footnote (3) below.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2.</w:t>
            </w:r>
          </w:p>
        </w:tc>
        <w:tc>
          <w:tcPr>
            <w:tcW w:w="999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amounts include expenses for Sildenafil Cream, 3.6% and DARE to PLAY Sildenafil Cream.</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3.</w:t>
            </w:r>
          </w:p>
        </w:tc>
        <w:tc>
          <w:tcPr>
            <w:tcW w:w="999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These contra R&amp;D expenses were recognized as follows for the three months ended June 30, 2026 and 2025: (a) Ovaprene, $0.8 million and $0.4 million, respectively; (b) other advanced clinical stage programs, $1.3 million and $1.0 million, respectively, (c) Phase 1 and Phase 1-ready clinical stage programs, $0 and $0.1 million, respectively; and (d) preclinical stage programs, $1.9 million and $2.2 million, respectively.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decrease of approximately $1.2 million in R&amp;D expenses for the three months ended June 30, 2026 as compared to the three months ended June 30, 2025 was related to an increase in contra R&amp;D expenses in direct program costs, and decreases in expenses related to (i) the ongoing Phase 3 clinical trial of Ovaprene, (ii) our Phase 1 and Phase 1-ready clinical stage programs - primarily attributable to our DARE-PTB1 program, (iii) our pre-clinical and other development programs —primarily attributable to our DARE-LARC1 program, and (iv) personnel-related costs. Such decreases were partially offset by increases in expenses related to (A) our other advanced clinical stage programs - primarily attributable to our DARE-HPV program, and (B) Sildenafil Cream and DARE to PLAY Sildenafil Cream. Contra R&amp;D expenses for the three months ended June 30, 2026 and 2025 primarily offset direct program costs for DARE-LARC1, Ovaprene and DARE-HPV.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decrease of approximately $0.2 million in other expense for the three months ended June 30, 2026 as compared to the same period in 2025 was primarily due to an increase on interest earned on cash balances in the current period and a decrease of interest expense in the current period.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Comparison of Six Months Ended June 30, 2026 and 2025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our condensed consolidated results of operations for the periods indicated, together with the changes in those items in terms of dollars and percentage: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6"/>
        <w:gridCol w:w="60"/>
        <w:gridCol w:w="155"/>
        <w:gridCol w:w="1160"/>
        <w:gridCol w:w="95"/>
        <w:gridCol w:w="60"/>
        <w:gridCol w:w="155"/>
        <w:gridCol w:w="1160"/>
        <w:gridCol w:w="95"/>
        <w:gridCol w:w="60"/>
        <w:gridCol w:w="155"/>
        <w:gridCol w:w="1160"/>
        <w:gridCol w:w="95"/>
        <w:gridCol w:w="60"/>
        <w:gridCol w:w="60"/>
        <w:gridCol w:w="560"/>
        <w:gridCol w:w="299"/>
      </w:tblGrid>
      <w:tr>
        <w:trPr/>
        <w:tc>
          <w:tcPr>
            <w:tcW w:w="4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Six Months Ended</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Change</w:t>
            </w:r>
          </w:p>
        </w:tc>
        <w:tc>
          <w:tcPr>
            <w:tcW w:w="299" w:type="dxa"/>
            <w:tcBorders/>
            <w:vAlign w:val="center"/>
          </w:tcPr>
          <w:p>
            <w:pPr>
              <w:pStyle w:val="TableContents"/>
              <w:bidi w:val="0"/>
              <w:spacing w:before="0" w:after="283"/>
              <w:jc w:val="left"/>
              <w:rPr/>
            </w:pPr>
            <w:r>
              <w:rPr/>
              <w:t> </w:t>
            </w:r>
          </w:p>
        </w:tc>
      </w:tr>
      <w:tr>
        <w:trPr/>
        <w:tc>
          <w:tcPr>
            <w:tcW w:w="48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299" w:type="dxa"/>
            <w:tcBorders/>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 services and royalty revenue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335,746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7891</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revenue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340,001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335,746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7891</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Cost of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562,214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562,214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NA</w:t>
            </w:r>
          </w:p>
        </w:tc>
        <w:tc>
          <w:tcPr>
            <w:tcW w:w="299"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Operating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4,842,237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4,687,030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155,207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902,428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3,726,143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(2,823,715</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(76</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5,744,665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8,413,173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(2,668,508</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(32</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Loss from operations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(5,966,878</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(8,408,918</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2,442,040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(expense) income,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(15,784</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(29,912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(212</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(5,982,662</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(8,394,790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2,412,128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r>
      <w:tr>
        <w:trPr/>
        <w:tc>
          <w:tcPr>
            <w:tcW w:w="481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80</w:t>
            </w:r>
          </w:p>
        </w:tc>
        <w:tc>
          <w:tcPr>
            <w:tcW w:w="29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81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(5,935,894</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(8,368,807</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2,432,913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(29</w:t>
            </w:r>
          </w:p>
        </w:tc>
        <w:tc>
          <w:tcPr>
            <w:tcW w:w="29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of approximately $0.3 million in revenue for the six months ended June 30, 2026 as compared to the six months ended June 30, 2025 was attributable to R&amp;D services revenues from the agreements we entered into with the Foundation in September and October 2025, partially offset by a decrease in non-cash royalty revenues related to XACIATO. See “—Financial Overview—Revenue,” above for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revenues increased by approximately $0.6 million compared to the prior period, which had no comparable activity. Cost of revenues relates primarily to the cost of performing research and development services under our R&amp;D services agreements we entered into with the Foundation in September and October 2025, and to expenses associated with medical education and awareness related to the commercialization of DARE to 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of approximately $0.2 million in SG&amp;A expenses for the six months ended June 30, 2026 as compared to the six months ended June 30, 2025 was primarily attributable to an approximately $0.3 million non-cash write down of previously deferred offering costs, an increase of approximately $0.1 million in commercial-readiness expenses driven by execution against our expanded business strategy, partially offset by a decrease of approximately $0.2 million in professional services expense. See Note 4 “Stockholders’ Equity” to the accompanying condensed consolidated financial statements for additional information regarding the non-cash write down of previously deferred offering costs.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our R&amp;D expenses for the periods indicated, together with the changes in those items in terms of dollars and percentage: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96"/>
        <w:gridCol w:w="60"/>
        <w:gridCol w:w="155"/>
        <w:gridCol w:w="1160"/>
        <w:gridCol w:w="95"/>
        <w:gridCol w:w="60"/>
        <w:gridCol w:w="155"/>
        <w:gridCol w:w="1160"/>
        <w:gridCol w:w="95"/>
        <w:gridCol w:w="60"/>
        <w:gridCol w:w="155"/>
        <w:gridCol w:w="1160"/>
        <w:gridCol w:w="95"/>
        <w:gridCol w:w="60"/>
        <w:gridCol w:w="60"/>
        <w:gridCol w:w="365"/>
        <w:gridCol w:w="314"/>
      </w:tblGrid>
      <w:tr>
        <w:trPr/>
        <w:tc>
          <w:tcPr>
            <w:tcW w:w="49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Change</w:t>
            </w:r>
          </w:p>
        </w:tc>
        <w:tc>
          <w:tcPr>
            <w:tcW w:w="314" w:type="dxa"/>
            <w:tcBorders/>
            <w:vAlign w:val="center"/>
          </w:tcPr>
          <w:p>
            <w:pPr>
              <w:pStyle w:val="TableContents"/>
              <w:bidi w:val="0"/>
              <w:spacing w:before="0" w:after="283"/>
              <w:jc w:val="left"/>
              <w:rPr/>
            </w:pPr>
            <w:r>
              <w:rPr/>
              <w:t> </w:t>
            </w:r>
          </w:p>
        </w:tc>
      </w:tr>
      <w:tr>
        <w:trPr/>
        <w:tc>
          <w:tcPr>
            <w:tcW w:w="49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w:t>
            </w:r>
          </w:p>
        </w:tc>
        <w:tc>
          <w:tcPr>
            <w:tcW w:w="314" w:type="dxa"/>
            <w:tcBorders/>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Direct program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Ovaprene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2,075,263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2,812,101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(736,838</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Sildenafil Cream </w:t>
            </w:r>
            <w:r>
              <w:rPr>
                <w:rFonts w:ascii="Arial;Helvetica;Sans-Serif" w:hAnsi="Arial;Helvetica;San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202,560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261,270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(58,710</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Other advanced clinical stage programs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1,619,791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1,466,051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153,740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Phase 1 and Phase 1-ready clinical stage programs </w:t>
            </w:r>
            <w:r>
              <w:rPr>
                <w:rFonts w:ascii="Arial;Helvetica;Sans-Serif" w:hAnsi="Arial;Helvetica;San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260,123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1,125,342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(865,219</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(77</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Preclinical stage programs </w:t>
            </w:r>
            <w:r>
              <w:rPr>
                <w:rFonts w:ascii="Arial;Helvetica;Sans-Serif" w:hAnsi="Arial;Helvetica;San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2,626,102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2,767,058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(140,956</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Personnel-related (including stock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2,276,881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2,701,684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(424,803</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(16</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Contra R&amp;D expenses </w:t>
            </w:r>
            <w:r>
              <w:rPr>
                <w:rFonts w:ascii="Arial;Helvetica;Sans-Serif" w:hAnsi="Arial;Helvetica;San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(7,087,095</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(6,399,167</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(687,928</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direct program costs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1,973,625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4,734,339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(2,760,714</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(58</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Indirect costs: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Outside services (including consulting)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(10,199</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(98</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Facilities-related (including depreciation)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36,714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14</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Other indirect R&amp;D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17,528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152,035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(134,507</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(88</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Contra R&amp;D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(1,130,697</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(1,207,392</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76,695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indirect R&amp;D costs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(1,071,197</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(1,008,196</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(63,001</w:t>
            </w:r>
          </w:p>
        </w:tc>
        <w:tc>
          <w:tcPr>
            <w:tcW w:w="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6</w:t>
            </w:r>
          </w:p>
        </w:tc>
        <w:tc>
          <w:tcPr>
            <w:tcW w:w="314"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499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R&amp;D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902,428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3,726,143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(2,823,715</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(76</w:t>
            </w:r>
          </w:p>
        </w:tc>
        <w:tc>
          <w:tcPr>
            <w:tcW w:w="314"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1.</w:t>
            </w:r>
          </w:p>
        </w:tc>
        <w:tc>
          <w:tcPr>
            <w:tcW w:w="999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The applicable program(s) receive grant funding and/or the Tax Incentive. The amount of R&amp;D expense for the period indicated is shown on a gross basis (i.e., without deducting the amount of contra R&amp;D expense for the applicable program(s). See footnote (3) below.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2.</w:t>
            </w:r>
          </w:p>
        </w:tc>
        <w:tc>
          <w:tcPr>
            <w:tcW w:w="999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amounts include expenses for Sildenafil Cream, 3.6% and DARE to PLAY Sildenafil Cream.</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3.</w:t>
            </w:r>
          </w:p>
        </w:tc>
        <w:tc>
          <w:tcPr>
            <w:tcW w:w="9991"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These contra R&amp;D expenses were recognized as follows for the six months ended June 30, 2026 and 2025: (a) Ovaprene, $1.7 million and $0.9 million, respectively; (b) other advanced clinical stage programs, $1.8 million and $1.5 million, respectively, (c) Phase 1 and Phase 1-ready clinical stage programs, $0 million and $0.2 million, respectively; and (d) preclinical stage programs, $3.6 million and $3.8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decrease of approximately $2.8 million in R&amp;D expenses for the six months ended June 30, 2026 as compared to the six months ended June 30, 2025 was primarily attributable to an increase in contra R&amp;D expenses in direct program costs, and decreases in expenses related to (i) our Phase 1 and Phase 1-ready clinical stage programs - primarily attributable to our DARE-PTB1 program, (ii) the ongoing Phase 3 clinical trial of Ovaprene, (iii) Sildenafil Cream and DARE to PLAY Sildenafil Cream, (iv) personnel costs, and (v) our pre-clinical and other development programs —primarily attributable to our DARE-LARC1 program. Such decreases were partially offset by increases in expenses related to our other advanced clinical stage programs - primarily attributable to our DARE-HPV program. Contra R&amp;D expenses for the six months ended June 30, 2026 and 2025 primarily offset direct program costs for DARE-LARC1, Ovaprene and DARE-HPV.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(expense)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decrease of approximately $30,000 in other expense for the six months ended June 30, 2026 as compared to the same period in 2025 was due to (i) the absence of employee retention credits recognized in the prior year period— in the first quarter of 2025, we recognized approximately $0.2 million of employee retention credits related to applications filed in 2023 with no comparable benefit in the current period, and (ii) decreased interest expense in the current period. Such decreases were partially offset by increased interest income due to an increase on interest earned on cash balances in the current period.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Plan of Operations and Future Funding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near term, we plan to focus primarily on: (a) our ongoing Ovaprene Phase 3 study; (b) executing against our Section 503B compounding and consumer health products business strategies, with a focus on DARE to PLAY, DARE to RECLAIM estradiol progesterone intravaginal ring, and DARE to RESTORE vaginal probiotics; and (c) advancing the development of product candidates for which the costs are being supported by non-dilutive grant or other award funding, in particular DARE-LARC1 and DARE-HPV. We will also continue engagement with the FDA to align on the Phase 3 program for Sildenafil Cream and will continue to work on the development of our other clinical and preclinical-stage programs. For additional information, see “Business Overview” and “Recent Events” above and Note 10 “Grant Awards”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June 30, 2026, our cash and cash equivalents were approximately $12.6 million, and our working capital deficit was approximately $0.2 million. As of June 30, 2026, our deferred grant funding liability was approximately $15.0 million, substantially all of which consisted of funds intended to support the DARE-LARC1 program, the Ovaprene Phase 3 clinical study, and the DARE-HPV program. For more information about our cash and cash equivalents and our deferred grant funding liability, see Note 2 “Basis of Presentation and Summary of Significant Accounting Policies—Going Concern” to the accompanying condensed consolidated financial statements, and Note 2 “Basis of Presentation and Summary of Significant Accounting Policies—Grant Funding” to our consolidated financial statements in our 2025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our existing cash and cash equivalents will be sufficient to fund our operating needs, including planned commercial launch activities for DARE to PLAY, into the fourth quarter of 2026. We have based this estimate on assumptions that may prove to be wrong, and we could deplete our capital resources sooner than we expect. We will continue to evaluate and may pursue various capital raising options, including sales of equity, debt financings, government or other grant funding, collaborations, structured financings, and commercial collaborations or other strategic transactions. Our ability to obtain additional capital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June 30, 2026, our accumulated deficit was approximately $194.7 million, and we had a net loss of approximately $6.0 million and negative cash flows from operations of approximately $12.3 million for the six months ended June 30, 2026.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condensed consolidated financial statements. The accompanying condensed consolidated financial statements were prepared on a going concern basis, which assumes that we will realize our assets and satisfy our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factors in Part I, Item 1A of our 2025 10-K under “Risks Related to Our Financial Position and Capital Needs.”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our Regulation A offering we are offering up to 4,854,000 units, each consisting of one share of our Series A convertible preferred stock, which is convertible into two shares of our common stock, and two warrants, each exercisable for one share of our common stock at an exercise price of $4.00 per share. The offering price of each unit is $5.00. As of the date of this report, we have issued an aggregate of 338,000 units to investors in the offering, consisting of 338,000 shares of Series A convertible preferred stock and warrants to purchase up to 676,000 shares of our common stock, for gross proceeds of approximately $1.7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sales agreement with Stifel, Nicolaus &amp; Company, Incorporated, or Stifel, to sell shares of our common stock from time to time through an “at-the-market,” or ATM, equity offering program under which Stifel acts as our agent. Shares of our common stock sold under the sales agreement are offered and sold under our shelf registration statement on Form S-3 (File No. 333-278380) declared effective by the SEC on May 10, 2024. During 2025, we sold 4,329,116 shares of our common stock under the sales agreement for net proceeds of approximately $17.6 million. Because the market value of the outstanding shares of our common stock held by non-affiliates, or our public float, is less than $75.0 million, we are subject to the SEC’s “baby shelf rule,” which limits the amount of securities we may offer and sell under a shelf registration statement to one-third of our public float in any 12-month period. As of August 1, 2026, all prior offers and sales under our shelf registration statement fell outside the trailing 12-month period, and we became eligible to offer and sell our securities under the shelf registration statement, subject to the baby shelf rule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purchase agreement with Lincoln Park Capital Fund, LLC, or Lincoln Park, under which, subject to the conditions thereof, we have the right, but not the obligation, to sell to Lincoln Park, and Lincoln Park is obligated to purchase, up to $15.0 million in shares of our common stock. Such sales of our common stock to Lincoln Park, if any, may occur from time to time, at our sole discretion through December 1, 2026. See Note 4 “Stockholders’ Equity—Equity Line” to the accompanying condensed consolidated financial statements for additional information. During 2025, we sold 1,470,000 shares of our common stock under this purchase agreement and received net proceeds of approximately $3.1 million. We sold 150,000 shares of our common stock under this purchase agreement during the six months ended June 30, 2026 and received net proceeds of approximately $0.3 million. We sold 120,000 shares of our common stock under this agreement subsequent to June 30, 2026 and received net proceeds of approximately $0.2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began recording revenue from sales of Flora Sync LF5 in July 2026, and we expect to begin recording revenue from sales of DARE to PLAY in the third quarter of 2026. The amount of potential revenue we may generate remains uncertain because we are in the early stages of executing against our Section 503B compounding and consumer health products business strategies, we rely on a third-party Section 503B-registered outsourcing facility to manufacture DARE to PLAY and to obtain and maintain all state-level pharmacy and outsourcing facility licenses required to fulfill DARE to PLAY prescriptions and, as an organization, we have no experience in and limited infrastructure for commercializing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shows a summary of our cash flows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9942" w:type="dxa"/>
        <w:jc w:val="left"/>
        <w:tblInd w:w="0" w:type="dxa"/>
        <w:tblLayout w:type="fixed"/>
        <w:tblCellMar>
          <w:top w:w="0" w:type="dxa"/>
          <w:left w:w="0" w:type="dxa"/>
          <w:bottom w:w="0" w:type="dxa"/>
          <w:right w:w="0" w:type="dxa"/>
        </w:tblCellMar>
      </w:tblPr>
      <w:tblGrid>
        <w:gridCol w:w="6665"/>
        <w:gridCol w:w="60"/>
        <w:gridCol w:w="157"/>
        <w:gridCol w:w="1318"/>
        <w:gridCol w:w="96"/>
        <w:gridCol w:w="61"/>
        <w:gridCol w:w="157"/>
        <w:gridCol w:w="1318"/>
        <w:gridCol w:w="110"/>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7"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Six months ended June 30,</w:t>
            </w:r>
          </w:p>
        </w:tc>
        <w:tc>
          <w:tcPr>
            <w:tcW w:w="110"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2026</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2025</w:t>
            </w:r>
          </w:p>
        </w:tc>
        <w:tc>
          <w:tcPr>
            <w:tcW w:w="110"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1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(12,295,690</w:t>
            </w:r>
          </w:p>
        </w:tc>
        <w:tc>
          <w:tcPr>
            <w:tcW w:w="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1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(10,887,999</w:t>
            </w:r>
          </w:p>
        </w:tc>
        <w:tc>
          <w:tcPr>
            <w:tcW w:w="1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66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(80,586</w:t>
            </w:r>
          </w:p>
        </w:tc>
        <w:tc>
          <w:tcPr>
            <w:tcW w:w="96"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(3,935</w:t>
            </w:r>
          </w:p>
        </w:tc>
        <w:tc>
          <w:tcPr>
            <w:tcW w:w="11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r>
        <w:trPr/>
        <w:tc>
          <w:tcPr>
            <w:tcW w:w="666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235,747</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202,783</w:t>
            </w:r>
          </w:p>
        </w:tc>
        <w:tc>
          <w:tcPr>
            <w:tcW w:w="110"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46,767</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25,983</w:t>
            </w:r>
          </w:p>
        </w:tc>
        <w:tc>
          <w:tcPr>
            <w:tcW w:w="110"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(12,093,762</w:t>
            </w:r>
          </w:p>
        </w:tc>
        <w:tc>
          <w:tcPr>
            <w:tcW w:w="96"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1"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31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(10,663,168</w:t>
            </w:r>
          </w:p>
        </w:tc>
        <w:tc>
          <w:tcPr>
            <w:tcW w:w="11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Net 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used in operating activities of $12.3 million for the six months ended June 30, 2026 was primarily due to our net loss of $6.0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a decrease of $4.7 million in our deferred grant funding liability, an increase of $1.8 million in other non-current assets, an increase of $1.4 million in prepaid expenses, an increase of $0.5 million in other current assets, a decrease of $0.4 million in accounts payable, a decrease of $0.3 million in operating lease liability, partially offset by an increase of $0.3 million in interest payable. The $1.8 million increase in other non-current assets relates primarily to a payment made to the third-party Section 503B-registered outsourcing facility for DARE to RECLAIM during the three months ended March 31, 2026, which will be credited against amounts otherwise owed to such third-party for future purchases of DARE to RECLAIM.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used in operating activities of $10.9 million for the six months ended June 30, 2025 was primarily due to our net loss of $8.4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decreases of $4.2 million in our deferred grant funding liability, $0.4 million in accrued expenses, and $0.3 million in operating lease liability, offset by increases of $0.5 million in prepaid expenses, $0.2 million in accounts payable, and $0.3 million in interest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Net 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used in investing activities for the six months ended June 30, 2026 and June 30, 2025 related to purchases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provided by financing activities for the six months ended June 30, 2026 resulted primarily from approximately $1.5 million of net proceeds from sales of units in our Regulation A offering and approximately $0.3 million of net proceeds from sales of our common stock under our purchase agreement with Lincoln Park, partially offset by (i) approximately $1.3 million in payments on our facility financing lease and (ii) approximately $0.2 million in payments on a note payable related to an insurance premium financing obtained in July 2025 related to certain director and officer and other insurance premiums.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cash provided by financing activities for the six months ended June 30, 2025 consisted primarily of approximately $0.9 million of net proceeds from the sales of our common stock under our purchase agreement with Lincoln Park partially offset by payments on (i) our facility finance lease of approximately $0.5 million and (ii) insurance premium financing of approximately $0.3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Contractual Obligations and Other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License and Royalty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assembled our pipeline primarily through acquisitions, in-license agreements, and other collaborations. We agreed to make royalty and milestone payments, and in some cases annual license fee payments, under the license and development agreements under which we acquired rights to intellectual property from third parties. For information about these obligations see Note 3 “Strategic Agreements—Strategic Agreements for Pipeline Development” to the accompanying condensed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remainder of 2026, based on our current expectations regarding the progress of development of our product candidates and sales of XACIATO and DARE to PLAY,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 With respect to DARE to PLAY, for at least the first twelve months following its market introduction, we anticipate a mid single-digit royalty payment obligation to our upstream licensor on annual net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information regarding our grant agreements with the Foundation, see Note 10 “—Grant Awards—Other Non-Dilutive Grant Funding” to the accompanying condensed consolidated financial statements, and Note 2 “Basis of Presentation and Summary of Significant Accounting Policies—Grant Funding” to our consolidated financial statements in our 2025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Royalty Purchase Agreements with XOMA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April 2024, we entered into a traditional royalty purchase agreement and a synthetic royalty purchase agreement with XOMA pursuant to which, among other things,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and (b) a portion of future net sales of Ovaprene, Sildenafil Cream and DARE to 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more information regarding our contractual obligations to XOMA, see Note 8 “Royalty Purchase Agreements”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Royalty Interest 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December 2023, we entered into a royalty interest financing agreement with UiE pursuant to which we sold to UiE an interest in the royalty and milestone payments we are entitled to receive in respect of net sales of XACIATO under our license agreement with Organon.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or using our other sources of assets or income to complete such payments if UiE has not received the specified return on its investment by the end of 2035. We have the right to make prepayments on or pay in full and retire all of our payment obligations to UiE.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more information regarding our contractual obligations to UiE, see Note 7 “Royalty Interest Financing”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two operating leases for our laboratory and office spaces that each expire in 2027. As of June 30, 2026, we had future minimum lease payments under these leases of $0.9 million, $0.6 million of which is classified as current and $0.3 million of which is classified as long-term, the remainder of which represents future interest payments. We have one finance lease for our clean room space that expires in December 2026. As of June 30, 2026, we had future minimum lease payments under this lease of $0.2 million, all of which is classified as current. For additional information on our lease obligations, See Note 6 “Leases”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enter into contracts in the normal course of business with various third parties for research studies, clinical trials, testing and other services, and with Section 503B-registered outsourcing facilities, dispensing pharmacies, telehealth providers, and other third parties to help bring our proprietary formulations to market. These contracts generally provide for termination upon notice, and we do not believe that our non-cancelable obligations under these agreements are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descriptions of additional contractual obligations and commitments, see Note 9 “Commitments and Contingencies” to the accompanying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did not have during the periods presented, and we do not currently have, any off-balance sheet arrangements, as defined under applicable SEC rules.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5" w:name="sa_002"/>
      <w:bookmarkEnd w:id="5"/>
      <w:r>
        <w:rPr>
          <w:rFonts w:ascii="Arial;Helvetica;Sans-Serif" w:hAnsi="Arial;Helvetica;San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SEC rules and regulations, as a smaller reporting company we are not required to provide the information required by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6" w:name="sa_003"/>
      <w:bookmarkEnd w:id="6"/>
      <w:r>
        <w:rPr>
          <w:rFonts w:ascii="Arial;Helvetica;Sans-Serif" w:hAnsi="Arial;Helvetica;San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June 30, 2026 at the reasonable assurance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7" w:name="sa_004"/>
      <w:bookmarkEnd w:id="7"/>
      <w:r>
        <w:rPr>
          <w:rFonts w:ascii="Arial;Helvetica;Sans-Serif" w:hAnsi="Arial;Helvetica;San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8" w:name="sa_005"/>
      <w:bookmarkEnd w:id="8"/>
      <w:r>
        <w:rPr>
          <w:rFonts w:ascii="Arial;Helvetica;Sans-Serif" w:hAnsi="Arial;Helvetica;San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9" w:name="sa_006"/>
      <w:bookmarkEnd w:id="9"/>
      <w:r>
        <w:rPr>
          <w:rFonts w:ascii="Arial;Helvetica;Sans-Serif" w:hAnsi="Arial;Helvetica;San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investment in shares of our common stock involves a high degree of risk. You should carefully consider the risks and uncertainties described in our 2025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2025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were not in compliance with the stockholders’ equity rule or the market value of listed securities rule from August 2024 until July 24, 2025, and we were not in compliance with the minimum bid price rule from July 2023 until July 2024 and from December 2022 until January 2023. Although we regained compliance with the applicable rule in each instance, there can be no assurance that we will continue to satisfy those or other continued listing requirements and maintain the listing of our common stock on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Nasdaq confirmed on July 24, 2025, that we regained compliance with the stockholders’ equity rule, it also informed us that, pursuant to Nasdaq Listing Rule 5815(d)(4)(B), we would be subject to a mandatory panel monitor for a period of one year from that date, and that if, within that one-year period, the Staff determines that we are out of compliance with the stockholders’ equity rule, the Staff will issue a delisting determination letter, and we will have an opportunity to request a new hearing with Nasdaq’s Hearings Panel. Notwithstanding Nasdaq Listing Rule 5810(c)(2), we will not be permitted to provide a plan of compliance to the Staff with respect to such non-compliance, the Staff will not be permitted to grant us additional time to regain compliance, and we will not be afforded a cure period pursuant to Nasdaq Listing Rule 5810(c)(3). The foregoing would limit our ability to remedy any future non-compliance with the stockholders’ equity rule, and would increase the likelihood that our common stock could be delisted, if we were to fall out of compliance with the stockholders’ equity rule during the one-year monitoring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July 13, 2026, we received a delisting determination letter from the Staff in accordance Nasdaq Listing Rule 5815(d)(4)(B) informing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Pursuant to Nasdaq Listing Rule 5815, we were permitted to request an appeal of the Staff’s delisting determination and a hearing to address the listing deficiency before the Panel. We timely submitted the hearing request, which stayed the suspension and delisting of our common stock at least pending the issuance of the Panel’s decision following the hearing and the expiration of any extension period that may be granted by the Panel. The hearing has been scheduled for late August 2026. Pursuant to published Nasdaq guidance, the Panel typically issues its decision within 30 days of the hearing.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the hearing, the Panel may, as it deems appropriate, grant an extension period not to exceed 180 days from the date of the Staff’s delisting determination letter for us to evidence compliance with Nasdaq Listing Rule 5550(b), suspend and delist our common stock from The Nasdaq Capital Market, or find us in compliance with all applicable listing standards. There can be no assurance that our hearing before the Panel will result in a favorable outcome or, if any extension period is granted, that we will regain compliance with Nasdaq Listing Rule 5550(b) within such extension period or that we will be successful in otherwise maintaining the listing of our common stock on the Nasdaq Capital Market. If the Panel issues a decision to delist our common stock, unless the Panel’s decision specifies to the contrary, Nasdaq will immediately take action to suspend trading of our common stock. If the Panel issues a delisting decision, we will have an opportunity to appeal the decision to the Nasdaq Listing and Hearing Review Council (the “Listing Council”). If the Panel issues a delisting decision and we do not appeal the decision or if the Listing Council does not call the matter for review or withdraws its call for review, Nasdaq will follow the procedures described in Nasdaq Listing Rule 5830 to submit an application on Form 25 to the SEC to delist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suspension or delisting of our common stock, or the commencement of delisting proceedings, for whatever reason, including the ongoing process that began with the July 13, 2026 Staff delisting determination letter,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may not enroll a sufficient number of subjects in our ongoing Phase 3 clinical study to support an FDA determination of an adequate benefit-risk profile for Ovaprene.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pivotal clinical trial for Ovaprene is being conducted under an Investigational Device Exemption (IDE). The study protocol currently calls for at least 2,500 menstrual cycles of exposure to Ovaprene and expects that at least 250 subjects would complete 13 menstrual cycles of use, whom we refer to as completers. In July 2026, we submitted a protocol amendment to the FDA that proposed to remove the specific expectation of at least 250 completers, which number the FDA had originally requested, instead targeting solely approximately 2,500 total menstrual cycles of use across all enrolled subjects, which we believe will be achieved with less than 250 completers. In August 2026, the FDA approved this protocol amendment. However, in its approval letter, the FDA stated that the data we submitted in support of removing the target number of completers was insufficient and cautioned that it believes implementing the proposed modification would result in a study that is not able to generate sufficient evidence of Ovaprene’s safety profile to support a favorable premarket approval (PMA)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Additionally, the sample size for the study was calculated based on an identified Pearl Index performance goal. The FDA also cautioned that the performance goal may not be sufficient to support a favorable benefit-risk determination for Ovaprene in a future marketing application based on its product profile and novelty as compared to contraceptive products that guided selection of the performance goal. If the FDA ultimately does not agree that this performance goal is adequate, our current trial, regardless of the number of completers, may not generate sufficient data to support FDA approval of Ovaprene.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currently expect to proceed to amend the protocol to eliminate the 250 completer expectation and we do not currently plan to modify the performance goal. We intend to continue engagement with the FDA on the recommendations and considerations it provided in its August 2026 letter, including with respect to the study’s minimum number of completers and performance goal. Based on the interim safety data reviewed by the study’s DSMB in May 2026, including the absence of new types of adverse events or increased frequency of adverse events with prolonged use of Ovaprene in the study, and the study’s expected achievement of at least 2,500 menstrual cycles of exposure, we believe the amended study design will generate sufficient safety data to support a PMA application to the FDA. However, there is no assurance that the FDA will agree, and data generated from fewer than 250 completers, or from our current trial design more generally, may not be sufficient to support FDA approval of Ovaprene. The FDA’s approval of our proposed protocol amendment does not mean that the FDA has determined, or will determine, that the resulting data package from our ongoing study will be adequate to support FDA approval. If the FDA determines that our data are insufficient, whether due to the number of completers, the statistical basis for our study design, or other considerations, we may be required to enroll additional subjects, conduct additional clinical studies, generate additional data, or otherwise delay, limit, or restructure our development and regulatory strategy for Ovaprene. We may lack the financial resources, the number of available investigational devices, or sufficient time to satisfy any such additional FDA requirements, and we may determine to allocate our limited resources to other development programs or initiatives. Any of the foregoing could significantly delay or prevent FDA approval of Ovaprene and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10" w:name="sa_007"/>
      <w:bookmarkEnd w:id="10"/>
      <w:r>
        <w:rPr>
          <w:rFonts w:ascii="Arial;Helvetica;Sans-Serif" w:hAnsi="Arial;Helvetica;San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On October 21, 2024, we entered into a purchase agreement with Lincoln Park Capital Fund, LLC, or Lincoln Park. From April 1, 2026 through June 30, 2026, we sold 90,000 shares of our common stock to Lincoln Park under that purchase agreement for aggregate gross proceeds of approximately $0.2 million. For additional information regarding such sales and our purchase agreement with Lincoln Park, see Note 4 “Stockholders’ Equity—Equity Line” to the accompanying condensed consolidated financial statements. Lincoln Park represented to us, among other things, that it is an “accredited investor” as such term is defined in Rule 501(a)(3) of Regulation D under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April 1, 2026 through June 30, 2026, we issued 520,000 shares of our common stock upon the conversion of 260,000 shares of our Series A convertible preferred stock. Such shares of Series A convertible preferred stock and common stock were issued in reliance upon an exemption from the registration requirements of the Securities Act afforded by Regulation A promulgated under the Securities Act. See Note 4 “Stockholders’ Equity—Series A Convertible Preferred Stock” and Note 4 “Stockholders’ Equity—Regulation A Offering” to the accompanying condensed consolidated financial statements for information regarding the terms of our Series A convertible preferred stock and our Regulation A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11" w:name="sa_008"/>
      <w:bookmarkEnd w:id="11"/>
      <w:r>
        <w:rPr>
          <w:rFonts w:ascii="Arial;Helvetica;Sans-Serif" w:hAnsi="Arial;Helvetica;San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12" w:name="sa_009"/>
      <w:bookmarkEnd w:id="12"/>
      <w:r>
        <w:rPr>
          <w:rFonts w:ascii="Arial;Helvetica;Sans-Serif" w:hAnsi="Arial;Helvetica;San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13" w:name="sa_010"/>
      <w:bookmarkEnd w:id="13"/>
      <w:r>
        <w:rPr>
          <w:rFonts w:ascii="Arial;Helvetica;Sans-Serif" w:hAnsi="Arial;Helvetica;San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During the period from April 1, 2026 to June 30, 2026,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bookmarkStart w:id="14" w:name="sa_011"/>
      <w:bookmarkEnd w:id="14"/>
      <w:r>
        <w:rPr>
          <w:rFonts w:ascii="Arial;Helvetica;Sans-Serif" w:hAnsi="Arial;Helvetica;San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
        <w:gridCol w:w="60"/>
        <w:gridCol w:w="5101"/>
        <w:gridCol w:w="66"/>
        <w:gridCol w:w="571"/>
        <w:gridCol w:w="66"/>
        <w:gridCol w:w="700"/>
        <w:gridCol w:w="66"/>
        <w:gridCol w:w="740"/>
        <w:gridCol w:w="66"/>
        <w:gridCol w:w="850"/>
        <w:gridCol w:w="66"/>
        <w:gridCol w:w="1077"/>
      </w:tblGrid>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2143" w:type="dxa"/>
            <w:gridSpan w:val="5"/>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Incorporated by Reference</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 of Exhibit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w:t>
            </w:r>
          </w:p>
        </w:tc>
        <w:tc>
          <w:tcPr>
            <w:tcW w:w="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 No.</w:t>
            </w:r>
          </w:p>
        </w:tc>
        <w:tc>
          <w:tcPr>
            <w:tcW w:w="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Filing Date</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Filed Herewith</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pPr>
            <w:hyperlink r:id="rId11">
              <w:r>
                <w:rPr>
                  <w:rStyle w:val="InternetLink"/>
                  <w:rFonts w:ascii="Arial;Helvetica;Sans-Serif" w:hAnsi="Arial;Helvetica;Sans-Serif"/>
                  <w:b w:val="false"/>
                  <w:i w:val="false"/>
                  <w:caps w:val="false"/>
                  <w:smallCaps w:val="false"/>
                  <w:sz w:val="20"/>
                </w:rPr>
                <w:t>Form of Restricted Stock Unit Agreement (Non-Employee Directors) for Grants under the Daré Bioscience, Inc. 2022 Stock Incentive Plan</w:t>
              </w:r>
            </w:hyperlink>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pPr>
            <w:hyperlink r:id="rId12">
              <w:r>
                <w:rPr>
                  <w:rStyle w:val="InternetLink"/>
                  <w:rFonts w:ascii="Arial;Helvetica;Sans-Serif" w:hAnsi="Arial;Helvetica;Sans-Serif"/>
                  <w:b w:val="false"/>
                  <w:i w:val="false"/>
                  <w:caps w:val="false"/>
                  <w:smallCaps w:val="false"/>
                  <w:sz w:val="20"/>
                </w:rPr>
                <w:t>Amendment No. 2 to Daré Bioscience, Inc. 2022 Stock Incentive Plan</w:t>
              </w:r>
            </w:hyperlink>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8-K</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001-36395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6/11/2026</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pPr>
            <w:hyperlink r:id="rId13">
              <w:r>
                <w:rPr>
                  <w:rStyle w:val="InternetLink"/>
                  <w:rFonts w:ascii="Arial;Helvetica;Sans-Serif" w:hAnsi="Arial;Helvetica;Sans-Serif"/>
                  <w:b w:val="false"/>
                  <w:i w:val="false"/>
                  <w:caps w:val="false"/>
                  <w:smallCaps w:val="false"/>
                  <w:sz w:val="20"/>
                </w:rPr>
                <w:t>Amended and Restated Non-Employee Director Compensation Policy (as amended through April 16, 2026)</w:t>
              </w:r>
            </w:hyperlink>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pPr>
            <w:hyperlink r:id="rId14">
              <w:r>
                <w:rPr>
                  <w:rStyle w:val="InternetLink"/>
                  <w:rFonts w:ascii="Arial;Helvetica;Sans-Serif" w:hAnsi="Arial;Helvetica;Sans-Serif"/>
                  <w:b w:val="false"/>
                  <w:i w:val="false"/>
                  <w:caps w:val="false"/>
                  <w:smallCaps w:val="false"/>
                  <w:sz w:val="20"/>
                </w:rPr>
                <w:t>Grant Agreement between Daré Bioscience, Inc. and the Gates Foundation (f/k/a the Bill &amp; Melinda Gates Foundation) effective as of June 30, 2021, as amended to date</w:t>
              </w:r>
            </w:hyperlink>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pPr>
            <w:hyperlink r:id="rId15">
              <w:r>
                <w:rPr>
                  <w:rStyle w:val="InternetLink"/>
                  <w:rFonts w:ascii="Arial;Helvetica;Sans-Serif" w:hAnsi="Arial;Helvetica;Sans-Serif"/>
                  <w:b w:val="false"/>
                  <w:i w:val="false"/>
                  <w:caps w:val="false"/>
                  <w:smallCaps w:val="false"/>
                  <w:sz w:val="20"/>
                </w:rPr>
                <w:t>Certification of Principal Executive Officer and Principal Financial Officer pursuant to Rule 13a-14(a)/15d-14(a) of the Securities Exchange Act of 1934, as amended</w:t>
              </w:r>
            </w:hyperlink>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pPr>
            <w:hyperlink r:id="rId16">
              <w:r>
                <w:rPr>
                  <w:rStyle w:val="InternetLink"/>
                  <w:rFonts w:ascii="Arial;Helvetica;Sans-Serif" w:hAnsi="Arial;Helvetica;Sans-Serif"/>
                  <w:b w:val="false"/>
                  <w:i w:val="false"/>
                  <w:caps w:val="false"/>
                  <w:smallCaps w:val="false"/>
                  <w:sz w:val="20"/>
                </w:rPr>
                <w:t>Certification of Principal Executive Officer and Principal Financial Officer pursuant to 18 U.S.C. §1350, as adopted pursuant to Section 906 of the Sarbanes-Oxley Act of 2002</w:t>
              </w:r>
            </w:hyperlink>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Inline XBRL Instance Document - The instance document does not appear in the interactive data file because its XBRL tags are embedded within the inline XBRL document.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Inline XBRL Taxonomy Extension Schema Document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Inline XBRL Taxonomy Extension Calculation Linkbase Document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Inline XBRL Taxonomy Extension Definition Linkbase Document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Inline XBRL Taxonomy Extension Label Linkbase Document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Inline XBRL Taxonomy Extension Presentation Linkbase Document</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(formatted as Inline XBRL and contained in Exhibit 101)</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w:t>
            </w:r>
          </w:p>
        </w:tc>
      </w:tr>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1" w:type="dxa"/>
            <w:tcBorders/>
            <w:vAlign w:val="center"/>
          </w:tcPr>
          <w:p>
            <w:pPr>
              <w:pStyle w:val="TableContents"/>
              <w:bidi w:val="0"/>
              <w:spacing w:before="0" w:after="283"/>
              <w:jc w:val="both"/>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71"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9" w:type="dxa"/>
            <w:gridSpan w:val="11"/>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r>
        <w:trPr/>
        <w:tc>
          <w:tcPr>
            <w:tcW w:w="776"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9" w:type="dxa"/>
            <w:gridSpan w:val="11"/>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5" w:name="sa_012"/>
      <w:bookmarkEnd w:id="15"/>
      <w:r>
        <w:rPr>
          <w:rFonts w:ascii="Arial;Helvetica;Sans-Serif" w:hAnsi="Arial;Helvetica;San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1985"/>
        <w:gridCol w:w="320"/>
        <w:gridCol w:w="5150"/>
      </w:tblGrid>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5470"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515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Executive Officer and Principal Financial Officer)</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515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MarDee Haring-Layton</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MarDee Haring-Layton</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Chief Accounting Officer</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1914/000149315226038649/ex4-1.htm" TargetMode="External"/><Relationship Id="rId3" Type="http://schemas.openxmlformats.org/officeDocument/2006/relationships/hyperlink" Target="https://www.sec.gov/Archives/edgar/data/1401914/000149315226038649/ex4-2.htm" TargetMode="External"/><Relationship Id="rId4" Type="http://schemas.openxmlformats.org/officeDocument/2006/relationships/hyperlink" Target="https://www.sec.gov/Archives/edgar/data/1401914/000149315226038649/ex4-3.htm" TargetMode="External"/><Relationship Id="rId5" Type="http://schemas.openxmlformats.org/officeDocument/2006/relationships/hyperlink" Target="https://www.sec.gov/Archives/edgar/data/1401914/000149315226038649/ex5-1.htm" TargetMode="External"/><Relationship Id="rId6" Type="http://schemas.openxmlformats.org/officeDocument/2006/relationships/hyperlink" Target="https://www.sec.gov/Archives/edgar/data/1401914/000149315226038649/ex10-1.htm" TargetMode="External"/><Relationship Id="rId7" Type="http://schemas.openxmlformats.org/officeDocument/2006/relationships/hyperlink" Target="https://www.sec.gov/Archives/edgar/data/1401914/000149315226038649/ex10-2.htm" TargetMode="External"/><Relationship Id="rId8" Type="http://schemas.openxmlformats.org/officeDocument/2006/relationships/hyperlink" Target="https://www.sec.gov/Archives/edgar/data/1401914/000149315226038649/ex5-1.htm" TargetMode="External"/><Relationship Id="rId9" Type="http://schemas.openxmlformats.org/officeDocument/2006/relationships/hyperlink" Target="https://www.sec.gov/Archives/edgar/data/1401914/000149315226038649/ex99-1.htm" TargetMode="External"/><Relationship Id="rId10" Type="http://schemas.openxmlformats.org/officeDocument/2006/relationships/image" Target="media/image1.jpeg"/><Relationship Id="rId11" Type="http://schemas.openxmlformats.org/officeDocument/2006/relationships/hyperlink" Target="https://www.sec.gov/Archives/edgar/data/1401914/000140191426000043/exhibit101_non-employeedir.htm" TargetMode="External"/><Relationship Id="rId12" Type="http://schemas.openxmlformats.org/officeDocument/2006/relationships/hyperlink" Target="https://www.sec.gov/Archives/edgar/data/1401914/000140191426000032/ex101_amendmentno22022sip.htm" TargetMode="External"/><Relationship Id="rId13" Type="http://schemas.openxmlformats.org/officeDocument/2006/relationships/hyperlink" Target="https://www.sec.gov/Archives/edgar/data/1401914/000140191426000043/exhibit103_non-employeedir.htm" TargetMode="External"/><Relationship Id="rId14" Type="http://schemas.openxmlformats.org/officeDocument/2006/relationships/hyperlink" Target="https://www.sec.gov/Archives/edgar/data/1401914/000140191426000043/exhibit104_gatesfoundation.htm" TargetMode="External"/><Relationship Id="rId15" Type="http://schemas.openxmlformats.org/officeDocument/2006/relationships/hyperlink" Target="https://www.sec.gov/Archives/edgar/data/1401914/000140191426000043/exhibit311_20260630.htm" TargetMode="External"/><Relationship Id="rId16" Type="http://schemas.openxmlformats.org/officeDocument/2006/relationships/hyperlink" Target="https://www.sec.gov/Archives/edgar/data/1401914/000140191426000043/exhibit321_20260630.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35403</Words>
  <Characters>195908</Characters>
  <CharactersWithSpaces>233095</CharactersWithSpaces>
  <Paragraphs>6760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