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36576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140970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August 12, 2026, 15,289,502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 </w:t>
      </w:r>
    </w:p>
    <w:p>
      <w:pPr>
        <w:pStyle w:val="TextBody"/>
        <w:bidi w:val="0"/>
        <w:spacing w:lineRule="auto" w:line="288" w:before="200" w:after="120"/>
        <w:ind w:left="0" w:right="0" w:hanging="360"/>
        <w:jc w:val="left"/>
        <w:rPr/>
      </w:pPr>
      <w:r>
        <w:rPr>
          <w:color w:val="000000"/>
        </w:rPr>
        <w:t>•</w:t>
      </w:r>
      <w:r>
        <w:rPr>
          <w:rFonts w:ascii="Arial;sans-serif" w:hAnsi="Arial;sans-serif"/>
          <w:b w:val="false"/>
          <w:i/>
          <w:color w:val="000000"/>
          <w:sz w:val="20"/>
        </w:rPr>
        <w:t>Inability to raise additional capital, under favorable terms or at all, to fund our operating needs and continue as a going concern;</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Inability to generate significant revenue from sales of DARE to PLAY and other potential compounded drugs under Section 503B of the Federal Food, Drug, and Cosmetic Act, or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Inability to maintain and enter into arrangements with outsourcing facilities on commercially reasonable terms required to compound and distribute the compounded drugs that we seek to make available under Section 503B of the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performance of third parties on which we will rely to bring to market, or assist us in bringing to market, compounded drugs;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A change in regulatory requirements related to compounded drugs under Section 503B of the FDCA;</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Difficulties or delays in commencement or completion, or the termination or suspension, of our current or planned clinical or preclinical studies;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number and scope of product development programs we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Termination by Organon of our out-license agreement for commercialization of XACIATO® (clindamycin phosphate) vaginal gel 2%, or XACIATO;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timing and amount of future upside-sharing milestone payments from XOMA under our traditional and synthetic royalty purchase agreements, if any;</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FDCA, or the FDA's 505(b)(2) pathway;</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6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our product candidates, and DARE to PLAY or potential other Section 503B compounded drugs;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The timing and amount of our payment and other obligations under our in-license and acquisition agreements for XACIATO, our product candidates, and DARE to PLAY or potential other Section 503B compounded drugs;</w:t>
      </w:r>
    </w:p>
    <w:p>
      <w:pPr>
        <w:pStyle w:val="TextBody"/>
        <w:bidi w:val="0"/>
        <w:spacing w:lineRule="auto" w:line="268" w:before="60" w:after="283"/>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Dependence on grants and other financial awards from governmental entities and private foundations to advance the development of several of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Price and volume fluctuations in the stock market, and in our stock in particular, which could cause investors to experience losses and subject us to securities class-action litigation;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60" w:after="18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Layout w:type="fixed"/>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3">
              <w:r>
                <w:rPr>
                  <w:rStyle w:val="InternetLink"/>
                  <w:rFonts w:ascii="Arial;sans-serif" w:hAnsi="Arial;sans-serif"/>
                  <w:b/>
                  <w:color w:val="0000FF"/>
                  <w:sz w:val="20"/>
                  <w:u w:val="single"/>
                </w:rPr>
                <w:t>PART I. FINANCIAL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3">
              <w:r>
                <w:rPr>
                  <w:rStyle w:val="InternetLink"/>
                  <w:rFonts w:ascii="Arial;sans-serif" w:hAnsi="Arial;sans-serif"/>
                  <w:b w:val="false"/>
                  <w:color w:val="0000FF"/>
                  <w:sz w:val="20"/>
                  <w:u w:val="single"/>
                </w:rPr>
                <w:t>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79">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79">
              <w:r>
                <w:rPr>
                  <w:rStyle w:val="InternetLink"/>
                  <w:rFonts w:ascii="Arial;sans-serif" w:hAnsi="Arial;sans-serif"/>
                  <w:b w:val="false"/>
                  <w:color w:val="0000FF"/>
                  <w:sz w:val="20"/>
                  <w:u w:val="single"/>
                </w:rPr>
                <w:t>31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03">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03">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06">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06">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09">
              <w:r>
                <w:rPr>
                  <w:rStyle w:val="InternetLink"/>
                  <w:rFonts w:ascii="Arial;sans-serif" w:hAnsi="Arial;sans-serif"/>
                  <w:b/>
                  <w:color w:val="0000FF"/>
                  <w:sz w:val="20"/>
                  <w:u w:val="single"/>
                </w:rPr>
                <w:t>PART II. OTHER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12">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12">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15">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15">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18">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18">
              <w:r>
                <w:rPr>
                  <w:rStyle w:val="InternetLink"/>
                  <w:rFonts w:ascii="Arial;sans-serif" w:hAnsi="Arial;sans-serif"/>
                  <w:b w:val="false"/>
                  <w:color w:val="0000FF"/>
                  <w:sz w:val="20"/>
                  <w:u w:val="single"/>
                </w:rPr>
                <w:t>51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21">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21">
              <w:r>
                <w:rPr>
                  <w:rStyle w:val="InternetLink"/>
                  <w:rFonts w:ascii="Arial;sans-serif" w:hAnsi="Arial;sans-serif"/>
                  <w:b w:val="false"/>
                  <w:color w:val="0000FF"/>
                  <w:sz w:val="20"/>
                  <w:u w:val="single"/>
                </w:rPr>
                <w:t>51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24">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24">
              <w:r>
                <w:rPr>
                  <w:rStyle w:val="InternetLink"/>
                  <w:rFonts w:ascii="Arial;sans-serif" w:hAnsi="Arial;sans-serif"/>
                  <w:b w:val="false"/>
                  <w:color w:val="0000FF"/>
                  <w:sz w:val="20"/>
                  <w:u w:val="single"/>
                </w:rPr>
                <w:t>51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27">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27">
              <w:r>
                <w:rPr>
                  <w:rStyle w:val="InternetLink"/>
                  <w:rFonts w:ascii="Arial;sans-serif" w:hAnsi="Arial;sans-serif"/>
                  <w:b w:val="false"/>
                  <w:color w:val="0000FF"/>
                  <w:sz w:val="20"/>
                  <w:u w:val="single"/>
                </w:rPr>
                <w:t>51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30">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30">
              <w:r>
                <w:rPr>
                  <w:rStyle w:val="InternetLink"/>
                  <w:rFonts w:ascii="Arial;sans-serif" w:hAnsi="Arial;sans-serif"/>
                  <w:b w:val="false"/>
                  <w:color w:val="0000FF"/>
                  <w:sz w:val="20"/>
                  <w:u w:val="single"/>
                </w:rPr>
                <w:t>52</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17eed380244eed866108320796089c_133">
              <w:r>
                <w:rPr>
                  <w:rStyle w:val="InternetLink"/>
                  <w:rFonts w:ascii="Arial;sans-serif" w:hAnsi="Arial;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eed380244eed866108320796089c_133">
              <w:r>
                <w:rPr>
                  <w:rStyle w:val="InternetLink"/>
                  <w:rFonts w:ascii="Arial;sans-serif" w:hAnsi="Arial;sans-serif"/>
                  <w:b w:val="false"/>
                  <w:color w:val="0000FF"/>
                  <w:sz w:val="20"/>
                  <w:u w:val="single"/>
                </w:rPr>
                <w:t>54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63"/>
        <w:gridCol w:w="2125"/>
        <w:gridCol w:w="2052"/>
        <w:gridCol w:w="211"/>
        <w:gridCol w:w="1126"/>
        <w:gridCol w:w="109"/>
        <w:gridCol w:w="109"/>
        <w:gridCol w:w="109"/>
        <w:gridCol w:w="109"/>
        <w:gridCol w:w="211"/>
        <w:gridCol w:w="1126"/>
        <w:gridCol w:w="155"/>
      </w:tblGrid>
      <w:tr>
        <w:trPr/>
        <w:tc>
          <w:tcPr>
            <w:tcW w:w="2763"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24,711,356 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16,686,163 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27,063,879 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1,097,580 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right-of-use asset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22,370,109 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32,474,563 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19,651,452 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liability related to the sale of future royalties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liabilities,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liability, finance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16,922,620 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23,685,687 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long-term,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22,930,209 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29,631,929 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9)</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(deficit) equity</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4,999,620 and 0 designated Series A Convertible Preferred Stock at June 30, 2026 and December 31, 2025, respectively; 75,900 and 0 issued and outstanding at June 30, 2026 and December 31, 2025, respectively. Liquidation preference of $0.4 million and $0 at June 30, 2026 and December 31, 2025,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15,169,502 and 14,499,502 shares issued and outstanding at June 30, 2026 and December 31, 2025,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194,484,046 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191,951,711 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(421,623)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(194,671,566)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(188,688,904)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(deficit) equity</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2,842,634 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(deficit)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22,370,109 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32,474,563 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Arial;sans-serif" w:hAnsi="Arial;sans-serif"/>
          <w:b w:val="false"/>
          <w:color w:val="000000"/>
          <w:sz w:val="20"/>
        </w:rPr>
        <w:t xml:space="preserve">, </w:t>
      </w:r>
      <w:r>
        <w:rPr>
          <w:rFonts w:ascii="Arial;sans-serif" w:hAnsi="Arial;sans-serif"/>
          <w:b/>
          <w:color w:val="000000"/>
          <w:sz w:val="20"/>
        </w:rPr>
        <w:t>Inc</w:t>
      </w:r>
      <w:r>
        <w:rPr>
          <w:rFonts w:ascii="Arial;sans-serif" w:hAnsi="Arial;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85"/>
        <w:gridCol w:w="1135"/>
        <w:gridCol w:w="1147"/>
        <w:gridCol w:w="211"/>
        <w:gridCol w:w="1057"/>
        <w:gridCol w:w="109"/>
        <w:gridCol w:w="109"/>
        <w:gridCol w:w="109"/>
        <w:gridCol w:w="109"/>
        <w:gridCol w:w="211"/>
        <w:gridCol w:w="1057"/>
        <w:gridCol w:w="109"/>
        <w:gridCol w:w="109"/>
        <w:gridCol w:w="109"/>
        <w:gridCol w:w="109"/>
        <w:gridCol w:w="211"/>
        <w:gridCol w:w="1057"/>
        <w:gridCol w:w="109"/>
        <w:gridCol w:w="109"/>
        <w:gridCol w:w="109"/>
        <w:gridCol w:w="109"/>
        <w:gridCol w:w="211"/>
        <w:gridCol w:w="1057"/>
        <w:gridCol w:w="158"/>
      </w:tblGrid>
      <w:tr>
        <w:trPr/>
        <w:tc>
          <w:tcPr>
            <w:tcW w:w="13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5,744,665 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(2,967,980)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(5,966,878)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(2,982,773)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(2,980,548)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(5,935,894)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(8,368,807)</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14,889,832 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8,871,155 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14,707,347 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8,815,414 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p>
      <w:pPr>
        <w:pStyle w:val="TextBody"/>
        <w:bidi w:val="0"/>
        <w:spacing w:before="0" w:after="0"/>
        <w:jc w:val="left"/>
        <w:rPr/>
      </w:pPr>
      <w:r>
        <w:rPr/>
      </w:r>
    </w:p>
    <w:tbl>
      <w:tblPr>
        <w:tblW w:w="13405" w:type="dxa"/>
        <w:jc w:val="center"/>
        <w:tblInd w:w="0" w:type="dxa"/>
        <w:tblLayout w:type="fixed"/>
        <w:tblCellMar>
          <w:top w:w="28" w:type="dxa"/>
          <w:left w:w="28" w:type="dxa"/>
          <w:bottom w:w="28" w:type="dxa"/>
          <w:right w:w="28" w:type="dxa"/>
        </w:tblCellMar>
      </w:tblPr>
      <w:tblGrid>
        <w:gridCol w:w="625"/>
        <w:gridCol w:w="325"/>
        <w:gridCol w:w="326"/>
        <w:gridCol w:w="419"/>
        <w:gridCol w:w="422"/>
        <w:gridCol w:w="216"/>
        <w:gridCol w:w="109"/>
        <w:gridCol w:w="109"/>
        <w:gridCol w:w="109"/>
        <w:gridCol w:w="211"/>
        <w:gridCol w:w="481"/>
        <w:gridCol w:w="109"/>
        <w:gridCol w:w="109"/>
        <w:gridCol w:w="109"/>
        <w:gridCol w:w="109"/>
        <w:gridCol w:w="548"/>
        <w:gridCol w:w="548"/>
        <w:gridCol w:w="216"/>
        <w:gridCol w:w="109"/>
        <w:gridCol w:w="109"/>
        <w:gridCol w:w="109"/>
        <w:gridCol w:w="211"/>
        <w:gridCol w:w="631"/>
        <w:gridCol w:w="109"/>
        <w:gridCol w:w="109"/>
        <w:gridCol w:w="109"/>
        <w:gridCol w:w="109"/>
        <w:gridCol w:w="211"/>
        <w:gridCol w:w="1201"/>
        <w:gridCol w:w="109"/>
        <w:gridCol w:w="109"/>
        <w:gridCol w:w="109"/>
        <w:gridCol w:w="109"/>
        <w:gridCol w:w="240"/>
        <w:gridCol w:w="956"/>
        <w:gridCol w:w="125"/>
        <w:gridCol w:w="109"/>
        <w:gridCol w:w="109"/>
        <w:gridCol w:w="109"/>
        <w:gridCol w:w="211"/>
        <w:gridCol w:w="1201"/>
        <w:gridCol w:w="109"/>
        <w:gridCol w:w="109"/>
        <w:gridCol w:w="109"/>
        <w:gridCol w:w="109"/>
        <w:gridCol w:w="211"/>
        <w:gridCol w:w="99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05"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(deficit)</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2025</w:t>
            </w:r>
          </w:p>
        </w:tc>
        <w:tc>
          <w:tcPr>
            <w:tcW w:w="8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14,499,502</w:t>
            </w: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191,951,711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(421,623)</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(188,688,904)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2,842,634</w:t>
            </w: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Series A Convertible Preferred Stock and warrants in connection with Regulation A financing, net of issuance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2026</w:t>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65,640 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14,559,502 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192,798,213 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(377,081)</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(191,688,793)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734,451 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Series A Convertible Preferred Stock and warrants in connection with Regulation A financing, net of issuance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Series A Preferred Stock into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issuance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75,900</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15,169,502</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194,484,046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(374,856)</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(194,671,566)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(560,100)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tbl>
      <w:tblPr>
        <w:tblW w:w="12854" w:type="dxa"/>
        <w:jc w:val="center"/>
        <w:tblInd w:w="0" w:type="dxa"/>
        <w:tblLayout w:type="fixed"/>
        <w:tblCellMar>
          <w:top w:w="28" w:type="dxa"/>
          <w:left w:w="28" w:type="dxa"/>
          <w:bottom w:w="28" w:type="dxa"/>
          <w:right w:w="28" w:type="dxa"/>
        </w:tblCellMar>
      </w:tblPr>
      <w:tblGrid>
        <w:gridCol w:w="685"/>
        <w:gridCol w:w="325"/>
        <w:gridCol w:w="326"/>
        <w:gridCol w:w="215"/>
        <w:gridCol w:w="215"/>
        <w:gridCol w:w="216"/>
        <w:gridCol w:w="109"/>
        <w:gridCol w:w="109"/>
        <w:gridCol w:w="109"/>
        <w:gridCol w:w="236"/>
        <w:gridCol w:w="406"/>
        <w:gridCol w:w="109"/>
        <w:gridCol w:w="109"/>
        <w:gridCol w:w="109"/>
        <w:gridCol w:w="109"/>
        <w:gridCol w:w="495"/>
        <w:gridCol w:w="496"/>
        <w:gridCol w:w="216"/>
        <w:gridCol w:w="109"/>
        <w:gridCol w:w="109"/>
        <w:gridCol w:w="109"/>
        <w:gridCol w:w="211"/>
        <w:gridCol w:w="481"/>
        <w:gridCol w:w="109"/>
        <w:gridCol w:w="109"/>
        <w:gridCol w:w="109"/>
        <w:gridCol w:w="109"/>
        <w:gridCol w:w="211"/>
        <w:gridCol w:w="1201"/>
        <w:gridCol w:w="109"/>
        <w:gridCol w:w="109"/>
        <w:gridCol w:w="109"/>
        <w:gridCol w:w="109"/>
        <w:gridCol w:w="240"/>
        <w:gridCol w:w="956"/>
        <w:gridCol w:w="125"/>
        <w:gridCol w:w="109"/>
        <w:gridCol w:w="109"/>
        <w:gridCol w:w="109"/>
        <w:gridCol w:w="211"/>
        <w:gridCol w:w="1201"/>
        <w:gridCol w:w="109"/>
        <w:gridCol w:w="109"/>
        <w:gridCol w:w="109"/>
        <w:gridCol w:w="109"/>
        <w:gridCol w:w="211"/>
        <w:gridCol w:w="1096"/>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5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4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8,700,386</w:t>
            </w: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169,705,480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(428,809)</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(175,289,630)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(6,012,089)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issuance costs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2025</w:t>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8,850,386 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170,519,070 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(415,719)</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(179,667,937)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(9,563,701)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4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9,030,386</w:t>
            </w:r>
            <w:r>
              <w:rPr>
                <w:color w:val="000000"/>
              </w:rPr>
              <w:t>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171,353,083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(402,826)</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(183,684,420)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(12,733,260)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642"/>
        <w:gridCol w:w="2177"/>
        <w:gridCol w:w="2190"/>
        <w:gridCol w:w="211"/>
        <w:gridCol w:w="1126"/>
        <w:gridCol w:w="109"/>
        <w:gridCol w:w="109"/>
        <w:gridCol w:w="109"/>
        <w:gridCol w:w="109"/>
        <w:gridCol w:w="211"/>
        <w:gridCol w:w="1056"/>
        <w:gridCol w:w="156"/>
      </w:tblGrid>
      <w:tr>
        <w:trPr/>
        <w:tc>
          <w:tcPr>
            <w:tcW w:w="2642"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deferred offering costs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 operating lease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royalty revenue related to sale of future royalties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(4,234,748)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(12,295,690)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(10,887,999)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common stock</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Series A Convertible Preferred Stock and warrants in connection with Regulation A financing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deferred offering costs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financing lease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202,783 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and restricted cash </w:t>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(12,093,762)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(10,663,168)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12,917,594 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consolidated balance sheets:</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5,035,006 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12,917,594 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Conversion of Series A preferred stock into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right-of-use assets obtained in exchange for new financing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rent reclassified to finance lease right-of-use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payment due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and equipment included in accrued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 xml:space="preserve">1.    ORGANIZATION AND DESCRIPTION OF BUSINESS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lineRule="auto" w:line="288" w:before="160" w:after="283"/>
        <w:ind w:left="0" w:right="0" w:firstLine="720"/>
        <w:jc w:val="both"/>
        <w:rPr/>
      </w:pPr>
      <w:r>
        <w:rPr>
          <w:rFonts w:ascii="Arial;sans-serif" w:hAnsi="Arial;sans-serif"/>
          <w:b w:val="false"/>
          <w:color w:val="000000"/>
          <w:sz w:val="20"/>
        </w:rPr>
        <w:t>The Company’s operations have historically focused on research and development activities to advance its product candidates through clinical development and regulatory approval</w:t>
      </w:r>
      <w:r>
        <w:rPr>
          <w:rFonts w:ascii="Arial;sans-serif" w:hAnsi="Arial;sans-serif"/>
          <w:b w:val="false"/>
          <w:i/>
          <w:color w:val="000000"/>
          <w:sz w:val="20"/>
        </w:rPr>
        <w:t xml:space="preserve">. </w:t>
      </w:r>
      <w:r>
        <w:rPr>
          <w:rFonts w:ascii="Arial;sans-serif" w:hAnsi="Arial;sans-serif"/>
          <w:b w:val="false"/>
          <w:color w:val="000000"/>
          <w:sz w:val="20"/>
        </w:rPr>
        <w:t>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approval from the U.S. Food and Drug Administration (FDA)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503B-registered outsourcing facilities and select consumer health channels. The Company uses the term "Section 503B compounding" to refer to the production and supply of compounded drugs by outsourcing facilities registered under Section 503B of the FDCA without patient-specific prescriptions in accordance with Section 503B of the FDCA. In addition to prescription-based offerings — both products approved by the FDA and compounded drugs— the Company intends to bring to market select consumer health products that do not require a physician’s prescription.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of product candidates includes drug and drug/device product candidates and potential product candidates in various stages of development, from preclinical through a Phase 3 clinical study, and will require review and approval from the FDA or a comparable foreign regulatory authority, prior to being marketed and sold.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2025, or the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and the recoverability of advances to suppliers.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grant funds under grant agreements with private foundations. The grant funds received under these agreements may be applied solely toward direct costs for the projects funded under these grant agreements, or grant-funded projects, subject to an indirect cost allowance of approximately 5% to 22%. In accordance with GAAP, grant funds received under these grant agreements but not yet expended on direct costs for grant-funded projects and the associated indirect cost allowance are recorded both in cash and cash equivalents and in the deferred grant funding liability in the Company's condensed consolidated balance sheets. As of June 30, 2026, the Company's deferred grant funding liability, which is classified as a current liability on the Company's condensed consolidated balance sheets, was approximately $15.0 million. As the Company incurs and expenses direct costs for grant-funded projects, the deferred grant funding liability is reduced accordingly. However, the deferred grant funding liability may not always correspond directly to the amount of grant funds and the associated indirect cost allowance remaining in cash and cash equivalents. This can occur when the Company incurs direct costs for grant-funded projects in a particular period, thereby reducing its cash, but the related expense is not recognized in the same period due to timing differences under GAAP, resulting in no corresponding reduction of the deferred grant funding liability. As a result of these timing differences, when this occurs, a portion of the Company's cash and cash equivalents that has already been disbursed for grant-funded project costs continues to be reflected in the deferred grant funding liability until the related expense is recognized under GAAP. See Note 10, Grant Awards for additional information. At June 30, 2026, the Company had cash and cash equivalents of approximately $12.6 million, all of which represented grant funds received under grant agreements with the private foundations. As of June 30, 2026, the Company had a working capital deficit, which is calculated as current assets minus current liabilities, including the deferred grant funding liability, of approximately $0.2 million. </w:t>
      </w:r>
    </w:p>
    <w:p>
      <w:pPr>
        <w:pStyle w:val="TextBody"/>
        <w:bidi w:val="0"/>
        <w:spacing w:lineRule="auto" w:line="288" w:before="160" w:after="283"/>
        <w:ind w:left="0" w:right="0" w:firstLine="720"/>
        <w:jc w:val="both"/>
        <w:rPr/>
      </w:pPr>
      <w:r>
        <w:rPr>
          <w:rFonts w:ascii="Arial;sans-serif" w:hAnsi="Arial;sans-serif"/>
          <w:b w:val="false"/>
          <w:color w:val="000000"/>
          <w:sz w:val="20"/>
        </w:rPr>
        <w:t>The Company will require additional capital to advance the development programs in its pipeline that are not currently being supported by non-dilutive grant or other funding, to enable further investment across its entire portfolio of product candidates, and to support its operating plan. The Company will continue to evaluate and may pursue various capital raising options, including sales of equity, debt financings, government or other grant funding, collaborations, structured financings, and commercial collaborations or other strategic transactions.</w:t>
      </w:r>
      <w:r>
        <w:rPr>
          <w:color w:val="000000"/>
        </w:rPr>
        <w:t xml:space="preserve"> </w:t>
      </w:r>
      <w:r>
        <w:rPr>
          <w:rFonts w:ascii="Arial;sans-serif" w:hAnsi="Arial;sans-serif"/>
          <w:b w:val="false"/>
          <w:color w:val="000000"/>
          <w:sz w:val="20"/>
        </w:rPr>
        <w:t>The Company’s ability to obtain additional capital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 revenue streams.</w:t>
      </w:r>
      <w:r>
        <w:rPr>
          <w:color w:val="000000"/>
        </w:rPr>
        <w:t xml:space="preserve"> </w:t>
      </w:r>
      <w:r>
        <w:rPr>
          <w:rFonts w:ascii="Arial;sans-serif" w:hAnsi="Arial;sans-serif"/>
          <w:b w:val="false"/>
          <w:color w:val="000000"/>
          <w:sz w:val="20"/>
        </w:rPr>
        <w:t>If the Company cannot raise capital when needed, on favorable terms or at all, the Company will need to reevaluate its planned operations and may need to delay, scale back or eliminate some or all of its product candidate programs and/or reduce expenses.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a history of losses from operations, net losses and negative cash flows from operations. At June 30, 2026, the Company had an accumulated deficit of approximately $194.7 million and the Company incurred a net loss of approximately $6.0 million and had negative cash flow from operations of approximately $12.3 million for the six months ended June 30, 2026.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 described above, there is substantial doubt about the Company's ability to continue as a going concern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within the 12 month period from the issuance date of the accompanying condensed consolidated financial statements given that the timing and amount of potential revenue the Company may generate remain uncertain.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described in Note 2 to the consolidated financial statements included in the 2025 10-K. Since the date on which the 2025 10-K was filed with the U.S. Securities and Exchange Commission, or the SEC, there have been no material changes to the Company’s significant accounting policies except as described below. </w:t>
      </w:r>
    </w:p>
    <w:p>
      <w:pPr>
        <w:pStyle w:val="TextBody"/>
        <w:bidi w:val="0"/>
        <w:spacing w:lineRule="auto" w:line="276" w:before="160" w:after="283"/>
        <w:ind w:left="0" w:right="0" w:firstLine="7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60" w:after="283"/>
        <w:ind w:left="0" w:right="0" w:firstLine="720"/>
        <w:jc w:val="both"/>
        <w:rPr/>
      </w:pPr>
      <w:r>
        <w:rPr>
          <w:rFonts w:ascii="Arial;sans-serif" w:hAnsi="Arial;sans-serif"/>
          <w:b w:val="false"/>
          <w:i/>
          <w:color w:val="000000"/>
          <w:sz w:val="20"/>
        </w:rPr>
        <w:t xml:space="preserve">Research and Development Services Revenue. </w:t>
      </w:r>
      <w:r>
        <w:rPr>
          <w:rFonts w:ascii="Arial;sans-serif" w:hAnsi="Arial;sans-serif"/>
          <w:b w:val="false"/>
          <w:color w:val="000000"/>
          <w:sz w:val="20"/>
        </w:rPr>
        <w:t xml:space="preserve">In September and October 2025, the Company entered into two separate services agreements with the Gates Foundation (the "Foundation") (collectively, "Foundation Services Agreements"): (i) a Preeclampsia Project Support and Mentorship Agreement (the "Preeclampsia Agreement"), under which the Company may receive up to approximately $499,000, and (ii) a Contraceptive Landscape Review Agreement (the "Contraceptive Landscape Review Agreement"), under which the Company may receive up to approximately $300,000. The Foundation Services Agreements are accounted for as contracts with a customer under FASB Accounting Standards Codification ("ASC") 606, as each represents an exchange transaction in which the Foundation obtains services that directly benefit the Foundation, and for which the Foundation is the sole owner of all deliverables produced in exchange for consideration. The work under both agreements commenced in November 2025.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recognizes revenue from the Foundation Services Agreements when, or as, the related performance obligations are satisfied. Under the Preeclampsia Agreement, the Company provides ongoing project management, technical guidance, and mentorship services, and under the Contraceptive Landscape Review Agreement, the Company is engaged to perform an assessment of certain organizations with capabilities in contraceptives. In both cases, the transaction price is variable, based on actual hours incurred by designated personnel multiplied by agreed upon billing rates, and is recognized over time in the period in which the services are performed. Both contracts are rolling 30-day contracts and the Company invoices the Foundation in arrears on a monthly basis. To date, the Company has recognized approximately $0.4 million in research and development services revenue related to the Foundation Services Agreements. </w:t>
      </w:r>
    </w:p>
    <w:p>
      <w:pPr>
        <w:pStyle w:val="TextBody"/>
        <w:bidi w:val="0"/>
        <w:spacing w:lineRule="auto" w:line="288" w:before="160" w:after="120"/>
        <w:ind w:left="0" w:right="0" w:firstLine="720"/>
        <w:jc w:val="both"/>
        <w:rPr/>
      </w:pPr>
      <w:r>
        <w:rPr>
          <w:rFonts w:ascii="Arial;sans-serif" w:hAnsi="Arial;sans-serif"/>
          <w:b/>
          <w:i/>
          <w:color w:val="000000"/>
          <w:sz w:val="20"/>
        </w:rPr>
        <w:t>Advances</w:t>
      </w:r>
      <w:r>
        <w:rPr>
          <w:color w:val="000000"/>
        </w:rPr>
        <w:t xml:space="preserve"> </w:t>
      </w:r>
      <w:r>
        <w:rPr>
          <w:rFonts w:ascii="Arial;sans-serif" w:hAnsi="Arial;sans-serif"/>
          <w:b/>
          <w:i/>
          <w:color w:val="000000"/>
          <w:sz w:val="20"/>
        </w:rPr>
        <w:t>to Suppliers</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From time to time, the Company makes unsecured advances to certain suppliers, specifically, the Section 503B-registered outsourcing facilities engaged to manufacture and distribute the Company's Section 503B products. These advances are generally non-interest bearing and are expected to be repaid to the Company through discounts applied to future manufacturing costs or through direct cash payments. Such advances are classified in the condensed consolidated balance sheets based on the estimated repayment period. Amounts expected to be recovered within one year are classified as other receivables, while amounts expected to be recovered beyond one year are classified within other non-current assets. Repayment periods for outstanding advances currently range from two to four years. As of June 30, 2026, total outstanding advances were approximately $2.1 million, consisting of $0.4 million classified as other receivables and $1.7 million classified within other non-current assets. As of </w:t>
      </w:r>
      <w:r>
        <w:rPr>
          <w:rFonts w:ascii="Arial;sans-serif" w:hAnsi="Arial;sans-serif"/>
          <w:b w:val="false"/>
          <w:color w:val="191C1F"/>
          <w:sz w:val="20"/>
        </w:rPr>
        <w:t>December 31, 2025</w:t>
      </w:r>
      <w:r>
        <w:rPr>
          <w:rFonts w:ascii="Arial;sans-serif" w:hAnsi="Arial;sans-serif"/>
          <w:b w:val="false"/>
          <w:color w:val="000000"/>
          <w:sz w:val="20"/>
        </w:rPr>
        <w:t xml:space="preserve">, total outstanding advances were approximately $0.4 million, all of which were classified as other receivables. The Company evaluates advances for impairment each reporting period. An advance is considered impaired when, based on current information and events, it is probable that the Company will be unable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collect the amounts due. As of June 30, 2026, the Company determined that all outstanding advances are probable of full recovery and, accordingly, no impairment has been recognized.</w:t>
      </w:r>
    </w:p>
    <w:p>
      <w:pPr>
        <w:pStyle w:val="TextBody"/>
        <w:bidi w:val="0"/>
        <w:spacing w:lineRule="auto" w:line="288" w:before="160" w:after="120"/>
        <w:ind w:left="0" w:right="0" w:firstLine="720"/>
        <w:jc w:val="both"/>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Company applies the guidance enumerated in ASC 480, when determining the classification and measurement of preferred stock. Preferred stock subject to mandatory redemption, if any, is classified as a liability and is measured at fair value. The Company classifies conditionally redeemable preferred stock,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Selected Significant Accounting Policies</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June 30, 2026 and December 31, 2025. There were no financial assets or liabilities that were remeasured using other observable inputs (Level 2) or using unobservable inputs (Level 3) as of June 30, 2026 or December 31, 2025.</w:t>
      </w:r>
    </w:p>
    <w:tbl>
      <w:tblPr>
        <w:tblW w:w="8250" w:type="dxa"/>
        <w:jc w:val="center"/>
        <w:tblInd w:w="0" w:type="dxa"/>
        <w:tblLayout w:type="fixed"/>
        <w:tblCellMar>
          <w:top w:w="28" w:type="dxa"/>
          <w:left w:w="28" w:type="dxa"/>
          <w:bottom w:w="28" w:type="dxa"/>
          <w:right w:w="28" w:type="dxa"/>
        </w:tblCellMar>
      </w:tblPr>
      <w:tblGrid>
        <w:gridCol w:w="1042"/>
        <w:gridCol w:w="917"/>
        <w:gridCol w:w="921"/>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June 30, 2026</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12,319,934 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2025</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24,356,333 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24,356,333 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88" w:before="240" w:after="120"/>
        <w:ind w:left="0" w:right="0" w:firstLine="720"/>
        <w:jc w:val="both"/>
        <w:rPr/>
      </w:pPr>
      <w:r>
        <w:rPr>
          <w:rFonts w:ascii="Arial;sans-serif" w:hAnsi="Arial;sans-serif"/>
          <w:b w:val="false"/>
          <w:color w:val="000000"/>
          <w:sz w:val="20"/>
        </w:rPr>
        <w:t xml:space="preserve">The carrying amounts of all prepaid expenses and other current assets, accounts payable and accrued liabilities are considered to be representative of their respective fair values because of the short-term nature of those instruments. In addition, the carrying value of the liability related to the sale of future royalties approximates its fair value as of </w:t>
      </w:r>
      <w:r>
        <w:rPr>
          <w:rFonts w:ascii="Arial;sans-serif" w:hAnsi="Arial;sans-serif"/>
          <w:b w:val="false"/>
          <w:color w:val="191C1F"/>
          <w:sz w:val="20"/>
        </w:rPr>
        <w:t>June 30, 2026</w:t>
      </w:r>
      <w:r>
        <w:rPr>
          <w:rFonts w:ascii="Arial;sans-serif" w:hAnsi="Arial;sans-serif"/>
          <w:b w:val="false"/>
          <w:color w:val="000000"/>
          <w:sz w:val="20"/>
        </w:rPr>
        <w:t>, and is based on the Company’s current estimate of future royalties expected to be earned over the estimated life of the royalty interest financing arrangement. See Note 7 for the description of the Level 3 inputs used to estimate the carrying value of the liability.</w:t>
      </w:r>
    </w:p>
    <w:p>
      <w:pPr>
        <w:pStyle w:val="TextBody"/>
        <w:bidi w:val="0"/>
        <w:spacing w:lineRule="auto" w:line="288" w:before="160" w:after="120"/>
        <w:ind w:left="0" w:right="0" w:firstLine="720"/>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June 30, 2026, related to (i) letters of credit established under real property leases for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 xml:space="preserve">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 </w:t>
      </w:r>
    </w:p>
    <w:p>
      <w:pPr>
        <w:pStyle w:val="TextBody"/>
        <w:bidi w:val="0"/>
        <w:spacing w:lineRule="auto" w:line="276" w:before="160" w:after="120"/>
        <w:jc w:val="both"/>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rFonts w:ascii="Arial;sans-serif" w:hAnsi="Arial;sans-serif"/>
          <w:b w:val="false"/>
          <w:color w:val="000000"/>
          <w:sz w:val="20"/>
        </w:rPr>
        <w:t>,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pStyle w:val="TextBody"/>
        <w:bidi w:val="0"/>
        <w:spacing w:lineRule="auto" w:line="288" w:before="160" w:after="283"/>
        <w:ind w:left="0" w:right="0" w:firstLine="72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Targeted Improvements to the Accounting for Internal Use Software</w:t>
      </w:r>
      <w:r>
        <w:rPr>
          <w:rFonts w:ascii="Arial;sans-serif" w:hAnsi="Arial;sans-serif"/>
          <w:b w:val="false"/>
          <w:color w:val="000000"/>
          <w:sz w:val="20"/>
        </w:rPr>
        <w:t>, which modernizes the accounting guidance for costs associated with developing or obtaining internal-use software. The ASU eliminates the previous stage-based model (preliminary project stage, application development stage, and post-implementation-stage) and replaces it with a principles-based approach that better aligns with modern software development practices, including agile and iterative methodologies. Under the new guidance, companies may begin to capitalize internal-use software development costs when (1) management has authorized and committed to funding the project, and (2) it is probable that the project will be completed and the software will be used as intended. The ASU also supersedes the separate guidance on website development costs and incorporates it into the internal-use software framework. This guidance is effective for annual reporting periods beginning after December 15, 2027, and interim reporting periods within those annual reporting periods. Early adoption is permitted. The Company is evaluating the impact of adopting ASU 2025-06 on its consolidated financial statements and related disclosures.</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rFonts w:ascii="Arial;sans-serif" w:hAnsi="Arial;sans-serif"/>
          <w:b w:val="false"/>
          <w:color w:val="000000"/>
          <w:sz w:val="20"/>
        </w:rPr>
        <w:t xml:space="preserve">.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 </w:t>
      </w:r>
    </w:p>
    <w:p>
      <w:pPr>
        <w:pStyle w:val="TextBody"/>
        <w:bidi w:val="0"/>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does not believe other recently issued but not yet effective accounting standards, if currently adopted, would have a material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In 2022, the Company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sans-serif" w:hAnsi="Arial;sans-serif"/>
          <w:b w:val="false"/>
          <w:color w:val="191C1F"/>
          <w:sz w:val="20"/>
        </w:rPr>
        <w:t>June 30, 2026</w:t>
      </w:r>
      <w:r>
        <w:rPr>
          <w:rFonts w:ascii="Arial;sans-serif" w:hAnsi="Arial;sans-serif"/>
          <w:b w:val="false"/>
          <w:color w:val="000000"/>
          <w:sz w:val="20"/>
        </w:rPr>
        <w:t xml:space="preserve">, the Company has received a total of $12.8 million in non-refundable payments, all of which have been recorded as license fee revenue in historical periods.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There have been no subsequent changes to the transaction price since 2023.</w:t>
      </w:r>
    </w:p>
    <w:p>
      <w:pPr>
        <w:pStyle w:val="TextBody"/>
        <w:bidi w:val="0"/>
        <w:spacing w:lineRule="auto" w:line="288" w:before="200" w:after="283"/>
        <w:ind w:left="0" w:right="0" w:firstLine="720"/>
        <w:jc w:val="both"/>
        <w:rPr/>
      </w:pPr>
      <w:r>
        <w:rPr>
          <w:rFonts w:ascii="Arial;sans-serif" w:hAnsi="Arial;sans-serif"/>
          <w:b w:val="false"/>
          <w:color w:val="000000"/>
          <w:sz w:val="20"/>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2020, the Company entered into a license agreement with Bayer, regarding the further development and commercialization of Ovaprene in the U.S. In November 2025, the Company received notice from Bayer that it was terminating the license agreement. The Company and Bayer mutually agreed to terminate the agreement effective as of December 2, 2025.</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license agreement, the Company received a $1.0 million upfront non-refundable license fee payment from Bayer, which was recorded as license revenue when the agreement terminated. See Note 2, Basis of Presentation and Summary of Significant Accounting Policies – Revenue Recognition—Bayer License, to our consolidated financial statements contained in the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Theramex Co-Development and Licensing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The license fee paid by the Company during the first quarter of 2025 was recorded as research and development expense. Given that the product is in an ongoing Phase 1 study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 </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June 30, 2026, no payments had been made under the Douglas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June 30, 2026,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or MBI, to secure the rights to develop a long-acting reversible contraception method, that a woman can turn on or off herself, according to her own needs.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candidate is now known as DARE-LARC1 and the drug delivery technology underlying DARE-LARC1 is now known as the Company's intelligent drug delivery system platform, DARE-IDDS.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2021, a total of $1.25 million of the contingent consideration became payable, $75,000 of which was paid in cash and the balance of which was paid in shares of the Company's common stock, as permitted by the terms of the merger agreement. As of June 30, 2026, no additional payments have been made under this agreement.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2022, the Company entered into a Consent, Waiver and Stand-By License Agreement with TriLogic, MilanaPharm and Organon, which further amended the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June 30, 2026.</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June 30, 2026, no payments have been made under this agreement.</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June 30, 2026;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June 30, 2026, no such payments have been made under this agreement.</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June 30, 2026, $1.0 million has been paid under this agreement, which was paid in February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will pay ADVA-Tec (a) up to $14.6 million in the aggregate based on the achievement of specified development and regulatory milestones, and (b) up to $20.0 million in the aggregate based on the achievement of certain worldwide net sales milestones. As of June 30, 2026, $1.2 million in milestone payments have been paid, all of which were made prior to the periods presented in these condensed consolidated financial statements.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Equity Line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through December 1, 2026.</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may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the Company's 2026 annual meeting of stockholders in June 2026, the Company received stockholder approval to issue shares of common stock under the purchase agreement to Lincoln Park in excess of the Exchange Cap (as described below), thereby eliminating the Exchange Cap limitation. The Exchange Cap was a limitation imposed under applicable Nasdaq rules on the number of shares that the Company could issue and sell to Lincoln Park under the purchase agreement, unless the average price of all applicable sales of the Company's common stock to Lincoln Park under the purchase agreement equaled or exceeded $3.59 per share. </w:t>
      </w:r>
    </w:p>
    <w:p>
      <w:pPr>
        <w:pStyle w:val="TextBody"/>
        <w:bidi w:val="0"/>
        <w:spacing w:lineRule="auto" w:line="288" w:before="200" w:after="283"/>
        <w:ind w:left="0" w:right="0" w:firstLine="720"/>
        <w:jc w:val="both"/>
        <w:rPr/>
      </w:pPr>
      <w:r>
        <w:rPr>
          <w:rFonts w:ascii="Arial;sans-serif" w:hAnsi="Arial;sans-serif"/>
          <w:b w:val="false"/>
          <w:color w:val="000000"/>
          <w:sz w:val="20"/>
        </w:rPr>
        <w:t>During the six months ended June 30, 2026 and 2025, the Company sold 150,000 and 330,000 shares of common stock, respectively, under this agreement for net proceeds of approximately $0.3 million and $0.9 million, respectively.</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June 30, 2026, the Company wrote off approximately $0.2 million of previously deferred offering costs related to the Lincoln Park purchase agreement, which is reflected in selling, general and administrative expense in the condensed consolidated statements of operations for the three and six months ended June 30, 2026. The write-off resulted from a reduction in the Company's estimate of the total proceeds expected to be raised under the Lincoln Park purchase agreement, based on management's assessment of the amount that could reasonably be expected to be sold under the agreement through December 1, 2026.</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The Company sold no shares of common stock under this agreement during either of the six months ended June 30, 2026 or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warrants outstanding as of June 30, 2026, are exercisable into 1,940,371 shares of common stock which shares had a fair value of $2.11 per share, based on the closing market price of the Company's common stock on June 30, 2026. The aggregate intrinsic value of warrants outstanding as of June 30, 2026, is calculated as the difference between the exercise price of the warrants and the closing market price of the Company's common stock on that date. The intrinsic value of warrants outstanding as of June 30, 2026, was zero. The Company has performed an assessment of all warrants issued and determined that the Company's warrants are equity-classified.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common stock warrants outstanding as of June 30, 2026 and December 31, 2025 is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09"/>
        <w:gridCol w:w="788"/>
        <w:gridCol w:w="790"/>
        <w:gridCol w:w="859"/>
        <w:gridCol w:w="447"/>
        <w:gridCol w:w="267"/>
        <w:gridCol w:w="254"/>
        <w:gridCol w:w="254"/>
        <w:gridCol w:w="254"/>
        <w:gridCol w:w="653"/>
        <w:gridCol w:w="639"/>
        <w:gridCol w:w="381"/>
        <w:gridCol w:w="137"/>
        <w:gridCol w:w="137"/>
        <w:gridCol w:w="137"/>
        <w:gridCol w:w="276"/>
        <w:gridCol w:w="983"/>
        <w:gridCol w:w="142"/>
        <w:gridCol w:w="137"/>
        <w:gridCol w:w="137"/>
        <w:gridCol w:w="137"/>
        <w:gridCol w:w="403"/>
        <w:gridCol w:w="403"/>
        <w:gridCol w:w="581"/>
      </w:tblGrid>
      <w:tr>
        <w:trPr/>
        <w:tc>
          <w:tcPr>
            <w:tcW w:w="10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Quantity of Warrants Outstanding as of</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2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Initial Royalty Warrant </w:t>
            </w:r>
            <w:r>
              <w:rPr>
                <w:rFonts w:ascii="Arial;sans-serif" w:hAnsi="Arial;sans-serif"/>
                <w:b w:val="false"/>
                <w:color w:val="000000"/>
                <w:sz w:val="13"/>
              </w:rPr>
              <w:t>(1)*</w:t>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422,804 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422,804 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12/22/2028</w:t>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September 2023 Warrants </w:t>
            </w:r>
            <w:r>
              <w:rPr>
                <w:rFonts w:ascii="Arial;sans-serif" w:hAnsi="Arial;sans-serif"/>
                <w:b w:val="false"/>
                <w:color w:val="000000"/>
                <w:sz w:val="13"/>
              </w:rPr>
              <w:t>(2)*</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3/1/2029</w:t>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October 2016 Warrants </w:t>
            </w:r>
            <w:r>
              <w:rPr>
                <w:rFonts w:ascii="Arial;sans-serif" w:hAnsi="Arial;sans-serif"/>
                <w:b w:val="false"/>
                <w:color w:val="000000"/>
                <w:sz w:val="13"/>
              </w:rPr>
              <w:t>(3)</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10/4/2026</w:t>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Regulation A Offering Investor Warrants </w:t>
            </w:r>
            <w:r>
              <w:rPr>
                <w:rFonts w:ascii="Arial;sans-serif" w:hAnsi="Arial;sans-serif"/>
                <w:b w:val="false"/>
                <w:color w:val="000000"/>
                <w:sz w:val="13"/>
              </w:rPr>
              <w:t>(4)</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671,800 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3"/>
              </w:rPr>
            </w:pPr>
            <w:r>
              <w:rPr>
                <w:rFonts w:ascii="Arial;sans-serif" w:hAnsi="Arial;sans-serif"/>
                <w:b w:val="false"/>
                <w:color w:val="000000"/>
                <w:sz w:val="13"/>
              </w:rPr>
              <w:t>(4)</w:t>
            </w:r>
          </w:p>
        </w:tc>
      </w:tr>
      <w:tr>
        <w:trPr/>
        <w:tc>
          <w:tcPr>
            <w:tcW w:w="2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Warrants Outstanding</w:t>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1,940,371 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1,268,571 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6"/>
              </w:rPr>
              <w:t xml:space="preserve">1) Refers to a warrant issued in connection with entering into the royalty interest financing agreement with UiE. </w:t>
              <w:br/>
            </w:r>
            <w:r>
              <w:rPr>
                <w:rFonts w:ascii="Arial;sans-serif" w:hAnsi="Arial;sans-serif"/>
                <w:b w:val="false"/>
                <w:sz w:val="16"/>
              </w:rPr>
              <w:br/>
            </w:r>
            <w:r>
              <w:rPr>
                <w:rFonts w:ascii="Arial;sans-serif" w:hAnsi="Arial;sans-serif"/>
                <w:b w:val="false"/>
                <w:color w:val="000000"/>
                <w:sz w:val="16"/>
              </w:rPr>
              <w:t>2) Refers to the warrants issued in connection with a registered direct offering the Company completed in September 2023.</w:t>
              <w:br/>
            </w:r>
            <w:r>
              <w:rPr>
                <w:rFonts w:ascii="Arial;sans-serif" w:hAnsi="Arial;sans-serif"/>
                <w:b w:val="false"/>
                <w:sz w:val="16"/>
              </w:rPr>
              <w:br/>
            </w:r>
            <w:r>
              <w:rPr>
                <w:rFonts w:ascii="Arial;sans-serif" w:hAnsi="Arial;sans-serif"/>
                <w:b w:val="false"/>
                <w:color w:val="000000"/>
                <w:sz w:val="16"/>
              </w:rPr>
              <w:t>3) Refers to a warrant issued in October 2016 to a former financial advisor.</w:t>
              <w:br/>
            </w:r>
            <w:r>
              <w:rPr>
                <w:rFonts w:ascii="Arial;sans-serif" w:hAnsi="Arial;sans-serif"/>
                <w:b w:val="false"/>
                <w:sz w:val="16"/>
              </w:rPr>
              <w:br/>
            </w:r>
            <w:r>
              <w:rPr>
                <w:rFonts w:ascii="Arial;sans-serif" w:hAnsi="Arial;sans-serif"/>
                <w:b w:val="false"/>
                <w:color w:val="000000"/>
                <w:sz w:val="16"/>
              </w:rPr>
              <w:t>4) Refers to warrants issued to investors in the Regulation A Offering. Such warrants have expiration dates ranging from 1/27/29 to 6/12/29.</w:t>
              <w:br/>
            </w:r>
            <w:r>
              <w:rPr>
                <w:rFonts w:ascii="Arial;sans-serif" w:hAnsi="Arial;sans-serif"/>
                <w:b w:val="false"/>
                <w:sz w:val="16"/>
              </w:rPr>
              <w:br/>
            </w:r>
            <w:r>
              <w:rPr>
                <w:rFonts w:ascii="Arial;sans-serif" w:hAnsi="Arial;sans-serif"/>
                <w:b w:val="false"/>
                <w:color w:val="000000"/>
                <w:sz w:val="16"/>
              </w:rPr>
              <w:t>*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tc>
      </w:tr>
    </w:tbl>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Series A Convertible Preferred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On January 23, 2026, the Company filed a certificate of designation with the Delaware Secretary of State pursuant to which 4,999,620 shares of the Company’s preferred stock, $0.01 par value per share, was designated as Series A Convertible Preferred Stock (the “Series A Preferred Stock”).</w:t>
      </w:r>
    </w:p>
    <w:p>
      <w:pPr>
        <w:pStyle w:val="TextBody"/>
        <w:bidi w:val="0"/>
        <w:spacing w:lineRule="auto" w:line="288" w:before="0" w:after="120"/>
        <w:ind w:left="0" w:right="0" w:firstLine="720"/>
        <w:jc w:val="both"/>
        <w:rPr/>
      </w:pPr>
      <w:r>
        <w:rPr>
          <w:rFonts w:ascii="Arial;sans-serif" w:hAnsi="Arial;sans-serif"/>
          <w:b w:val="false"/>
          <w:color w:val="000000"/>
          <w:sz w:val="20"/>
        </w:rPr>
        <w:t>The Series A Preferred Stock ranks, as to rights upon liquidation, dissolution, or winding up, senior to the Company’s common stock. Each share of the Series A Preferred Stock has a stated value and liquidation preference of $5.00, in each case, subject to customary adjustments in the event of stock dividends, stock splits, reorganizations or similar events affecting the Series A Preferred Stock. Except as required by law, the Series A Preferred Stock has no voting rights. The Series A Preferred Stock is convertible at the holder's option into shares of the Company’s common stock at a conversion price of $2.50 per share, subject to customary adjustments in the event of stock dividends, stock splits, reorganizations or similar events affecting the Series A Preferred Stock. The Company has the right to require all or any portion of the Series A Preferred Stock to convert into shares of the Company’s common stock: (a) in the event of a change in control, (b) if the closing price of the Company’s common stock is at or above $4.50 per share, subject to customary adjustments in the event of stock dividends, stock splits, reorganizations or similar events, for any 10 trading days out of any 30 consecutive trading day period, or (c) if the Company consummates a firm commitment public offering of shares of the Company’s common stock resulting in gross proceeds of at least $15.0 million at an offering price per share equal to or greater than $4.50, subject to customary adjustments in the event of stock dividends, stock splits, reorganizations or similar events. Commencing on January 27, 2029, the Company may redeem the outstanding shares of Series A Preferred Stock at the lesser of (i) the stated value per share plus a non-compounded rate of return calculated at 8% per annum, and (ii) 200% of the stated value per share.</w:t>
      </w:r>
      <w:r>
        <w:rPr>
          <w:color w:val="000000"/>
        </w:rPr>
        <w:t xml:space="preserve"> </w:t>
      </w:r>
      <w:r>
        <w:rPr>
          <w:rFonts w:ascii="Arial;sans-serif" w:hAnsi="Arial;sans-serif"/>
          <w:b w:val="false"/>
          <w:color w:val="000000"/>
          <w:sz w:val="20"/>
        </w:rPr>
        <w:t xml:space="preserve">Notwithstanding the conversion rights described above, to the extent prohibited by Nasdaq listing rules, the Company will not issue shares of its common stock upon conversion of shares of Series A Preferred Stock if such issuance will result in a change of control of the Company, unless the Company obtains stockholder approval of such issuance. </w:t>
      </w:r>
    </w:p>
    <w:p>
      <w:pPr>
        <w:pStyle w:val="TextBody"/>
        <w:bidi w:val="0"/>
        <w:spacing w:lineRule="auto" w:line="288" w:before="0" w:after="120"/>
        <w:ind w:left="0" w:right="0" w:firstLine="720"/>
        <w:jc w:val="both"/>
        <w:rPr/>
      </w:pPr>
      <w:r>
        <w:rPr>
          <w:rFonts w:ascii="Arial;sans-serif" w:hAnsi="Arial;sans-serif"/>
          <w:b w:val="false"/>
          <w:color w:val="000000"/>
          <w:sz w:val="20"/>
        </w:rPr>
        <w:t xml:space="preserve">The Company evaluated the terms of the Series A Preferred Stock, and in accordance with the guidance of ASC 480, </w:t>
      </w:r>
      <w:r>
        <w:rPr>
          <w:rFonts w:ascii="Arial;sans-serif" w:hAnsi="Arial;sans-serif"/>
          <w:b w:val="false"/>
          <w:i/>
          <w:color w:val="000000"/>
          <w:sz w:val="20"/>
        </w:rPr>
        <w:t>Distinguishing Liabilities from Equity</w:t>
      </w:r>
      <w:r>
        <w:rPr>
          <w:rFonts w:ascii="Arial;sans-serif" w:hAnsi="Arial;sans-serif"/>
          <w:b w:val="false"/>
          <w:color w:val="000000"/>
          <w:sz w:val="20"/>
        </w:rPr>
        <w:t>, the Series A Preferred Stock is classified as permanent equity in the accompanying condensed consolidated balance sheets.</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Regulation A Offering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January 27, 2026, the Company completed the initial closing of its Regulation A Offering of up to 4,854,000 units (each, an “Investor Unit” and collectively the “Investor Units”), each consisting of one share of Series A Preferred Stock and two warrants, each to purchase one share of the Company’s common stock (“Investor Warrants”), with each Investor Unit being offered at an offering price of $5.00 (the “Regulation A Offering”). The closing price of the Company’s common stock on January 26, 2026, was $1.90, and because the Initial Conversion Price exceeded the sum of that closing price plus $0.125, the limitations under Nasdaq Listing Rule 5635(d)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120"/>
        <w:jc w:val="both"/>
        <w:rPr>
          <w:rFonts w:ascii="Arial;sans-serif" w:hAnsi="Arial;sans-serif"/>
          <w:b w:val="false"/>
          <w:color w:val="000000"/>
          <w:sz w:val="20"/>
        </w:rPr>
      </w:pPr>
      <w:r>
        <w:rPr>
          <w:rFonts w:ascii="Arial;sans-serif" w:hAnsi="Arial;sans-serif"/>
          <w:b w:val="false"/>
          <w:color w:val="000000"/>
          <w:sz w:val="20"/>
        </w:rPr>
        <w:t>could have applied to the conversion of the Series A Preferred Stock and to the exercise of the Investor Warrants issued in the Regulation A Offering will not apply to any of the shares of Series A Preferred Stock or the Investor Warrants that are part of the up to 4,854,000 Investors Units that may be issued in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 A Offering is being conducted pursuant to the Company’s offering statement on Form 1-A (File No. 024-12688), as amended (the “Offering Statement”), which was most recently qualified by the SEC on April 1, 2026, and the offering circular, dated January 6, 2026, and the offering circular supplement dated March 26, 2026, which form a part thereof (the “Offering Circular”). The Regulation A Offering is being conducted on a “best efforts” basis pursuant to a selling agency agreement, dated January 5, 2026 (the “Selling Agency Agreement”), between the Company and Digital Offering, LLC (“Digital Offering”), acting as the lead selling agent for the Regulation A Offering. Digital Offering is not required to sell any specific number or dollar amount of Investor Units. The Company will pay to Digital Offering a placement fee equal to 7.25% of the offering price per Investor Unit sold in the Regulation A Offering. The Company will also issue Agent Unit Warrants (as defined below) to purchase that number of Agent Units (as defined below) equal to 3% of the total number of Investor Units sold in the Regulation A Offering. In addition, the Company paid Digital Offering a $25,000 consulting fee and reimbursed or will reimburse Digital Offering for up to $85,000 of its reasonable, out-of-pocket, and documented fees and expenses incurred in connection with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Investor Warrants are exercisable at any time after issuance through the 36-month anniversary of their date of issuance at an exercise price of $4.00 per share, subject to customary adjustments in the event of stock dividends, stock splits, reorganizations or similar events. Notwithstanding the foregoing, there are certain limitations on the exercise of the Investor Warrants to the extent a holder (together with its affiliates) would own more than 4.99% (or 9.99% if elected by the warrant holder) of the Company’s common stock outstanding immediately after exercise.</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 A Offering will terminate at the earliest of (i) the date on which the maximum offering amount of Investor Units has been sold, (ii) January 5, 2027 (one year after the date on which the Offering Statement was initially qualified by the SEC) and (iii) the date on which the Company determines to terminate the Regulation A Offering, which the Company may do in its sole discretion at any time and for any reason or no reason.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Offering Circular also relates to 145,620 warrants (the “Agent Unit Warrants”) to purchase up to 145,620 units (the “Agent Units”) issuable to the selling agent(s) for the Regulation A offering, each Agent Unit consisting of one share of Series A Preferred Stock and two warrants, each to purchase one share of the Company’s common stock (the "Agent Common Warrants").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exercise price per Agent Unit Warrant is $6.25, subject to customary adjustments in the event of stock dividends, stock splits, reorganizations or similar events. The Agent Unit Warrants will expire on January 7, 2031, which is the five-year anniversary of the date of commencement of sales in the Regulation A Offering.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exercise price per Agent Common Warrant is $4.00 per share, subject to customary adjustments in the event of stock dividends, stock splits, reorganizations or similar events. The terms of the Agent Common Warrant are substantially similar to the terms of the Investor Warrants, except that they expire on January 7, 2031.</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 issued an aggregate of 335,900 Investor Units consisting of 335,900 shares of Series A Preferred Stock and Investor Warrants to purchase up to 671,800 shares of the Company’s common stock, for gross proceeds of approximately $1.7 million, and Agent Unit Warrants to purchase up to 10,075 Agent Units. The Company incurred total issuance costs of approximately $0.1 million including legal fees and placement fees directly related to the issuance that are recognized as a reduction in equity, resulting in net proceeds of approximately $1.5 million. The Investor Warrants were recognized in additional paid-in-capital as they met the criteria for equity classification.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issued 520,000 shares of its common stock upon the conversion of 260,000 shares of Series A Preferred Stock in accordance with the terms of the Series A Preferred Stock. No gain, loss, or deemed dividend was recognized in connection with these conversions. As of June 30, 2026, 75,900 shares of Series A Preferred Stock remain outstanding. During the three months ended June 30, 2026, the Company wrote off approximately $0.1 million of previously deferred offering costs related to the Regulation A Offering, which is reflected in selling, general and administrative expense in the condensed consolidated statements of operations for the three and six months ended June 30, 2026. The write-off resulted from a reduction in the Company's estimate of the total proceeds expected to be raised under the Regulation A Offering, based on management's assessment of the number of Investor Units that could reasonably be expected to be sold prior to the scheduled termination of the Regulation A Offering on January 5,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Summary of Agent Unit Warrant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summary of Agent Unit Warrants outstanding during the six months ended June 30, 2026 is presented below: </w:t>
      </w:r>
    </w:p>
    <w:tbl>
      <w:tblPr>
        <w:tblW w:w="10205" w:type="dxa"/>
        <w:jc w:val="left"/>
        <w:tblInd w:w="0" w:type="dxa"/>
        <w:tblLayout w:type="fixed"/>
        <w:tblCellMar>
          <w:top w:w="28" w:type="dxa"/>
          <w:left w:w="28" w:type="dxa"/>
          <w:bottom w:w="28" w:type="dxa"/>
          <w:right w:w="28" w:type="dxa"/>
        </w:tblCellMar>
      </w:tblPr>
      <w:tblGrid>
        <w:gridCol w:w="1100"/>
        <w:gridCol w:w="965"/>
        <w:gridCol w:w="970"/>
        <w:gridCol w:w="655"/>
        <w:gridCol w:w="591"/>
        <w:gridCol w:w="592"/>
        <w:gridCol w:w="109"/>
        <w:gridCol w:w="109"/>
        <w:gridCol w:w="109"/>
        <w:gridCol w:w="371"/>
        <w:gridCol w:w="953"/>
        <w:gridCol w:w="192"/>
        <w:gridCol w:w="109"/>
        <w:gridCol w:w="109"/>
        <w:gridCol w:w="109"/>
        <w:gridCol w:w="620"/>
        <w:gridCol w:w="620"/>
        <w:gridCol w:w="621"/>
        <w:gridCol w:w="109"/>
        <w:gridCol w:w="109"/>
        <w:gridCol w:w="109"/>
        <w:gridCol w:w="263"/>
        <w:gridCol w:w="509"/>
        <w:gridCol w:w="202"/>
      </w:tblGrid>
      <w:tr>
        <w:trPr/>
        <w:tc>
          <w:tcPr>
            <w:tcW w:w="1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Agent Unit Warrants</w:t>
            </w:r>
          </w:p>
        </w:tc>
      </w:tr>
      <w:tr>
        <w:trP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December 31, 2025, </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Agent Unit Warrants Issued in connection with Regulation A Offering</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10,075 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and exercisable June 30, 2026</w:t>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10,075 </w:t>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was suspended in June 2024. There was no stock-based compensation related to the ESPP for the six months ended June 30, 2026 or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2022, the Company's board of directors approved the Daré Bioscience, Inc. 2022 Stock Incentive Plan, or the 2022 Plan, which was subsequently approved by the Company's stockholders in June 2022, and became effective as of such approval. In April 2025, the Company's board of directors approved an amendment to the 2022 Plan to increase the number of shares of common stock available for issuance thereunder by 600,000, which was subsequently approved by the Company's stockholders in July 2025. In April 2026, the Company's board of directors approved an amendment to the 2022 Plan to increase the number of shares of common stock available for issuance thereunder by 1,500,000, which was subsequently approved by the Company's stockholders in June 2026.</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2022 Plan provides for the grant of stock-based incentive awards to employees, directors, consultants, and advisors.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the number of shares of common stock authorized for issuance under the 2022 Plan was 3,449,085, which is the sum 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(a)1,427,206 shares available for awards that may be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(b)1,628,620 shares underlying awards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(c)393,259 shares underlying awards granted under the Amended 2014 Plan, which if they expire, terminate or are otherwise forfeited will become available for issuance under the 2022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six months ended June 30, 2026. The exercise price of all options granted during the six months ended June 30, 2026 was equal to the market value of the Company’s common stock on the date of grant. As of June 30, 2026, unamortized stock-based compensation expense of approximately $2.0 million will be amortized over a weighted average period of 1.10 years. The number of shares of common stock available for future awards granted under the 2022 Plan as of June 30, 2026 was 1,427,206.</w:t>
      </w:r>
    </w:p>
    <w:tbl>
      <w:tblPr>
        <w:tblW w:w="6598" w:type="dxa"/>
        <w:jc w:val="center"/>
        <w:tblInd w:w="0" w:type="dxa"/>
        <w:tblLayout w:type="fixed"/>
        <w:tblCellMar>
          <w:top w:w="28" w:type="dxa"/>
          <w:left w:w="28" w:type="dxa"/>
          <w:bottom w:w="28" w:type="dxa"/>
          <w:right w:w="28" w:type="dxa"/>
        </w:tblCellMar>
      </w:tblPr>
      <w:tblGrid>
        <w:gridCol w:w="1140"/>
        <w:gridCol w:w="1003"/>
        <w:gridCol w:w="1006"/>
        <w:gridCol w:w="510"/>
        <w:gridCol w:w="511"/>
        <w:gridCol w:w="511"/>
        <w:gridCol w:w="109"/>
        <w:gridCol w:w="109"/>
        <w:gridCol w:w="109"/>
        <w:gridCol w:w="332"/>
        <w:gridCol w:w="1016"/>
        <w:gridCol w:w="242"/>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1,409,042 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1,875,910 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2026</w:t>
            </w:r>
          </w:p>
        </w:tc>
        <w:tc>
          <w:tcPr>
            <w:tcW w:w="102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999,416 </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44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weighted average grant-date fair value of stock options granted was $2.03 and $1.28 for the three and six months ended June 30, 2026, respectively, and $2.24 and $2.51, for the three and six months ended June 30, 2025, respectively. The total fair value of stock options vested was approximately $0.3 million and $0.7 million for the three and six months ended June 30, 2026, respectively, and $0.4 million and $0.7 million during the three and six months ended June 30, 2025,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non-employee directors recognized in the condensed consolidated statements of operations and comprehensive loss is as follows:</w:t>
      </w:r>
    </w:p>
    <w:tbl>
      <w:tblPr>
        <w:tblW w:w="8835" w:type="dxa"/>
        <w:jc w:val="center"/>
        <w:tblInd w:w="0" w:type="dxa"/>
        <w:tblLayout w:type="fixed"/>
        <w:tblCellMar>
          <w:top w:w="28" w:type="dxa"/>
          <w:left w:w="28" w:type="dxa"/>
          <w:bottom w:w="28" w:type="dxa"/>
          <w:right w:w="28" w:type="dxa"/>
        </w:tblCellMar>
      </w:tblPr>
      <w:tblGrid>
        <w:gridCol w:w="1125"/>
        <w:gridCol w:w="989"/>
        <w:gridCol w:w="99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741,666 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736,375 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2022 Plan authorizes the issuance of restricted stock units, or RSUs. On June 30, 2026, the Company granted an aggregate of 145,969 RSUs to its five non-employee directors in lieu of cash payment of board fees for the second half of 2026. In early 2026, the Company's board of directors determined to suspend the payment of board fees to non-employee directors for their service during the first half of 2026. Each RSU represents the right to receive one share of the Company's common stock upon settlement. The RSUs vest in full on January 4, 2027, subject to continued service through the vesting date. </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accounts for RSU awards in accordance with ASC Topic 718, Compensation—Stock Compensation. The grant-date fair value of each RSU was $2.11, equal to the closing price of the Company's common stock on June 30, 2026, the grant date. Compensation cost is recognized on a straight-line basis over the requisite service period, which is approximately six months from the grant date through January 4, 2027.</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three and six months ended June 30, 2026, the Company recognized stock-based compensation expense of approximately $2,000 related to RSU awards. As of June 30, 2026, total unrecognized compensation cost related to unvested RSUs was approximately $0.3 million, which is expected to be recognized over a remaining weighted-average service period of approximately six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RSU Activity</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RSU activity for the six months ended June 30, 2026:</w:t>
      </w:r>
    </w:p>
    <w:tbl>
      <w:tblPr>
        <w:tblW w:w="7720" w:type="dxa"/>
        <w:jc w:val="left"/>
        <w:tblInd w:w="0" w:type="dxa"/>
        <w:tblLayout w:type="fixed"/>
        <w:tblCellMar>
          <w:top w:w="28" w:type="dxa"/>
          <w:left w:w="28" w:type="dxa"/>
          <w:bottom w:w="28" w:type="dxa"/>
          <w:right w:w="28" w:type="dxa"/>
        </w:tblCellMar>
      </w:tblPr>
      <w:tblGrid>
        <w:gridCol w:w="949"/>
        <w:gridCol w:w="835"/>
        <w:gridCol w:w="841"/>
        <w:gridCol w:w="474"/>
        <w:gridCol w:w="474"/>
        <w:gridCol w:w="476"/>
        <w:gridCol w:w="109"/>
        <w:gridCol w:w="109"/>
        <w:gridCol w:w="109"/>
        <w:gridCol w:w="779"/>
        <w:gridCol w:w="1995"/>
        <w:gridCol w:w="570"/>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at January 1, 2026</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at June 30, 2026</w:t>
            </w:r>
          </w:p>
        </w:tc>
        <w:tc>
          <w:tcPr>
            <w:tcW w:w="9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145,969 </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Finance Lease - Clean Room Space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2024, the Company entered into a scope of work (the "SOW") with an unrelated third party for a controlled clean room space in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determined that the Clean Room Agreement is a finance lease. On the commencement date, the Company recorded an initial finance lease right-of-use, or ROU, asset and related lease liability of approximately $3.3 million and $2.8 million, respectively. Included in the $3.3 million finance ROU asset is the $459,000 prepayment which was reclassified to the finance lease ROU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During 2025, the parties executed two change orders primarily to amend the total contract consideration under the lease arrangement. The Company evaluated these amendments and concluded they represented a lease modification. As such, the finance lease ROU asset and finance lease liability were remeasured using an incremental borrowing rate at the date of the modification resulting in a decrease of approximately $83,000 to both the ROU asset and corresponding finance lease liability.</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Leases - General Office Space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in July 2018 and, as a result of an extension entered into in March 2024, expires on October 31, 2027.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leases general office and laboratory space in Massachusetts. The lease commenced on November 1, 2023 for a term of three years, expiring on December 31, 2026. On December 18, 2025, the term of the lease was extended to December 31, 2027, which resulted in additional operating lease liabilities and ROU assets of approximately $0.4 million.</w:t>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0" w:after="200"/>
        <w:ind w:left="0" w:right="0" w:firstLine="720"/>
        <w:jc w:val="both"/>
        <w:rPr>
          <w:rFonts w:ascii="Arial;sans-serif" w:hAnsi="Arial;sans-serif"/>
          <w:b/>
          <w:i/>
          <w:color w:val="000000"/>
          <w:sz w:val="20"/>
        </w:rPr>
      </w:pPr>
      <w:r>
        <w:rPr>
          <w:rFonts w:ascii="Arial;sans-serif" w:hAnsi="Arial;sans-serif"/>
          <w:b/>
          <w:i/>
          <w:color w:val="000000"/>
          <w:sz w:val="20"/>
        </w:rPr>
        <w:t>Aggregate Lease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components of lease cost recorded in the Company's condensed consolidated statements of operations and comprehensive loss were as follows: </w:t>
      </w:r>
    </w:p>
    <w:tbl>
      <w:tblPr>
        <w:tblW w:w="8984" w:type="dxa"/>
        <w:jc w:val="center"/>
        <w:tblInd w:w="0" w:type="dxa"/>
        <w:tblLayout w:type="fixed"/>
        <w:tblCellMar>
          <w:top w:w="28" w:type="dxa"/>
          <w:left w:w="28" w:type="dxa"/>
          <w:bottom w:w="28" w:type="dxa"/>
          <w:right w:w="28" w:type="dxa"/>
        </w:tblCellMar>
      </w:tblPr>
      <w:tblGrid>
        <w:gridCol w:w="1059"/>
        <w:gridCol w:w="931"/>
        <w:gridCol w:w="934"/>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424,007 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cost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finance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on finance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790,484 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1,194,612 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the Company's finance and operating lease liabilities as of June 30, 2026 were as follows:</w:t>
      </w:r>
    </w:p>
    <w:tbl>
      <w:tblPr>
        <w:tblW w:w="8665" w:type="dxa"/>
        <w:jc w:val="center"/>
        <w:tblInd w:w="0" w:type="dxa"/>
        <w:tblLayout w:type="fixed"/>
        <w:tblCellMar>
          <w:top w:w="28" w:type="dxa"/>
          <w:left w:w="28" w:type="dxa"/>
          <w:bottom w:w="28" w:type="dxa"/>
          <w:right w:w="28" w:type="dxa"/>
        </w:tblCellMar>
      </w:tblPr>
      <w:tblGrid>
        <w:gridCol w:w="1133"/>
        <w:gridCol w:w="995"/>
        <w:gridCol w:w="1007"/>
        <w:gridCol w:w="109"/>
        <w:gridCol w:w="109"/>
        <w:gridCol w:w="109"/>
        <w:gridCol w:w="309"/>
        <w:gridCol w:w="1256"/>
        <w:gridCol w:w="159"/>
        <w:gridCol w:w="109"/>
        <w:gridCol w:w="109"/>
        <w:gridCol w:w="109"/>
        <w:gridCol w:w="258"/>
        <w:gridCol w:w="1048"/>
        <w:gridCol w:w="133"/>
        <w:gridCol w:w="109"/>
        <w:gridCol w:w="109"/>
        <w:gridCol w:w="109"/>
        <w:gridCol w:w="211"/>
        <w:gridCol w:w="10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340,928 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152,950 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923,974 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152,950 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1,076,924 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868,366 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149,374 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1,017,740 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remaining lease terms and discount rates related to the Company's leases were as follows:</w:t>
      </w:r>
    </w:p>
    <w:tbl>
      <w:tblPr>
        <w:tblW w:w="6700"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18"/>
        <w:gridCol w:w="218"/>
        <w:gridCol w:w="300"/>
        <w:gridCol w:w="109"/>
        <w:gridCol w:w="109"/>
        <w:gridCol w:w="109"/>
        <w:gridCol w:w="270"/>
        <w:gridCol w:w="271"/>
        <w:gridCol w:w="345"/>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June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leases was as follows:</w:t>
      </w:r>
    </w:p>
    <w:tbl>
      <w:tblPr>
        <w:tblW w:w="10205" w:type="dxa"/>
        <w:jc w:val="center"/>
        <w:tblInd w:w="0" w:type="dxa"/>
        <w:tblLayout w:type="fixed"/>
        <w:tblCellMar>
          <w:top w:w="28" w:type="dxa"/>
          <w:left w:w="28" w:type="dxa"/>
          <w:bottom w:w="28" w:type="dxa"/>
          <w:right w:w="28" w:type="dxa"/>
        </w:tblCellMar>
      </w:tblPr>
      <w:tblGrid>
        <w:gridCol w:w="964"/>
        <w:gridCol w:w="848"/>
        <w:gridCol w:w="851"/>
        <w:gridCol w:w="340"/>
        <w:gridCol w:w="1382"/>
        <w:gridCol w:w="175"/>
        <w:gridCol w:w="175"/>
        <w:gridCol w:w="175"/>
        <w:gridCol w:w="175"/>
        <w:gridCol w:w="340"/>
        <w:gridCol w:w="1382"/>
        <w:gridCol w:w="175"/>
        <w:gridCol w:w="109"/>
        <w:gridCol w:w="109"/>
        <w:gridCol w:w="109"/>
        <w:gridCol w:w="211"/>
        <w:gridCol w:w="1021"/>
        <w:gridCol w:w="109"/>
        <w:gridCol w:w="109"/>
        <w:gridCol w:w="109"/>
        <w:gridCol w:w="109"/>
        <w:gridCol w:w="211"/>
        <w:gridCol w:w="856"/>
        <w:gridCol w:w="161"/>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982"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cash flows from finance lease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finance lease</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 xml:space="preserve">7.    ROYALTY INTEREST FINANCING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until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the payment.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 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2026, based on Net Royalty Payments to date and other factors, the Financing Term is estimated to extend through 2037, and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 </w:t>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Interest Agreement, the Company issued to UiE a warrant (the “Initial Royalty Warrant”) to purchase up to 422,804 shares of the Company’s common stock (see Note 4, Stockholders' Equity). In addition, for every $1.0 million of Supplemental Investment, the Company will issue to UiE a warrant to purchase 84,561 shares of common stock. If the Company elects to receive the maximum amount of Supplemental Investments, the Company would issue to UiE warrants to purchase an aggregate of up to 591,927 shares of common stock (collectively the “Additional Royalty Warrants,” and together with the Initial Royalty Warrant, the “Royalty Interest Agreement Warrants”). As of June 30, 2026, the Company has only issued the Initial Royalty Warrant.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Royalty Warrant was deemed to be an equity classified warrant and recorded under additional paid in capital. The fair value of the Initial Royalty Warrant was determined to be $0.8 million (Note 4) and was recorded as a debt discount against the Initial Investment.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the activity of the liability related to the sale of future royalties since the date of the Initial Investment through the period indicated:</w:t>
      </w:r>
    </w:p>
    <w:tbl>
      <w:tblPr>
        <w:tblW w:w="9457" w:type="dxa"/>
        <w:jc w:val="center"/>
        <w:tblInd w:w="0" w:type="dxa"/>
        <w:tblLayout w:type="fixed"/>
        <w:tblCellMar>
          <w:top w:w="28" w:type="dxa"/>
          <w:left w:w="28" w:type="dxa"/>
          <w:bottom w:w="28" w:type="dxa"/>
          <w:right w:w="28" w:type="dxa"/>
        </w:tblCellMar>
      </w:tblPr>
      <w:tblGrid>
        <w:gridCol w:w="2892"/>
        <w:gridCol w:w="2542"/>
        <w:gridCol w:w="2560"/>
        <w:gridCol w:w="211"/>
        <w:gridCol w:w="1021"/>
        <w:gridCol w:w="231"/>
      </w:tblGrid>
      <w:tr>
        <w:trPr/>
        <w:tc>
          <w:tcPr>
            <w:tcW w:w="28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(14,102)</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and interest payable associated with the sale of future royalties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1,870,602 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5,745,887 </w:t>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ROYALTY PURCHASE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Purchase Agreements, the Company sold, assigned, transferred and conveyed its right, title and interest in and to the following to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25% of the $20.0 million payment that the Company could have potentially received under the Company's since terminated license agreement with Bayer relating to Ovaprene; and</w:t>
      </w:r>
    </w:p>
    <w:p>
      <w:pPr>
        <w:pStyle w:val="TextBody"/>
        <w:bidi w:val="0"/>
        <w:spacing w:lineRule="auto" w:line="288" w:before="0" w:after="200"/>
        <w:ind w:left="0" w:right="0" w:firstLine="720"/>
        <w:jc w:val="both"/>
        <w:rPr/>
      </w:pPr>
      <w:r>
        <w:rPr>
          <w:rFonts w:ascii="Arial;sans-serif" w:hAnsi="Arial;sans-serif"/>
          <w:b w:val="false"/>
          <w:color w:val="000000"/>
          <w:sz w:val="20"/>
        </w:rPr>
        <w:t>(c) a synthetic royalty of 4.0% of the Company's, its affiliates’ and its sublicensees’ future net sales of Ovaprene, and 2.0% of the Company's, its affiliates’ and its sublicensees’ future net sales of Sildenafil Cream and DARE to PLAY</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 xml:space="preserve">Sildenafil Cream; </w:t>
      </w:r>
      <w:r>
        <w:rPr>
          <w:rFonts w:ascii="Arial;sans-serif" w:hAnsi="Arial;sans-serif"/>
          <w:b w:val="false"/>
          <w:i/>
          <w:color w:val="000000"/>
          <w:sz w:val="20"/>
        </w:rPr>
        <w:t>provided, however</w:t>
      </w:r>
      <w:r>
        <w:rPr>
          <w:rFonts w:ascii="Arial;sans-serif" w:hAnsi="Arial;sans-serif"/>
          <w:b w:val="false"/>
          <w:color w:val="000000"/>
          <w:sz w:val="20"/>
        </w:rPr>
        <w:t>, that, if XOMA receives total payments under the Royalty Purchase Agreements, net of any Contingent Purchase Price Payments made to the Company, equal to an amount that exceeds $110.0 million, the foregoing percentages will be reduced to 2.5% and 1.25%, respectively (we refer to the amounts described in this clause (c) as the “Revenue Participation Right”).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in the 2025 10-K.</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2026, XOMA's parent company was acquired by Ligand Pharmaceuticals Incorporated.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 xml:space="preserve">10.    GRANT AWARDS </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October 2024 Grant Award</w:t>
      </w:r>
    </w:p>
    <w:p>
      <w:pPr>
        <w:pStyle w:val="TextBody"/>
        <w:bidi w:val="0"/>
        <w:spacing w:lineRule="auto" w:line="288" w:before="0" w:after="200"/>
        <w:ind w:left="0" w:right="0" w:firstLine="720"/>
        <w:jc w:val="both"/>
        <w:rPr/>
      </w:pPr>
      <w:r>
        <w:rPr>
          <w:rFonts w:ascii="Arial;sans-serif" w:hAnsi="Arial;sans-serif"/>
          <w:b w:val="false"/>
          <w:color w:val="000000"/>
          <w:sz w:val="20"/>
        </w:rPr>
        <w:t>In October 2024, the Company</w:t>
      </w:r>
      <w:r>
        <w:rPr>
          <w:color w:val="000000"/>
          <w:shd w:fill="FFFFFF" w:val="clear"/>
        </w:rPr>
        <w:t xml:space="preserve"> </w:t>
      </w:r>
      <w:r>
        <w:rPr>
          <w:rFonts w:ascii="Arial;sans-serif" w:hAnsi="Arial;sans-serif"/>
          <w:b w:val="false"/>
          <w:color w:val="000000"/>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sans-serif" w:hAnsi="Arial;sans-serif"/>
          <w:b w:val="false"/>
          <w:color w:val="000000"/>
          <w:sz w:val="20"/>
        </w:rPr>
        <w:t>$10.0 million</w:t>
      </w:r>
      <w:r>
        <w:rPr>
          <w:color w:val="000000"/>
          <w:shd w:fill="FFFFFF" w:val="clear"/>
        </w:rPr>
        <w:t xml:space="preserve"> </w:t>
      </w:r>
      <w:r>
        <w:rPr>
          <w:rFonts w:ascii="Arial;sans-serif" w:hAnsi="Arial;sans-serif"/>
          <w:b w:val="false"/>
          <w:color w:val="000000"/>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color w:val="000000"/>
        </w:rPr>
        <w:t xml:space="preserve"> </w:t>
      </w:r>
      <w:r>
        <w:rPr>
          <w:rFonts w:ascii="Arial;sans-serif" w:hAnsi="Arial;sans-serif"/>
          <w:b w:val="false"/>
          <w:color w:val="000000"/>
          <w:sz w:val="20"/>
        </w:rPr>
        <w:t xml:space="preserve">The subaward agreement was the result of the Company's selection by Advanced Research Projects Agency for Health (ARPA-H), part of the U.S. Department of Health and Human Services. </w:t>
      </w:r>
      <w:r>
        <w:rPr>
          <w:rFonts w:ascii="Arial;sans-serif" w:hAnsi="Arial;sans-serif"/>
          <w:b w:val="false"/>
          <w:color w:val="000000"/>
          <w:sz w:val="20"/>
          <w:shd w:fill="FFFFFF" w:val="clear"/>
        </w:rPr>
        <w:t xml:space="preserve">The CMF is a consortium management firm that received funding from the federal agency for the subaward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Through June 30, 2026, the Company had received payments totaling $9.0 million under this award. The Company recorded credits to research and development expense of approximately $1.7 million and $2.3 million for costs related to this award for the three and six months ended June 30, 2026, respectively, and $0.8 million and $1.4 million for the three and six months ended June 30, 2025, respectively. As of June 30, 2026 and December 31, 2025, the Company recorded approximately $3.2 million and $2.0 million in deferred grant funding liability related to this award in the Company's condensed consolidated balance sheets, respectively.</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and NIH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has received notices of awards and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The federal agency that administers funding to the NIH is the Small Business Innovation Research (SBIR). In October 2025, legislative authority for the SBIR program expired, halting new solicitations and continuation awards across federal agencies, including NIH. On April 13, 2026, the Small Business Innovation and Economic Security Act (S. 3971) was signed into law, reauthorizing the SBIR and STTR programs through September 30, 2031.</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DARE-HPV</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2024, the Company received a notice of award from the National Institute of Allergy and Infectious Diseases (NIAID), a component of the NIH, that the Company was awarded the initial $1.0 million of a $2.0 million grant in support of non-clinical activities for the development of DARE-HPV. In May 2026, the Company received a notice of award for an additional $1.0 million for a project year of December 1, 2025 through November 30, 2026. The Company recorded credits to research and development expense of approximately $6,000 and $6,000 for costs related to this award during the three and six months ended June 30, 2026, respectively, and $0.6 million and $0.6 million for three and six months ended June 30, 2025, respectively. The Company recorded a receivable of $6,000 and $11,000 at June 30, 2026 and December 31, 2025, respectively.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from NICHD of approximately $2.0 million to support the development of DARE-PTB1. The award is to be used to support what is referred to as the "Phase II" segment of the project outlined in the Company's grant application through November 2026. The Company recorded no credits to research and development expense for costs related to this award during the three and six months ended June 30, 2026, and $0.2 million and $0.3 million during the three and six months ended June 30, 2025, respectively. At June 30, 2026 and December 31, 2025, the Company had no outstanding receivable under this award.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below, the Company has received substantial funding under grant agreements it entered into with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more information regarding the indirect cost allowance). Funds received that have not been spent are recorded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jc w:val="both"/>
        <w:rPr>
          <w:rFonts w:ascii="Arial;sans-serif" w:hAnsi="Arial;sans-serif"/>
          <w:b w:val="false"/>
          <w:color w:val="000000"/>
          <w:sz w:val="20"/>
        </w:rPr>
      </w:pPr>
      <w:r>
        <w:rPr>
          <w:rFonts w:ascii="Arial;sans-serif" w:hAnsi="Arial;sans-serif"/>
          <w:b w:val="false"/>
          <w:color w:val="000000"/>
          <w:sz w:val="20"/>
        </w:rPr>
        <w:t xml:space="preserve">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 </w:t>
      </w:r>
    </w:p>
    <w:p>
      <w:pPr>
        <w:pStyle w:val="TextBody"/>
        <w:bidi w:val="0"/>
        <w:spacing w:lineRule="auto" w:line="288" w:before="120" w:after="283"/>
        <w:ind w:left="0" w:right="0" w:firstLine="720"/>
        <w:jc w:val="both"/>
        <w:rPr/>
      </w:pPr>
      <w:r>
        <w:rPr>
          <w:rFonts w:ascii="Arial;sans-serif" w:hAnsi="Arial;sans-serif"/>
          <w:b/>
          <w:color w:val="000000"/>
          <w:sz w:val="20"/>
        </w:rPr>
        <w:t>2024 Contraceptive Product Candidate Grant Agreement</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The term of the agreement, as amended, extends through June 2027. An initial payment of approximately $5.4 million was made to the Company in November 2024 and a second payment of approximately $3.6 million was made to the Company in November 2025. Additional payments are contingent upon the Company's achievement of specified development and reporting milestones during the term of the grant agreement. The Company will track and report eligible expenses incurred to the Foundation.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$1.1 million and $2.3 million for costs related to this award for the three and six months ended June 30, 2026, respectively, and $0.7 million and $1.4 million for the three and six months ended June 30, 2025, respectively. As of June 30, 2026 and December 31, 2025, the Company had recorded approximately $2.8 million and $5.1 million of deferred grant funding liability related to this award in the Company's condensed consolidated balance sheets, respectively.</w:t>
      </w:r>
    </w:p>
    <w:p>
      <w:pPr>
        <w:pStyle w:val="TextBody"/>
        <w:bidi w:val="0"/>
        <w:spacing w:lineRule="auto" w:line="288" w:before="240" w:after="200"/>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term of the agreement, as amended, extends through December 2027. The agreement supports technology development and preclinical activities to advance DARE-LARC1 through nonclinical proof-of-principle studies and other IND-enabling work to allow for the submission of an investigational new drug, or IND, application with the FDA, approval of which will be required to commence testing in humans.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the Company had received a cumulative total of approximately $41.8 million under the agreement. Additional payments are contingent upon the DARE-LARC1 program’s achievement of specified development and reporting milestones. The Company recorded credits to research and development expense of approximately $1.9 million and $3.6 million for costs related to this award for the three and six months ended June 30, 2026, respectively, and $2.3 million and $3.9 million for three and six months ended June 30, 2025, respectively. As of June 30, 2026 and December 31, 2025, the Company had recorded approximately $9.0 million and $12.6 million of deferred grant funding liability related to this award in the Company's condensed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11.    NET LOSS PER SHARE</w:t>
      </w:r>
    </w:p>
    <w:p>
      <w:pPr>
        <w:pStyle w:val="TextBody"/>
        <w:bidi w:val="0"/>
        <w:spacing w:lineRule="auto" w:line="288" w:before="20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sans-serif" w:hAns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10205" w:type="dxa"/>
        <w:jc w:val="center"/>
        <w:tblInd w:w="0" w:type="dxa"/>
        <w:tblLayout w:type="fixed"/>
        <w:tblCellMar>
          <w:top w:w="28" w:type="dxa"/>
          <w:left w:w="28" w:type="dxa"/>
          <w:bottom w:w="28" w:type="dxa"/>
          <w:right w:w="28" w:type="dxa"/>
        </w:tblCellMar>
      </w:tblPr>
      <w:tblGrid>
        <w:gridCol w:w="1560"/>
        <w:gridCol w:w="1373"/>
        <w:gridCol w:w="1377"/>
        <w:gridCol w:w="557"/>
        <w:gridCol w:w="464"/>
        <w:gridCol w:w="146"/>
        <w:gridCol w:w="146"/>
        <w:gridCol w:w="146"/>
        <w:gridCol w:w="146"/>
        <w:gridCol w:w="557"/>
        <w:gridCol w:w="464"/>
        <w:gridCol w:w="146"/>
        <w:gridCol w:w="109"/>
        <w:gridCol w:w="109"/>
        <w:gridCol w:w="109"/>
        <w:gridCol w:w="510"/>
        <w:gridCol w:w="511"/>
        <w:gridCol w:w="145"/>
        <w:gridCol w:w="134"/>
        <w:gridCol w:w="134"/>
        <w:gridCol w:w="134"/>
        <w:gridCol w:w="510"/>
        <w:gridCol w:w="511"/>
        <w:gridCol w:w="207"/>
      </w:tblGrid>
      <w:tr>
        <w:trPr/>
        <w:tc>
          <w:tcPr>
            <w:tcW w:w="156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31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1,875,910 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1,121,802 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1,875,910 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1,121,802 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warrants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1,940,371 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1,940,371 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upon settlement of restricted stock units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issuable upon conversion of Series A Preferred Stock</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issuable upon exercise or conversion of the securities underlying the Agent Units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4,154,350 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2,390,374 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4,154,350 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2,390,374 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segment's financial information including the Company’s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21"/>
        <w:gridCol w:w="743"/>
        <w:gridCol w:w="751"/>
        <w:gridCol w:w="245"/>
        <w:gridCol w:w="1201"/>
        <w:gridCol w:w="126"/>
        <w:gridCol w:w="126"/>
        <w:gridCol w:w="126"/>
        <w:gridCol w:w="126"/>
        <w:gridCol w:w="245"/>
        <w:gridCol w:w="1201"/>
        <w:gridCol w:w="126"/>
        <w:gridCol w:w="126"/>
        <w:gridCol w:w="126"/>
        <w:gridCol w:w="126"/>
        <w:gridCol w:w="245"/>
        <w:gridCol w:w="1201"/>
        <w:gridCol w:w="126"/>
        <w:gridCol w:w="126"/>
        <w:gridCol w:w="126"/>
        <w:gridCol w:w="126"/>
        <w:gridCol w:w="245"/>
        <w:gridCol w:w="1201"/>
        <w:gridCol w:w="194"/>
      </w:tblGrid>
      <w:tr>
        <w:trPr/>
        <w:tc>
          <w:tcPr>
            <w:tcW w:w="12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319,889 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562,214 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expenses:</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program costs:</w:t>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843,503 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2,075,263 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2,812,101 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1,244,028 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975,489 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1,619,791 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628,595 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stage programs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1,457,723 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1,718,320 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2,626,102 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2,767,058 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2,701,684 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Contra-R&amp;D expenses </w:t>
            </w:r>
            <w:r>
              <w:rPr>
                <w:rFonts w:ascii="Arial;sans-serif" w:hAnsi="Arial;sans-serif"/>
                <w:b w:val="false"/>
                <w:color w:val="000000"/>
                <w:sz w:val="13"/>
              </w:rPr>
              <w:t>(3)</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(4,017,949)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(3,780,794)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(7,087,095)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(6,399,167)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direct program costs</w:t>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910,161 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2,117,300 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1,973,625 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4,734,339 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costs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199,196 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(698,849)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(1,130,697)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(1,207,392)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indirect costs</w:t>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(668,195)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(688,538)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(1,071,197)</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(1,008,196)</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w:t>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241,966 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902,428 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2,593,671 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4,842,237 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expenses</w:t>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2,835,637 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5,744,665 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(2,967,980)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(5,966,878)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402,583 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(176,145)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(367,833)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(226,469)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(2,982,773)</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(5,982,662)</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(1)The applicable program(s) receive grant funding and/or the Tax Incentive. The amount of R&amp;D expense for the period indicated is shown on a gross basis (i.e., without deducting the amount of contra R&amp;D expense for the applicable program(s). See footnote (3) below.</w:t>
            </w:r>
          </w:p>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(2)The amount of expenses includes expenses for Sildenafil Cream, 3.6% and DARE to PLAY Sildenafil Cream.</w:t>
            </w:r>
          </w:p>
          <w:p>
            <w:pPr>
              <w:pStyle w:val="TableContents"/>
              <w:bidi w:val="0"/>
              <w:spacing w:lineRule="auto" w:line="240" w:before="0" w:after="120"/>
              <w:ind w:left="0" w:right="0" w:hanging="360"/>
              <w:jc w:val="left"/>
              <w:rPr>
                <w:rFonts w:ascii="Arial;sans-serif" w:hAnsi="Arial;sans-serif"/>
                <w:b w:val="false"/>
                <w:i/>
                <w:color w:val="000000"/>
                <w:sz w:val="20"/>
              </w:rPr>
            </w:pPr>
            <w:r>
              <w:rPr>
                <w:rFonts w:ascii="Arial;sans-serif" w:hAnsi="Arial;sans-serif"/>
                <w:b w:val="false"/>
                <w:i/>
                <w:color w:val="000000"/>
                <w:sz w:val="20"/>
              </w:rPr>
              <w:t xml:space="preserve">(3)These contra R&amp;D expenses were recognized as follows for the three months ended June 30, 2026 and 2025: (a) Ovaprene, $0.8 million and $0.4 million, respectively; (b) other advanced clinical stage programs, $1.3 million and $1.0 million, respectively, (c) Phase 1 and Phase 1-ready clinical stage programs, $0 and $0.1 million, respectively; and (d) preclinical stage programs, $1.9 million and $2.2 million, respectively. </w:t>
            </w:r>
          </w:p>
          <w:p>
            <w:pPr>
              <w:pStyle w:val="TableContents"/>
              <w:bidi w:val="0"/>
              <w:spacing w:lineRule="auto" w:line="240" w:before="0" w:after="120"/>
              <w:jc w:val="left"/>
              <w:rPr>
                <w:rFonts w:ascii="Arial;sans-serif" w:hAnsi="Arial;sans-serif"/>
                <w:b w:val="false"/>
                <w:i/>
                <w:color w:val="000000"/>
                <w:sz w:val="20"/>
              </w:rPr>
            </w:pPr>
            <w:r>
              <w:rPr>
                <w:rFonts w:ascii="Arial;sans-serif" w:hAnsi="Arial;sans-serif"/>
                <w:b w:val="false"/>
                <w:i/>
                <w:color w:val="000000"/>
                <w:sz w:val="20"/>
              </w:rPr>
              <w:t>These contra R&amp;D expenses were recognized as follows for the six months ended June 30, 2026 and 2025: (a) Ovaprene, $1.7 million and $0.9 million, respectively; (b) other advanced clinical stage programs, $1.8 million and $1.5 million, respectively, (c) Phase 1 and Phase 1-ready clinical stage programs, $0 million and $0.2 million, respectively; and (d) preclinical stage programs, $3.6 million and $3.8 million,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76"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2026, the Company obtained financing for certain director and officer and other insurance premiums. The total amount financed was approximately $0.5 million, with an annual interest rate of approximately 7.32%. In consideration of the premium payment by the lender to the insurance companies or the agent or broker, the Company unconditionally promised to pay the lender the amount financed plus interest and other charges and the Company assigned to the lender a first priority lien on and a security interest in the financed insurance policies. Monthly installment payments on the financed amount are due through March 20, 2027. The financed amount will be recognized as an insurance financing cost included in other current assets and accrued expenses in the Company's condensed consolidated balance sheets.</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Nasdaq Compliance</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On July 13, 2026, the Company was notified by the Nasdaq Listing Qualifications Staff (the “Staff”) that, because the Company’s Form 10-Q for the period ended March 31, 2026 reported stockholders’ equity of less than $2.5 million and, as of July 13, 2026, the Company did not meet the alternative requirements of $35 million in market value of listed securities or $500,000 in net income from continuing operations, the Company no longer complies with Nasdaq Listing Rule 5550(b) (the “Rule”) and, as such, the Company’s common stock is subject to delisting from Nasdaq unless the Company timely requests a hearing to address the deficiency before a Nasdaq Hearing Panel (the “Panel”). The Company requested a hearing before the Panel, which request stayed the suspension and delisting of the Company’s common stock at least pending the issuance of the Panel’s decision following the hearing and the expiration of any extension period that may be granted by the Panel. The hearing is scheduled for late August 2026.</w:t>
      </w:r>
    </w:p>
    <w:p>
      <w:pPr>
        <w:pStyle w:val="TextBody"/>
        <w:bidi w:val="0"/>
        <w:spacing w:lineRule="auto" w:line="276"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that the Panel will grant the Company’s request for an extension to evidence compliance with the Rule, or if any such extension period is granted, that the Company will regain compliance with the Rule within such extension period, or that the Company will be successful in otherwise maintaining the listing of its common stock on Nasdaq.</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Sales of Common Stock</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Subsequent to June 30, 2026, the Company sold 120,000 shares of its common stock under its purchase agreement with Lincoln Park for aggregate gross proceeds of approximately $0.2 million, resulting in aggregate proceeds of approximately $0.2 million net of commissions and other offering expenses of approximately $9,400. For a discussion of the purchase agreement, see Note 4, Stockholders' Equity.</w:t>
      </w:r>
    </w:p>
    <w:p>
      <w:pPr>
        <w:pStyle w:val="TextBody"/>
        <w:bidi w:val="0"/>
        <w:spacing w:before="160" w:after="200"/>
        <w:jc w:val="both"/>
        <w:rPr/>
      </w:pPr>
      <w:r>
        <w:rPr/>
      </w:r>
    </w:p>
    <w:p>
      <w:pPr>
        <w:pStyle w:val="TextBody"/>
        <w:bidi w:val="0"/>
        <w:spacing w:before="120" w:after="180"/>
        <w:jc w:val="both"/>
        <w:rPr/>
      </w:pPr>
      <w:r>
        <w:rPr/>
      </w:r>
    </w:p>
    <w:p>
      <w:pPr>
        <w:pStyle w:val="TextBody"/>
        <w:bidi w:val="0"/>
        <w:spacing w:before="24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consolidated financial statements and notes thereto for the year ended December 31, 2025 included in our Annual Report on Form 10-K for the year ended December 31, 2025, or our 2025 10-K, filed with the Securities and Exchange Commission, or SEC, on March 26, 2026.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2025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use the term "Section 503B compounding," "503B compounding," or similar terms to refer to the production and supply of compounded drugs by outsourcing facilities registered under Section 503B of the FDCA without patient-specific prescriptions in accordance with Section 503B of the FDCA.</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DARE to PLAY™, DARE to RESTORE™, Flora Sync LF5™, and DARE to RECLAIM™ are trademarks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sexual health to fertility, vaginal health to infectious disease, we’re working to close critical gaps in care using science that serves her needs. 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Section 503B Compounding</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proprietary topical cream formulation of sildenafil is our first product to market under Section 503B. The compounded drug is branded as DARE to PLAY Sildenafil Cream and became available for pre-order fulfillment by prescription in the U.S. in December 2025. We expect product to begin shipping and to record revenue from sales thereof in the third quarter of 2026, however, we do not expect the amount of such revenue, if any, to be material during 2026. The amount of potential revenue we may generate remains uncertain because we are in the early stages of executing against our Section 503B compounding strategy,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 </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also taking action to bring our proprietary estradiol progesterone intravaginal ring (DARE-HRT1) to market under Section 503B. The compounded product will be branded as DARE to RECLAIM. We are targeting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120"/>
        <w:jc w:val="both"/>
        <w:rPr>
          <w:rFonts w:ascii="Arial;sans-serif" w:hAnsi="Arial;sans-serif"/>
          <w:b w:val="false"/>
          <w:color w:val="000000"/>
          <w:sz w:val="20"/>
        </w:rPr>
      </w:pPr>
      <w:r>
        <w:rPr>
          <w:rFonts w:ascii="Arial;sans-serif" w:hAnsi="Arial;sans-serif"/>
          <w:b w:val="false"/>
          <w:color w:val="000000"/>
          <w:sz w:val="20"/>
        </w:rPr>
        <w:t>have DARE to RECLAIM available in 2027. There are no FDA-approved products that provide estradiol and progesterone together in a non-oral monthly form.</w:t>
      </w:r>
    </w:p>
    <w:p>
      <w:pPr>
        <w:pStyle w:val="TextBody"/>
        <w:bidi w:val="0"/>
        <w:spacing w:lineRule="auto" w:line="288" w:before="200" w:after="120"/>
        <w:jc w:val="both"/>
        <w:rPr>
          <w:rFonts w:ascii="Arial;sans-serif" w:hAnsi="Arial;sans-serif"/>
          <w:b/>
          <w:i/>
          <w:color w:val="000000"/>
          <w:sz w:val="20"/>
        </w:rPr>
      </w:pPr>
      <w:r>
        <w:rPr>
          <w:rFonts w:ascii="Arial;sans-serif" w:hAnsi="Arial;sans-serif"/>
          <w:b/>
          <w:i/>
          <w:color w:val="000000"/>
          <w:sz w:val="20"/>
        </w:rPr>
        <w:t>Consumer Health Products - DARE to RESTORE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launched our first consumer health product, Flora Sync LF5, in June 2026 under the brand family DARE to RESTORE. Flora Sync LF5 is a vaginal probiotic suppository formulated with Limosilactobacillus fermentum LF5, a clinically studied probiotic strain originally isolated from the vaginal microbiome of women with no reported history of yeast infections, manufactured by Probiotical S.p.A. in Italy. Flora Sync LF5 is available in the United States exclusively through the DARE Health Hub, an online platform operated by Medvantx Pharmacy.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Our Pipeline: Clinical Stage and Pre-Clinical Stage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2025 10-K and “—Recent Events—Product Candidate Updates,” below, for additional information regarding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XACIATO®</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our portfolio is XACIATO® (clindamycin phosphate) vaginal gel 2%, or XACIATO, was approved by the FDA in December 2021, as a single-dose prescription medication for the treatment of bacterial vaginosis in females 12 years of age and older. In 2022, we licensed exclusive worldwide rights to develop, manufacture and commercialize XACIATO to Organon and in April 2024, we sold our rights to all royalty and potential milestone payments based on net sales of XACIATO under our agreement with Organon to XOMA. See Note 3 “Strategic Agreements” and Note 8 “Royalty Purchase Agreements” to the condensed consolidated financial statements included in this report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Operations</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IND-enabling preclinical work, and with respect to DARE-HPV, through our ongoing Phase 2 clinical study. See Note 10, "Grant Awards" to the accompanying condensed consolidated financial statements for additional information.</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below, we will need to raise substantial additional capital to continue to fund our operations and execute our current business strategy. Our business is subject to a number of risks common to biopharmaceutical companies (see Item 1A. Risk Factors in Part II of this report) and the process of developing and obtaining regulatory approvals for prescription drug and drug/device products in the United States and in foreign jurisdictions is inherently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Commercial Launch of First Consumer Health Product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discussed above, our first consumer health product, Flora Sync LF5, became available for purchase in the U.S. in June 2026.</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Product Candidate Updates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Ovaprene®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Enrollment is ongoing in our pivotal Phase 3 multicenter, single-arm, non-comparative clinical study of Ovaprene to evaluate its effectiveness as a contraceptive along with its safety and acceptability (ClinicalTrials.gov ID: NCT06127199). We intend to maintain active recruitment at five study sites, supported by funding received under a grant agreement we entered into in November 2024.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2026, the study's data safety monitoring board (DSMB), an independent group of experts which evaluates the safety and integrity of the study, conducted a second planned interim analysis and recommended the study continue without modification. As was the case with the data presented to the DSMB in July 2025, these interim data showed that approximately 9% of the women treated in the study had experienced a pregnancy. No new types of adverse events or tolerability concerns were identified. Neither an increase in the frequency of adverse events nor the emergence of new types of adverse events was observed with prolonged Ovaprene use. Approximately 12% of participants discontinued the study due to vaginal odor, the most commonly reported product-related adverse event, which is a 5% decrease compared to data reviewed by the DSMB in July 2025. No serious adverse events related to the study device were identified. A majority of participants who had completed the study reported they would be very likely or likely to use Ovaprene if it became available.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the interim analysis, the DSMB reviewed data from 339 study subjects, contributing 1,789 menstrual cycles of safety data. The study protocol calls for at least 2,500 cycles of exposure and expects that at least 250 subjects would complete 13 menstrual cycles of use, whom we refer to as completers. Based on current enrollment trends, we expect to achieve 2,500 menstrual cycles of exposure before 250 completers. Interim data reviewed by the DSMB indicate that prolonged product use was not associated with the emergence of new types of adverse events or an increase in the frequency of adverse events, which we believe may support the sufficiency of fewer than 250 completers to evaluate Ovaprene's safety profile. We engaged with the FDA regarding these findings and proposed amending the study protocol to remove the specific expectation of at least 250 completers. In August 2026, the FDA approved our proposed protocol amendment, but also cautioned that it believes implementing the proposed modification would result in a study that is not able to generate sufficient evidence of Ovaprene’s safety profile to support a favorable premarket approval decision. We intend to continue engagement with FDA on this point as well as the additional study design and future premarket approval submission considerations it provided. Based on the interim safety data reviewed by the DSMB, including the absence of new types of adverse events or increased frequency of adverse events with prolonged use, and the study's expected achievement of at least 2,500 menstrual cycles of exposure, we believe the amended protocol will generate sufficient safety data to support a premarket approval submission, although there can be no assurance that the FDA will agree. We currently expect to proceed to amend the protocol to eliminate the 250 completer expectation and to enroll sufficient women in 2026 to achieve at least 2,500 menstrual cycles of exposure in 2027, supporting a top line data announcement in 2027. </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DARE-HPV</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2026, we announced the initiation of a randomized, placebo-controlled, double-blinded Phase 2 clinical study of DARE-HPV to evaluate the safety and antiviral activity of a lower and higher dose of DARE-HPV in approximately 100 women with persistent high-risk HPV infection (ClinicalTrials.gov ID: NCT07601074). The primary endpoint is HPV clearance rate at three months post end of treatment. Secondary endpoints include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tolerability, and reduction in viral load. The ongoing Phase 2 study is supported by ARPA-H award funding. We currently expect to report topline data from the study in 2027.</w:t>
      </w: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Receipt of Payment Under October 2024 Grant Award</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May 2026, we received a payment of $1.5 million under the subaward agreement we entered into with National Collegiate Inventors and Innovators Alliance, Inc. d/b/a VentureWell in October 2024 to support the development of DARE-HPV, which was the result of our selection for an initiative award by the Advanced Research Projects Agency for Health (ARPA-H), part of the U.S. Department of Health and Human Services. For a discussion of this agreement, see Note 10, "Grant Awards" to the accompanying condensed consolidated financial statements. Taking into account this payment, we have received a cumulative total of approximately $9.0 million of the up to $10.0 million in potential funding under the subaward agreement.</w:t>
      </w:r>
    </w:p>
    <w:p>
      <w:pPr>
        <w:pStyle w:val="TextBody"/>
        <w:bidi w:val="0"/>
        <w:spacing w:lineRule="auto" w:line="276" w:before="200" w:after="200"/>
        <w:jc w:val="both"/>
        <w:rPr>
          <w:rFonts w:ascii="Arial;sans-serif" w:hAnsi="Arial;sans-serif"/>
          <w:b/>
          <w:color w:val="000000"/>
          <w:sz w:val="20"/>
        </w:rPr>
      </w:pPr>
      <w:r>
        <w:rPr>
          <w:rFonts w:ascii="Arial;sans-serif" w:hAnsi="Arial;sans-serif"/>
          <w:b/>
          <w:color w:val="000000"/>
          <w:sz w:val="20"/>
        </w:rPr>
        <w:t>Nasdaq Listing</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13, 2026, in accordance with Nasdaq Listing Rule 5815(d)(4)(B), we received a delisting determination letter from the Listing Qualifications Staff (the “Staff”) of The Nasdaq Stock Market LLC (“Nasdaq”). The Staff informed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and the Staff was not permitted to grant additional time for us to regain compliance because, as previously reported, we were subject to a mandatory monitoring period of one-year from July 24, 2025 due to previous noncompliance with Nasdaq Listing Rule 5550(b)(1). We were permitted to request an appeal of the Staff’s delisting determination and a hearing to address the deficiency before a Nasdaq Hearing Panel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 </w:t>
      </w:r>
    </w:p>
    <w:p>
      <w:pPr>
        <w:pStyle w:val="TextBody"/>
        <w:bidi w:val="0"/>
        <w:spacing w:lineRule="auto" w:line="288" w:before="200" w:after="283"/>
        <w:ind w:left="0" w:right="0" w:firstLine="720"/>
        <w:jc w:val="both"/>
        <w:rPr/>
      </w:pPr>
      <w:r>
        <w:rPr>
          <w:rFonts w:ascii="Arial;sans-serif" w:hAnsi="Arial;sans-serif"/>
          <w:b w:val="false"/>
          <w:color w:val="000000"/>
          <w:sz w:val="20"/>
        </w:rPr>
        <w:t xml:space="preserve">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See the risk factor titled, </w:t>
      </w:r>
      <w:r>
        <w:rPr>
          <w:rFonts w:ascii="Arial;sans-serif" w:hAnsi="Arial;sans-serif"/>
          <w:b w:val="false"/>
          <w:i/>
          <w:color w:val="000000"/>
          <w:sz w:val="2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r>
        <w:rPr>
          <w:rFonts w:ascii="Arial;sans-serif" w:hAnsi="Arial;sans-serif"/>
          <w:b w:val="false"/>
          <w:color w:val="000000"/>
          <w:sz w:val="20"/>
        </w:rPr>
        <w:t>, under the heading “Risk Factors” in Part II, Item 1A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Political, and Regulatory Environment Considerations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business, financial condition, operating results, and our ability to raise additional capital may be adversely affected by the uncertainty in the U.S. and global macroeconomic, political, and regulatory environments, such as inflation, trade disruptions and restrictive measures, including tariffs, interest rate uncertainty, slowed economic growth or recession, uncertainty with respect to the federal budget and debt ceiling, potential or prolonged U.S. government shutdowns,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drug pricing reform, global trade policy and tariffs, and others. Moreover, we have benefited significantly from federal government funding through grants and other agreements in support of several of our development programs, including Ovaprene and DARE-HPV. In early 2025, the U.S. presidential administration took actions to freeze billions of dollars in NIH grants, and the status of NIH grant funding has continued to evolve since that time as a result of additional executive actions, legal challenges, and court orders, and the long-term status of many grants remains uncertain.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continue to evolve, we are not able to reasonably predict the full extent of the potential impact on our business at this time. For additional information, see the risk factors described in Part II, Item 1A, Risk Factors in this report and Part I, Item 1A. Risk Factors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six months ended June 30, 2026, substantially all of our revenue relates to two agreements we entered into with the Gates Foundation, or the Foundation, under which we provide research and development services related to preeclampsia and the contraceptive market. We commenced work under both agreements in November 2025. We may receive up to approximately $499,000 under the agreement related to preeclampsia, and up to approximately $300,000 under the agreement related to the contraceptive market. We began recording revenue from sales of Flora Sync LF5 in July 2026.</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All of our revenue for 2025 was royalties from net sales of XACIATO, which have been paid to UiE under our royalty interest financing agreement with UiE, and recognized as non-cash royalty revenue. </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future, we may generate revenue from license fees, milestone payments, and research and development payments in connection with strategic collaborations, and from product sales, including sales of 503B compounded products, consumer health products, and FDA-approved products, if any. We expect to begin recording revenue from sales of DARE to PLAY in the third quarter of 2026. Our ability to generate such revenue will depend on the extent to which we are successful in executing against our Section 503B strategy, the extent to which the clinical development of our product candidates is successful, and whether we or a strategic collaborator receive the regulatory approvals necessary to market such product candidates, as well as the eventual commercial success of any FDA-approved products. If we fail to successfully achieve any of the foregoing, our ability to generate future revenue and our results of operations would be materially adversely affected.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 </w:t>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Cost of Revenues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Cost of revenues primarily represent expenses associated with medical education and consumer awareness related to the commercialization of DARE to PLAY through our 503B business model and the costs of providing research and development services to the Foundation. Beginning in the third quarter of 2026, cost of revenues will also include costs related to sales of Flora Sync LF5.</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Research and development, or R&amp;D, represents a core operational focus. We are advancing multiple product candidates through preclinical and clinical development, supported in part by significant non-dilutive grant funding from governmental and non-governmental organizations.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Although our R&amp;D activities remain substantial, as explained in more detail below, grant funding and other financial awards offset a significant portion of our R&amp;D expenses. As a result, our reported operating expenses may appear to be weighted more heavily toward selling, general and administrative, or SG&amp;A, expenses. However, this reflects the reduction to R&amp;D expenses (contra R&amp;D expense) as a result of grant funding and other financial awards, rather than a reduction in our commitment to or investment in R&amp;D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continue to represent the majority of our operating expenses, on a pre-contra R&amp;D expenses basis, for at least the next twelve months. R&amp;D expenses consist primarily of:</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direct program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contract manufacturing expenses, primarily for the production of materials for use in our clinical trials and nonclinical studies;</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 xml:space="preserve">expenses related to production of select proprietary formulations by 503B-registered outsourcing facilities prior to commercial launch of the product via Section 503B compounding; </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based on our product candidates' achievement of R&amp;D and regulatory milestones specified therein, and</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indirect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personnel-related costs, including salaries, bonuses, benefits, payroll taxes, and stock-based compensation expenses for employees engaged in R&amp;D functions,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the costs of services performed by third parties, including consulting services,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facilities-related costs, including rent and maintenance costs, and insurance, depreciation, supplies, and miscellaneous expenses,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costs related to travel, conference participation, service contracts, information technology, dues and subscriptions.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(contra-R&amp;D expense). For more information, see Note 2 "Basis of Presentation and Summary of Significant Accounting Policies–Grant Funding" to our consolidated financial statements contained in our 2025 10-K and Note 10 "Grant Awards" to the accompanying condensed consolidated financial statements. We recognized contra-R&amp;D expense of approximately $4.7 million and $8.2 million for the three and six months ended June 30, 2026, respectively, and $4.5 million and $7.6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SG&amp;A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2025 10-K. Since December 31, 2025, there have been no material changes to our critical accounting policies or the methodologies or assumptions we apply under them except for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Research and Development Services Revenue</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entered into two services agreements with the Foundation (the “Foundation Services Agreements”) pursuant to which we provide research and development support services. Revenue from these arrangements is recognized in accordance with ASC 606. Additional information is included in Note 2 to the accompanying condensed consolidated financial statements.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consider revenue recognition under the Foundation Services Agreements to be a critical accounting policy due to the judgments required in determining the appropriate pattern of revenue recognition and in measuring variable consideration. We recognize revenue over time under both agreements. This determination requires judgment in evaluating whether the customer simultaneously receives and consumes the benefits of our performance or whether our performance creates an asset with no alternative use and an enforceable right to payment for performance completed to date. These conclusions are based on the specific contractual terms and the nature of the services provided. The transaction price under the Foundation Services Agreements is variable and is based on actual hours incurred by designated personnel at contractually specified billing rates. We recognize revenue in the period in which services are performed and apply judgment in determining the appropriate level of effort incurred and the allocation of personnel time to the contracts. Changes in estimates of hours incurred or services performed could result in variability in the timing and amount of revenue recognized. For arrangements involving delivery of a defined work product, revenue is recognized based on progress toward completion. We apply judgment in measuring progress, including estimating total expected effort. Changes in these estimates could result in adjustments to revenue in future periods.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we invoice the Foundation in arrears, revenue recognized may exceed amounts invoiced, resulting in contract assets. We evaluate such balances to ensure revenue recognized appropriately reflects the transfer of services. Changes in our judgments or estimates regarding performance obligations, measure of progress, or variable consideration could materially impact the amount and timing of revenue recognized.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June 30, 2026 and 2025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condensed consolidated results of operations for the periods indicated, together with the changes in those items in terms of dollars and percentage: </w:t>
      </w:r>
    </w:p>
    <w:tbl>
      <w:tblPr>
        <w:tblW w:w="10205" w:type="dxa"/>
        <w:jc w:val="center"/>
        <w:tblInd w:w="0" w:type="dxa"/>
        <w:tblLayout w:type="fixed"/>
        <w:tblCellMar>
          <w:top w:w="28" w:type="dxa"/>
          <w:left w:w="28" w:type="dxa"/>
          <w:bottom w:w="28" w:type="dxa"/>
          <w:right w:w="28" w:type="dxa"/>
        </w:tblCellMar>
      </w:tblPr>
      <w:tblGrid>
        <w:gridCol w:w="1517"/>
        <w:gridCol w:w="1276"/>
        <w:gridCol w:w="1289"/>
        <w:gridCol w:w="211"/>
        <w:gridCol w:w="1064"/>
        <w:gridCol w:w="109"/>
        <w:gridCol w:w="109"/>
        <w:gridCol w:w="109"/>
        <w:gridCol w:w="109"/>
        <w:gridCol w:w="211"/>
        <w:gridCol w:w="1064"/>
        <w:gridCol w:w="109"/>
        <w:gridCol w:w="109"/>
        <w:gridCol w:w="109"/>
        <w:gridCol w:w="109"/>
        <w:gridCol w:w="211"/>
        <w:gridCol w:w="1021"/>
        <w:gridCol w:w="109"/>
        <w:gridCol w:w="109"/>
        <w:gridCol w:w="109"/>
        <w:gridCol w:w="109"/>
        <w:gridCol w:w="240"/>
        <w:gridCol w:w="241"/>
        <w:gridCol w:w="286"/>
        <w:gridCol w:w="109"/>
        <w:gridCol w:w="157"/>
      </w:tblGrid>
      <w:tr>
        <w:trPr/>
        <w:tc>
          <w:tcPr>
            <w:tcW w:w="151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revenues</w:t>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(2,967,980)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(2,982,773)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(2,980,548)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(4,003,590)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$0.2 million in revenue for the three months ended June 30, 2026 as compared to the three months ended June 30, 2025 was attributable to R&amp;D services revenues from the agreements we entered into with the Foundation in September and October 2025, partially offset by a decrease in non-cash royalty revenues related to XACIATO. See "—Financial Overview—Revenue," above for information.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Cost of revenues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Cost of revenues increased by approximately $0.3 million compared to the prior period, which had no comparable activity. Cost of revenues related to the cost of performing research and development services under our R&amp;D services agreements we entered into with the Foundation in September and October 2025, and to expenses associated with medical education and awareness related to the commercialization of DARE to PLAY.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$0.2 million in SG&amp;A expenses for the three months ended June 30, 2026 as compared to the three months ended June 30, 2025 was primarily attributable to an approximately $0.3 million non-cash write down of previously deferred offering costs, an increase of approximately $0.1 million in personnel costs, and an increase of approximately $0.1 million in commercial-readiness expenses driven by execution against our expanded business strategy, partially offset by decreases of approximately $0.2 million in professional services and approximately $0.1 million in stock-based compensation expense. See Note 4 "Stockholders' Equity" to the accompanying condensed consolidated financial statements for additional information regarding the non-cash write down of previously deferred offering costs.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92"/>
        <w:gridCol w:w="737"/>
        <w:gridCol w:w="742"/>
        <w:gridCol w:w="131"/>
        <w:gridCol w:w="131"/>
        <w:gridCol w:w="131"/>
        <w:gridCol w:w="254"/>
        <w:gridCol w:w="1033"/>
        <w:gridCol w:w="131"/>
        <w:gridCol w:w="131"/>
        <w:gridCol w:w="131"/>
        <w:gridCol w:w="131"/>
        <w:gridCol w:w="253"/>
        <w:gridCol w:w="1228"/>
        <w:gridCol w:w="131"/>
        <w:gridCol w:w="131"/>
        <w:gridCol w:w="131"/>
        <w:gridCol w:w="131"/>
        <w:gridCol w:w="253"/>
        <w:gridCol w:w="1246"/>
        <w:gridCol w:w="131"/>
        <w:gridCol w:w="131"/>
        <w:gridCol w:w="131"/>
        <w:gridCol w:w="131"/>
        <w:gridCol w:w="297"/>
        <w:gridCol w:w="298"/>
        <w:gridCol w:w="407"/>
      </w:tblGrid>
      <w:tr>
        <w:trPr/>
        <w:tc>
          <w:tcPr>
            <w:tcW w:w="149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843,503 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1,316,372 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(472,869)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1,244,028 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975,489 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628,595 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1,457,723 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1,718,320 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(4,017,949)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(3,780,794)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910,161 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2,117,300 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(1,207,139)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(759,000)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(668,195)</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(688,538)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241,966 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(1,186,796)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(3)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 amounts include expenses for Sildenafil Cream, 3.6% and DARE to PLAY Sildenafil Cream.</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3.These contra R&amp;D expenses were recognized as follows for the three months ended June 30, 2026 and 2025: (a) Ovaprene, $0.8 million and $0.4 million, respectively; (b) other advanced clinical stage programs, $1.3 million and $1.0 million, respectively, (c) Phase 1 and Phase 1-ready clinical stage programs, $0 and $0.1 million, respectively; and (d) preclinical stage programs, $1.9 million and $2.2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$1.2 million in R&amp;D expenses for the three months ended June 30, 2026 as compared to the three months ended June 30, 2025 was related to an increase in contra R&amp;D expenses in direct program costs, and decreases in expenses related to (i) the ongoing Phase 3 clinical trial of Ovaprene, (ii) our Phase 1 and Phase 1-ready clinical stage programs -</w:t>
      </w:r>
      <w:r>
        <w:rPr>
          <w:color w:val="000000"/>
        </w:rPr>
        <w:t xml:space="preserve"> </w:t>
      </w:r>
      <w:r>
        <w:rPr>
          <w:rFonts w:ascii="Arial;sans-serif" w:hAnsi="Arial;sans-serif"/>
          <w:b w:val="false"/>
          <w:color w:val="000000"/>
          <w:sz w:val="20"/>
        </w:rPr>
        <w:t xml:space="preserve">primarily attributable to our DARE-PTB1 program, (iii) our pre-clinical and other development programs —primarily attributable to our DARE-LARC1 program, and (iv) personnel-related costs. Such decreases were partially offset by increases in expenses related to (A) our other advanced clinical stage programs - primarily attributable to our DARE-HPV program, and (B) Sildenafil Cream and DARE to PLAY Sildenafil Cream. Contra R&amp;D expenses for the three months ended June 30, 2026 and 2025 primarily offset direct program costs for DARE-LARC1, Ovaprene and DARE-HPV.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$0.2 million in other expense for the three months ended June 30, 2026 as compared to the same period in 2025 was primarily due to an increase on interest earned on cash balances in the current period and a decrease of interest expense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Six Months Ended June 30, 2026 and 2025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summarizes our condensed consolidated results of operations for the periods indicated, together with the changes in those items in terms of dollars and percentage: </w:t>
      </w:r>
    </w:p>
    <w:tbl>
      <w:tblPr>
        <w:tblW w:w="10205" w:type="dxa"/>
        <w:jc w:val="center"/>
        <w:tblInd w:w="0" w:type="dxa"/>
        <w:tblLayout w:type="fixed"/>
        <w:tblCellMar>
          <w:top w:w="28" w:type="dxa"/>
          <w:left w:w="28" w:type="dxa"/>
          <w:bottom w:w="28" w:type="dxa"/>
          <w:right w:w="28" w:type="dxa"/>
        </w:tblCellMar>
      </w:tblPr>
      <w:tblGrid>
        <w:gridCol w:w="1485"/>
        <w:gridCol w:w="1241"/>
        <w:gridCol w:w="1254"/>
        <w:gridCol w:w="211"/>
        <w:gridCol w:w="1063"/>
        <w:gridCol w:w="109"/>
        <w:gridCol w:w="109"/>
        <w:gridCol w:w="109"/>
        <w:gridCol w:w="109"/>
        <w:gridCol w:w="211"/>
        <w:gridCol w:w="1063"/>
        <w:gridCol w:w="109"/>
        <w:gridCol w:w="109"/>
        <w:gridCol w:w="109"/>
        <w:gridCol w:w="109"/>
        <w:gridCol w:w="211"/>
        <w:gridCol w:w="1021"/>
        <w:gridCol w:w="109"/>
        <w:gridCol w:w="109"/>
        <w:gridCol w:w="109"/>
        <w:gridCol w:w="109"/>
        <w:gridCol w:w="293"/>
        <w:gridCol w:w="293"/>
        <w:gridCol w:w="286"/>
        <w:gridCol w:w="109"/>
        <w:gridCol w:w="156"/>
      </w:tblGrid>
      <w:tr>
        <w:trPr/>
        <w:tc>
          <w:tcPr>
            <w:tcW w:w="14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services and 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5,744,665 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(2,668,508)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(5,966,878)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(5,982,662)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(5,935,894)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(8,368,807)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$0.3 million in revenue for the six months ended June 30, 2026 as compared to the six months ended June 30, 2025 was attributable to R&amp;D services revenues from the agreements we entered into with the Foundation in September and October 2025, partially offset by a decrease in non-cash royalty revenues related to XACIATO. See "—Financial Overview—Revenue," above for information.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Cost of revenues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Cost of revenues increased by approximately $0.6 million compared to the prior period, which had no comparable activity. Cost of revenues relates primarily to the cost of performing research and development services under our R&amp;D services agreements we entered into with the Foundation in September and October 2025, and to expenses associated with medical education and awareness related to the commercialization of DARE to PLAY.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$0.2 million in SG&amp;A expenses for the six months ended June 30, 2026 as compared to the six months ended June 30, 2025 was primarily attributable to an approximately $0.3 million non-cash write down of previously deferred offering costs, an increase of approximately $0.1 million in commercial-readiness expenses driven by execution against our expanded business strategy, partially offset by a decrease of approximately $0.2 million in professional services expense. See Note 4 "Stockholders' Equity" to the accompanying condensed consolidated financial statements for additional information regarding the non-cash write down of previously deferred offering costs.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71"/>
        <w:gridCol w:w="717"/>
        <w:gridCol w:w="722"/>
        <w:gridCol w:w="130"/>
        <w:gridCol w:w="130"/>
        <w:gridCol w:w="130"/>
        <w:gridCol w:w="253"/>
        <w:gridCol w:w="1227"/>
        <w:gridCol w:w="130"/>
        <w:gridCol w:w="130"/>
        <w:gridCol w:w="130"/>
        <w:gridCol w:w="130"/>
        <w:gridCol w:w="253"/>
        <w:gridCol w:w="1227"/>
        <w:gridCol w:w="130"/>
        <w:gridCol w:w="130"/>
        <w:gridCol w:w="130"/>
        <w:gridCol w:w="130"/>
        <w:gridCol w:w="253"/>
        <w:gridCol w:w="1245"/>
        <w:gridCol w:w="130"/>
        <w:gridCol w:w="130"/>
        <w:gridCol w:w="130"/>
        <w:gridCol w:w="130"/>
        <w:gridCol w:w="234"/>
        <w:gridCol w:w="234"/>
        <w:gridCol w:w="419"/>
      </w:tblGrid>
      <w:tr>
        <w:trPr/>
        <w:tc>
          <w:tcPr>
            <w:tcW w:w="147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2,075,263 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(736,838)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Sildenafil Cream </w:t>
            </w:r>
            <w:r>
              <w:rPr>
                <w:rFonts w:ascii="Arial;sans-serif" w:hAnsi="Arial;sans-serif"/>
                <w:b w:val="false"/>
                <w:color w:val="000000"/>
                <w:sz w:val="13"/>
              </w:rPr>
              <w:t>(2)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1,619,791 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260,123 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(865,219)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2,626,102 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2,767,058 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2,276,881 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2,701,684 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(424,803)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(7,087,095)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(6,399,167)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1,973,625 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4,734,339 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(2,760,714)</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(1,130,697)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(1,207,392)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(1,071,197)</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(1,008,196)</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902,428 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(2,823,715)</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4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(3)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 amounts include expenses for Sildenafil Cream, 3.6% and DARE to PLAY Sildenafil Cream.</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3.These contra R&amp;D expenses were recognized as follows for the six months ended June 30, 2026 and 2025: (a) Ovaprene, $1.7 million and $0.9 million, respectively; (b) other advanced clinical stage programs, $1.8 million and $1.5 million, respectively, (c) Phase 1 and Phase 1-ready clinical stage programs, $0 million and $0.2 million, respectively; and (d) preclinical stage programs, $3.6 million and $3.8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$2.8 million in R&amp;D expenses for the six months ended June 30, 2026 as compared to the six months ended June 30, 2025 was primarily attributable to an increase in contra R&amp;D expenses in direct program costs, and decreases in expenses related to (i) our Phase 1 and Phase 1-ready clinical stage programs -</w:t>
      </w:r>
      <w:r>
        <w:rPr>
          <w:color w:val="000000"/>
        </w:rPr>
        <w:t xml:space="preserve"> </w:t>
      </w:r>
      <w:r>
        <w:rPr>
          <w:rFonts w:ascii="Arial;sans-serif" w:hAnsi="Arial;sans-serif"/>
          <w:b w:val="false"/>
          <w:color w:val="000000"/>
          <w:sz w:val="20"/>
        </w:rPr>
        <w:t xml:space="preserve">primarily attributable to our DARE-PTB1 program, (ii) the ongoing Phase 3 clinical trial of Ovaprene, (iii) Sildenafil Cream and DARE to PLAY Sildenafil Cream, (iv) personnel costs, and (v) our pre-clinical and other development programs —primarily attributable to our DARE-LARC1 program. Such decreases were partially offset by increases in expenses related to our other advanced clinical stage programs - primarily attributable to our DARE-HPV program. Contra R&amp;D expenses for the six months ended June 30, 2026 and 2025 primarily offset direct program costs for DARE-LARC1, Ovaprene and DARE-HPV. </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(expense) income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$30,000 in other expense for the six months ended June 30, 2026 as compared to the same period in 2025 was due to (i) the absence of employee retention credits recognized in the prior year period— in the first quarter of 2025, we recognized approximately $0.2 million of employee retention credits related to applications filed in 2023 with no comparable benefit in the current period, and (ii) decreased interest expense in the current period. Such decreases were partially offset by increased interest income due to an increase on interest earned on cash balances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the near term, we plan to focus primarily on: (a) our ongoing Ovaprene Phase 3 study; (b) executing against our Section 503B compounding and consumer health products business strategies, with a focus on DARE to PLAY, DARE to RECLAIM estradiol progesterone intravaginal ring, and DARE to RESTORE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“Business Overview" and "Recent Events” above and Note 10 "Grant Awards" to the accompanying condensed consolidated financial statements.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At June 30, 2026, our cash and cash equivalents were approximately $12.6 million, and our working capital deficit was approximately $0.2 million. As of June 30, 2026, our deferred grant funding liability was approximately $15.0 million, substantially all of which consisted of funds intended to support the DARE-LARC1 program, the Ovaprene Phase 3 clinical study, and the DARE-HPV program. For more information about our cash and cash equivalents and our deferred grant funding liability, see Note 2 "Basis of Presentation and Summary of Significant Accounting Policies—Going Concern" to the accompanying condensed consolidated financial statements, and Note 2 "Basis of Presentation and Summary of Significant Accounting Policies—Grant Funding" to our consolidated financial statements in our 2025 10-K.</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believe that our existing cash and cash equivalents will be sufficient to fund our operating needs, including planned commercial launch activities for DARE to PLAY, into the fourth quarter of 2026. We have based this estimate on assumptions that may prove to be wrong, and we could deplete our capital resources sooner than we expect. We will continue to evaluate and may pursue various capital raising options, including sales of equity, debt financings, government or other grant funding, collaborations, structured financings, and commercial collaborations or other strategic transactions. Our ability to obtain additional capital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At June 30, 2026, our accumulated deficit was approximately $194.7 million, and we had a net loss of approximately $6.0 million and negative cash flows from operations of approximately $12.3 million for the six months ended June 30, 2026.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 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our 2025 10-K under “Risks Related to Our Financial Position and Capital Needs.”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pPr>
      <w:r>
        <w:rPr>
          <w:rFonts w:ascii="Arial;sans-serif" w:hAnsi="Arial;sans-serif"/>
          <w:b w:val="false"/>
          <w:color w:val="000000"/>
          <w:sz w:val="20"/>
        </w:rPr>
        <w:t>In our Regulation A offering we are offering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$5.00. As of the date of this report, we have issued an aggregate of 338,000 units to investors in the offering, consisting of 338,000 shares of Series A convertible preferred stock and warrants to purchase up to 676,000 shares of our common stock, for gross proceeds of approximately $1.7 million.</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have a sales agreement with Stifel, Nicolaus &amp; Company, Incorporated, or Stifel, to sell shares of our common stock from time to time through an "at-the-market," or ATM, equity offering program under which Stifel acts as our agent. Shares of our common stock sold under the sales agreement are offered and sold under our shelf registration statement on Form S-3 (File No. 333-278380) declared effective by the SEC on May 10, 2024. During 2025, we sold 4,329,116 shares of our common stock under the sales agreement for net proceeds of approximately $17.6 million. Because the market value of the outstanding shares of our common stock held by non-affiliates, or our public float, is less than $75.0 million, we are subject to the SEC's "baby shelf rule," which limits the amount of securities we may offer and sell under a shelf registration statement to one-third of our public float in any 12-month period. As of August 1, 2026, all prior offers and sales under our shelf registration statement fell outside the trailing 12-month period, and we became eligible to offer and sell our securities under the shelf registration statement, subject to the baby shelf rule limitation.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have a purchase agreement with Lincoln Park Capital Fund, LLC, or Lincoln Park, under which, subject to the conditions thereof, we have the right, but not the obligation, to sell to Lincoln Park, and Lincoln Park is obligated to purchase, up to $15.0 million in shares of our common stock. Such sales of our common stock to Lincoln Park, if any, may occur from time to time, at our sole discretion through December 1, 2026. See Note 4 "Stockholders' Equity—Equity Line" to the accompanying condensed consolidated financial statements for additional information. During 2025, we sold 1,470,000 shares of our common stock under this purchase agreement and received net proceeds of approximately $3.1 million. We sold 150,000 shares of our common stock under this purchase agreement during the six months ended June 30, 2026 and received net proceeds of approximately $0.3 million. We sold 120,000 shares of our common stock under this agreement subsequent to June 30, 2026 and received net proceeds of approximately $0.2 million.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began recording revenue from sales of Flora Sync LF5 in July 2026, and we expect to begin recording revenue from sales of DARE to PLAY in the third quarter of 2026. The amount of potential revenue we may generate remains uncertain because we are in the early stages of executing against our Section 503B compounding and consumer health products business strategies,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994" w:type="dxa"/>
        <w:jc w:val="center"/>
        <w:tblInd w:w="0" w:type="dxa"/>
        <w:tblLayout w:type="fixed"/>
        <w:tblCellMar>
          <w:top w:w="28" w:type="dxa"/>
          <w:left w:w="28" w:type="dxa"/>
          <w:bottom w:w="28" w:type="dxa"/>
          <w:right w:w="28" w:type="dxa"/>
        </w:tblCellMar>
      </w:tblPr>
      <w:tblGrid>
        <w:gridCol w:w="2034"/>
        <w:gridCol w:w="1781"/>
        <w:gridCol w:w="1795"/>
        <w:gridCol w:w="211"/>
        <w:gridCol w:w="1186"/>
        <w:gridCol w:w="109"/>
        <w:gridCol w:w="109"/>
        <w:gridCol w:w="109"/>
        <w:gridCol w:w="109"/>
        <w:gridCol w:w="211"/>
        <w:gridCol w:w="1186"/>
        <w:gridCol w:w="154"/>
      </w:tblGrid>
      <w:tr>
        <w:trPr/>
        <w:tc>
          <w:tcPr>
            <w:tcW w:w="203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(12,295,690)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(10,887,999)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(12,093,762)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(10,663,168)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of $12.3 million for the six months ended June 30, 2026 was primarily due to our net loss of $6.0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a decrease of $4.7 million in our deferred grant funding liability, an increase of $1.8 million in other non-current assets, an increase of $1.4 million in prepaid expenses, an increase of $0.5 million in other current assets, a decrease of $0.4 million in accounts payable, a decrease of $0.3 million in operating lease liability, partially offset by an increase of $0.3 million in interest payable. The $1.8 million increase in other non-current assets relates primarily to a payment made to the third-party Section 503B-registered outsourcing facility for DARE to RECLAIM during the three months ended March 31, 2026, which will be credited against amounts otherwise owed to such third-party for future purchases of DARE to RECLAIM.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of $10.9 million for the six months ended June 30, 2025 was primarily due to our net loss of $8.4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decreases of $4.2 million in our deferred grant funding liability, $0.4 million in accrued expenses, and $0.3 million in operating lease liability, offset by increases of $0.5 million in prepaid expenses, $0.2 million in accounts payable, and $0.3 million in interest payable. </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for the six months ended June 30, 2026 and June 30, 2025 related to purchases of property and equipment.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six months ended June 30, 2026 resulted primarily from approximately $1.5 million of net proceeds from sales of units in our Regulation A offering and approximately $0.3 million of net proceeds from sales of our common stock under our purchase agreement with Lincoln Park, partially offset by (i) approximately $1.3 million in payments on our facility financing lease and (ii) approximately $0.2 million in payments on a note payable related to an insurance premium financing obtained in July 2025 related to certain director and officer and other insurance premiums.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provided by financing activities for the six months ended June 30, 2025 consisted primarily of approximately $0.9 million of net proceeds from the sales of our common stock under our purchase agreement with Lincoln Park partially offset by payments on (i) our facility finance lease of approximately $0.5 million and (ii) insurance premium financing of approximately $0.3 million. </w:t>
      </w: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remainder of 2026, based on our current expectations regarding the progress of development of our product candidates and sales of XACIATO and DARE to PLAY,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for at least the first twelve months following its market introduction, we anticipate a mid single-digit royalty payment obligation to our upstream licensor on annual net sales.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information regarding our grant agreements with the Foundation, see Note 10 "—Grant Awards—Other Non-Dilutive Grant Funding" to the accompanying condensed consolidated financial statements, and Note 2 "Basis of Presentation and Summary of Significant Accounting Policies—Grant Funding" to our consolidated financial statements in our 2025 10-K.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Royalty Purchase Agreements with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we entered into a traditional royalty purchase agreement and a synthetic royalty purchase agreement with XOMA pursuant to which, among other things,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and (b) a portion of future net sales of Ovaprene, Sildenafil Cream and DARE to PLAY.</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our contractual obligations to XOMA, see Note 8 “Royalty Purchase Agreements”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UiE pursuant to which we sold to UiE an interest in the royalty and milestone payments we are entitled to receive in respect of net sales of XACIATO under our license agreement with Organon.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We have the right to make prepayments on or pay in full and retire all of our payment obligations to UiE.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more information regarding our contractual obligations to UiE, see Note 7 “Royalty Interest Financing”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two operating leases for our laboratory and office spaces that each expire in 2027. As of June 30, 2026, we had future minimum lease payments under these leases of $0.9 million, $0.6 million of which is classified as current and $0.3 million of which is classified as long-term, the remainder of which represents future interest payments. We have one finance lease for our clean room space that expires in December 2026. As of June 30, 2026, we had future minimum lease payments under this lease of $0.2 million, all of which is classified as current. For additional information on our lease obligations, See Note 6 "Leases" to the accompanying condensed consolidated financial statements.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enter into contracts in the normal course of business with various third parties for research studies, clinical trials, testing and other services, and with Section 503B-registered outsourcing facilities, dispensing pharmacies, telehealth providers, and other third parties to help bring our proprietary formulations to market. These contracts generally provide for termination upon notice, and we do not believe that our non-cancelable obligations under these agreements are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For descriptions of additional contractual obligations and commitments, see Note 9 "Commitments and Contingencies" to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June 30, 2026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2025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2025 10-K. </w:t>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there can be no assurance that we will continue to satisfy those or other continued listing requirements and maintain the listing of our common stock on the Nasdaq Capital Market.</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When Nasdaq confirmed on July 24, 2025, that we regained compliance with the stockholders’ equity rule, it also informed us that, pursuant to Nasdaq Listing Rule 5815(d)(4)(B), we would be subject to a mandatory panel monitor for a period of one year from that date, and that if, within that one-year period, the Staff determines that we are out of compliance with the stockholders’ equity rule, the Staff will issue a delisting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us additional time to regain compliance, and we will not be afforded a cure period pursuant to Nasdaq Listing Rule 5810(c)(3). The foregoing would limit our ability to remedy any future non-compliance with the stockholders’ equity rule, and would increase the likelihood that our common stock could be delisted, if we were to fall out of compliance with the stockholders’ equity rule during the one-year monitoring period.</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13, 2026, we received a delisting determination letter from the Staff in accordance Nasdaq Listing Rule 5815(d)(4)(B) informing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Pursuant to Nasdaq Listing Rule 5815, we were permitted to request an appeal of the Staff’s delisting determination and a hearing to address the listing deficiency before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If the Panel issues a decision to delist our common stock, unless the Panel’s decision specifies to the contrary, Nasdaq will immediately take action to suspend trading of our common stock. If the Panel issues a delisting decision, we will have an opportunity to appeal the decision to the Nasdaq Listing and Hearing Review Council (the “Listing Council”). If the Panel issues a delisting decision and we do not appeal the decision or if the Listing Council does not call the matter for review or withdraws its call for review, Nasdaq will follow the procedures described in Nasdaq Listing Rule 5830 to submit an application on Form 25 to the SEC to delist our common stock.</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The suspension or delisting of our common stock, or the commencement of delisting proceedings, for whatever reason, including the ongoing process that began with the July 13, 2026 Staff delisting determination letter,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pStyle w:val="TextBody"/>
        <w:bidi w:val="0"/>
        <w:spacing w:lineRule="auto" w:line="288" w:before="0" w:after="0"/>
        <w:ind w:left="0" w:right="0" w:firstLine="720"/>
        <w:jc w:val="both"/>
        <w:rPr>
          <w:rFonts w:ascii="Arial;sans-serif" w:hAnsi="Arial;sans-serif"/>
          <w:b/>
          <w:i/>
          <w:color w:val="000000"/>
          <w:sz w:val="20"/>
        </w:rPr>
      </w:pPr>
      <w:r>
        <w:rPr>
          <w:rFonts w:ascii="Arial;sans-serif" w:hAnsi="Arial;sans-serif"/>
          <w:b/>
          <w:i/>
          <w:color w:val="000000"/>
          <w:sz w:val="20"/>
        </w:rPr>
        <w:t>We may not enroll a sufficient number of subjects in our ongoing Phase 3 clinical study to support an FDA determination of an adequate benefit-risk profile for Ovaprene.</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pivotal clinical trial for Ovaprene is being conducted under an Investigational Device Exemption (IDE). The study protocol currently calls for at least 2,500 menstrual cycles of exposure to Ovaprene and expects that at least 250 subjects would complete 13 menstrual cycles of use, whom we refer to as completers. In July 2026, we submitted a protocol amendment to the FDA that proposed to remove the specific expectation of at least 250 completers, which number the FDA had originally requested, instead targeting solely approximately 2,500 total menstrual cycles of use across all enrolled subjects, which we believe will be achieved with less than 250 completers. In August 2026, the FDA approved this protocol amendment. However, in its approval letter, the FDA stated that the data we submitted in support of removing the target number of completers was insufficient and cautioned that it believes implementing the proposed modification would result in a study that is not able to generate sufficient evidence of Ovaprene’s safety profile to support a favorable premarket approval (PMA) decision. </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sample size for the study was calculated based on an identified Pearl Index performance goal. The FDA also cautioned that the performance goal may not be sufficient to support a favorable benefit-risk determination for Ovaprene in a future marketing application based on its product profile and novelty as compared to contraceptive products that guided selection of the performance goal. If the FDA ultimately does not agree that this performance goal is adequate, our current trial, regardless of the number of completers, may not generate sufficient data to support FDA approval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expect to proceed to amend the protocol to eliminate the 250 completer expectation and we do not currently plan to modify the performance goal. We intend to continue engagement with the FDA on the recommendations and considerations it provided in its August 2026 letter, including with respect to the study’s minimum number of completers and performance goal. Based on the interim safety data reviewed by the study’s DSMB in May 2026, including the absence of new types of adverse events or increased frequency of adverse events with prolonged use of Ovaprene in the study, and the study’s expected achievement of at least 2,500 menstrual cycles of exposure, we believe the amended study design will generate sufficient safety data to support a PMA application to the FDA. However, there is no assurance that the FDA will agree, and data generated from fewer than 250 completers, or from our current trial design more generally, may not be sufficient to support FDA approval of Ovaprene. The FDA's approval of our proposed protocol amendment does not mean that the FDA has determined, or will determine, that the resulting data package from our ongoing study will be adequate to support FDA approval. If the FDA determines that our data are insufficient, whether due to the number of completers, the statistical basis for our study design, or other considerations, we may be required to enroll additional subjects, conduct additional clinical studies, generate additional data, or otherwise delay, limit, or restructure our development and regulatory strategy for Ovaprene. We may lack the financial resources, the number of available investigational devices, or sufficient time to satisfy any such additional FDA requirements, and we may determine to allocate our limited resources to other development programs or initiatives. Any of the foregoing could significantly delay or prevent FDA approval of Ovaprene and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(a)    On October 21, 2024, we entered into a purchase agreement with Lincoln Park Capital Fund, LLC, or Lincoln Park. From April 1, 2026 through June 30, 2026, we sold 90,000 shares of our common stock to Lincoln Park under that purchase agreement for aggregate gross proceeds of approximately $0.2 million. For additional information regarding such sales and our purchase agreement with Lincoln Park, see Note 4 “Stockholders’ Equity—Equity Line” to the accompanying condensed consolidated financial statements. Lincoln Park represented to us, among other things, that it is an “accredited investor” as such term is defined in Rule 501(a)(3) of Regulation D under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pStyle w:val="TextBody"/>
        <w:bidi w:val="0"/>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From April 1, 2026 through June 30, 2026, we issued 520,000 shares of our common stock upon the conversion of 260,000 shares of our Series A convertible preferred stock. Such shares of Series A convertible preferred stock and common stock were issued in reliance upon an exemption from the registration requirements of the Securities Act afforded by Regulation A promulgated under the Securities Act. See Note 4 "Stockholders' Equity—Series A Convertible Preferred Stock" and Note 4 "Stockholders' Equity—Regulation A Offering" to the accompanying condensed consolidated financial statements for information regarding the terms of our Series A convertible preferred stock and our Regulation A offering.</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During the period from April 1, 2026 to June 30, 2026, none of our directors or officers (as defined in Rule 16a-1(f) under the Exchange Act) adopted or terminated any Rule 10b5-1 trading arrangement (as defined in Item 408(a)(1)(i) of Regulation S-K)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1345"/>
        <w:gridCol w:w="1062"/>
        <w:gridCol w:w="1065"/>
        <w:gridCol w:w="109"/>
        <w:gridCol w:w="109"/>
        <w:gridCol w:w="109"/>
        <w:gridCol w:w="200"/>
        <w:gridCol w:w="200"/>
        <w:gridCol w:w="201"/>
        <w:gridCol w:w="117"/>
        <w:gridCol w:w="117"/>
        <w:gridCol w:w="117"/>
        <w:gridCol w:w="283"/>
        <w:gridCol w:w="257"/>
        <w:gridCol w:w="143"/>
        <w:gridCol w:w="117"/>
        <w:gridCol w:w="117"/>
        <w:gridCol w:w="117"/>
        <w:gridCol w:w="237"/>
        <w:gridCol w:w="237"/>
        <w:gridCol w:w="238"/>
        <w:gridCol w:w="109"/>
        <w:gridCol w:w="109"/>
        <w:gridCol w:w="109"/>
        <w:gridCol w:w="272"/>
        <w:gridCol w:w="272"/>
        <w:gridCol w:w="273"/>
        <w:gridCol w:w="109"/>
        <w:gridCol w:w="109"/>
        <w:gridCol w:w="109"/>
        <w:gridCol w:w="302"/>
        <w:gridCol w:w="302"/>
        <w:gridCol w:w="444"/>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_non-employeedir.htm">
              <w:r>
                <w:rPr>
                  <w:rStyle w:val="InternetLink"/>
                  <w:rFonts w:ascii="Arial;sans-serif" w:hAnsi="Arial;sans-serif"/>
                  <w:b w:val="false"/>
                  <w:color w:val="0000FF"/>
                  <w:sz w:val="20"/>
                  <w:u w:val="single"/>
                </w:rPr>
                <w:t>Form of Restricted Stock Unit Agreement (Non-Employee Directors) for Grants under the Daré Bioscience, Inc. 2022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80"/>
                  <w:sz w:val="20"/>
                  <w:u w:val="single"/>
                </w:rPr>
                <w:t xml:space="preserve">Amendment No. </w:t>
              </w:r>
            </w:hyperlink>
            <w:hyperlink r:id="rId4">
              <w:r>
                <w:rPr>
                  <w:rStyle w:val="InternetLink"/>
                  <w:rFonts w:ascii="Arial;sans-serif" w:hAnsi="Arial;sans-serif"/>
                  <w:b w:val="false"/>
                  <w:color w:val="000080"/>
                  <w:sz w:val="20"/>
                  <w:u w:val="single"/>
                </w:rPr>
                <w:t>2</w:t>
              </w:r>
            </w:hyperlink>
            <w:hyperlink r:id="rId5">
              <w:r>
                <w:rPr>
                  <w:rStyle w:val="InternetLink"/>
                  <w:rFonts w:ascii="Arial;sans-serif" w:hAnsi="Arial;sans-serif"/>
                  <w:b w:val="false"/>
                  <w:color w:val="000080"/>
                  <w:sz w:val="20"/>
                  <w:u w:val="single"/>
                </w:rPr>
                <w:t xml:space="preserve"> to Daré Bioscience, Inc. 2022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_non-employeedir.htm">
              <w:r>
                <w:rPr>
                  <w:rStyle w:val="InternetLink"/>
                  <w:rFonts w:ascii="Arial;sans-serif" w:hAnsi="Arial;sans-serif"/>
                  <w:b w:val="false"/>
                  <w:color w:val="0000FF"/>
                  <w:sz w:val="20"/>
                  <w:u w:val="single"/>
                </w:rPr>
                <w:t>Amended and Restated Non-Employee Director Compensation Policy (as amended through April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_gatesfoundation.htm">
              <w:r>
                <w:rPr>
                  <w:rStyle w:val="InternetLink"/>
                  <w:rFonts w:ascii="Arial;sans-serif" w:hAnsi="Arial;sans-serif"/>
                  <w:b w:val="false"/>
                  <w:color w:val="0000FF"/>
                  <w:sz w:val="20"/>
                  <w:u w:val="single"/>
                </w:rPr>
                <w:t>Grant Agreement between Daré Bioscience, Inc. and the Gates Foundation (f/k/a the Bill &amp; Melinda Gates Foundation) effective as of June 30, 2021,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60630.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60630.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73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1541"/>
        <w:gridCol w:w="1541"/>
        <w:gridCol w:w="2183"/>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MarDee Haring-Layton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MarDee Haring-Layton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0"/>
        </w:rPr>
      </w:pPr>
      <w:r>
        <w:rPr>
          <w:rFonts w:ascii="Arial;sans-serif" w:hAnsi="Arial;sans-serif"/>
          <w:b/>
          <w:color w:val="000000"/>
          <w:sz w:val="20"/>
        </w:rPr>
        <w:t>Restricted Stock Unit Agreement</w:t>
        <w:br/>
        <w:t>(Non-Employee Directors)</w:t>
      </w:r>
    </w:p>
    <w:p>
      <w:pPr>
        <w:pStyle w:val="TextBody"/>
        <w:bidi w:val="0"/>
        <w:spacing w:lineRule="auto" w:line="288" w:before="0" w:after="120"/>
        <w:jc w:val="both"/>
        <w:rPr/>
      </w:pPr>
      <w:r>
        <w:rPr>
          <w:rFonts w:ascii="Arial;sans-serif" w:hAnsi="Arial;sans-serif"/>
          <w:b w:val="false"/>
          <w:color w:val="000000"/>
          <w:sz w:val="20"/>
        </w:rPr>
        <w:t>This Restricted Stock Unit Agreement (this “</w:t>
      </w:r>
      <w:r>
        <w:rPr>
          <w:rFonts w:ascii="Arial;sans-serif" w:hAnsi="Arial;sans-serif"/>
          <w:b/>
          <w:color w:val="000000"/>
          <w:sz w:val="20"/>
        </w:rPr>
        <w:t>Agreement</w:t>
      </w:r>
      <w:r>
        <w:rPr>
          <w:color w:val="000000"/>
        </w:rPr>
        <w:t>”</w:t>
      </w:r>
      <w:r>
        <w:rPr>
          <w:rFonts w:ascii="Arial;sans-serif" w:hAnsi="Arial;sans-serif"/>
          <w:b w:val="false"/>
          <w:color w:val="000000"/>
          <w:sz w:val="20"/>
        </w:rPr>
        <w:t>) is made and entered into as of _____ (the “</w:t>
      </w:r>
      <w:r>
        <w:rPr>
          <w:rFonts w:ascii="Arial;sans-serif" w:hAnsi="Arial;sans-serif"/>
          <w:b/>
          <w:color w:val="000000"/>
          <w:sz w:val="20"/>
        </w:rPr>
        <w:t>Grant Date</w:t>
      </w:r>
      <w:r>
        <w:rPr>
          <w:color w:val="000000"/>
        </w:rPr>
        <w:t>”</w:t>
      </w:r>
      <w:r>
        <w:rPr>
          <w:rFonts w:ascii="Arial;sans-serif" w:hAnsi="Arial;sans-serif"/>
          <w:b w:val="false"/>
          <w:color w:val="000000"/>
          <w:sz w:val="20"/>
        </w:rPr>
        <w:t>) by and between Daré Bioscience, Inc., a Delaware corporation (the “</w:t>
      </w:r>
      <w:r>
        <w:rPr>
          <w:rFonts w:ascii="Arial;sans-serif" w:hAnsi="Arial;sans-serif"/>
          <w:b/>
          <w:color w:val="000000"/>
          <w:sz w:val="20"/>
        </w:rPr>
        <w:t>Company</w:t>
      </w:r>
      <w:r>
        <w:rPr>
          <w:color w:val="000000"/>
        </w:rPr>
        <w:t>”</w:t>
      </w:r>
      <w:r>
        <w:rPr>
          <w:rFonts w:ascii="Arial;sans-serif" w:hAnsi="Arial;sans-serif"/>
          <w:b w:val="false"/>
          <w:color w:val="000000"/>
          <w:sz w:val="20"/>
        </w:rPr>
        <w:t>), and [DIRECTOR NAME] (the “</w:t>
      </w:r>
      <w:r>
        <w:rPr>
          <w:rFonts w:ascii="Arial;sans-serif" w:hAnsi="Arial;sans-serif"/>
          <w:b/>
          <w:color w:val="000000"/>
          <w:sz w:val="20"/>
        </w:rPr>
        <w:t>Director</w:t>
      </w:r>
      <w:r>
        <w:rPr>
          <w:color w:val="000000"/>
        </w:rPr>
        <w:t>”</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WHEREAS, the Company has adopted the Daré Bioscience, Inc. 2022 Stock Incentive Plan (as amended from time to time, the “</w:t>
      </w:r>
      <w:r>
        <w:rPr>
          <w:rFonts w:ascii="Arial;sans-serif" w:hAnsi="Arial;sans-serif"/>
          <w:b/>
          <w:color w:val="000000"/>
          <w:sz w:val="20"/>
        </w:rPr>
        <w:t>Plan</w:t>
      </w:r>
      <w:r>
        <w:rPr>
          <w:color w:val="000000"/>
        </w:rPr>
        <w:t>”</w:t>
      </w:r>
      <w:r>
        <w:rPr>
          <w:rFonts w:ascii="Arial;sans-serif" w:hAnsi="Arial;sans-serif"/>
          <w:b w:val="false"/>
          <w:color w:val="000000"/>
          <w:sz w:val="20"/>
        </w:rPr>
        <w:t xml:space="preserve">) pursuant to which Restricted Stock Units may be granted;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WHEREAS, the Board has determined that it is in the best interests of the Company and its stockholders to grant the Restricted Stock Units provided for herein; and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WHEREAS, capitalized terms that are used but not defined herein have the meaning ascribed to them in the Plan.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NOW, THEREFORE, the parties hereto, intending to be legally bound, agree as follows:</w:t>
      </w:r>
    </w:p>
    <w:p>
      <w:pPr>
        <w:pStyle w:val="TextBody"/>
        <w:bidi w:val="0"/>
        <w:spacing w:lineRule="auto" w:line="240" w:before="0" w:after="120"/>
        <w:jc w:val="left"/>
        <w:rPr/>
      </w:pPr>
      <w:r>
        <w:rPr>
          <w:rFonts w:ascii="Arial;sans-serif" w:hAnsi="Arial;sans-serif"/>
          <w:b w:val="false"/>
          <w:color w:val="000000"/>
          <w:sz w:val="20"/>
        </w:rPr>
        <w:t>1.</w:t>
      </w:r>
      <w:r>
        <w:rPr>
          <w:rFonts w:ascii="Arial;sans-serif" w:hAnsi="Arial;sans-serif"/>
          <w:b w:val="false"/>
          <w:color w:val="000000"/>
          <w:sz w:val="20"/>
          <w:u w:val="single"/>
        </w:rPr>
        <w:t>Grant of Restricted Stock Units</w:t>
      </w:r>
      <w:r>
        <w:rPr>
          <w:rFonts w:ascii="Arial;sans-serif" w:hAnsi="Arial;sans-serif"/>
          <w:b w:val="false"/>
          <w:color w:val="000000"/>
          <w:sz w:val="20"/>
        </w:rPr>
        <w:t>.</w:t>
      </w:r>
    </w:p>
    <w:p>
      <w:pPr>
        <w:pStyle w:val="TextBody"/>
        <w:bidi w:val="0"/>
        <w:spacing w:lineRule="auto" w:line="240" w:before="0" w:after="120"/>
        <w:ind w:left="0" w:right="0" w:firstLine="720"/>
        <w:jc w:val="both"/>
        <w:rPr/>
      </w:pPr>
      <w:r>
        <w:rPr>
          <w:rFonts w:ascii="Arial;sans-serif" w:hAnsi="Arial;sans-serif"/>
          <w:b w:val="false"/>
          <w:color w:val="000000"/>
          <w:sz w:val="20"/>
        </w:rPr>
        <w:t>1.1</w:t>
      </w:r>
      <w:r>
        <w:rPr>
          <w:rFonts w:ascii="Arial;sans-serif" w:hAnsi="Arial;sans-serif"/>
          <w:b w:val="false"/>
          <w:color w:val="000000"/>
          <w:sz w:val="20"/>
        </w:rPr>
        <w:t>Pursuant to Section 7 of the Plan, the Company hereby grants to the Director on the Grant Date an Award consisting of, in the aggregate, [NUMBER] Restricted Stock Units (the “</w:t>
      </w:r>
      <w:r>
        <w:rPr>
          <w:rFonts w:ascii="Arial;sans-serif" w:hAnsi="Arial;sans-serif"/>
          <w:b/>
          <w:color w:val="000000"/>
          <w:sz w:val="20"/>
        </w:rPr>
        <w:t>Restricted Stock Units</w:t>
      </w:r>
      <w:r>
        <w:rPr>
          <w:color w:val="000000"/>
        </w:rPr>
        <w:t>”</w:t>
      </w:r>
      <w:r>
        <w:rPr>
          <w:rFonts w:ascii="Arial;sans-serif" w:hAnsi="Arial;sans-serif"/>
          <w:b w:val="false"/>
          <w:color w:val="000000"/>
          <w:sz w:val="20"/>
        </w:rPr>
        <w:t xml:space="preserve">). Each Restricted Stock Unit represents the right to receive one share of Common Stock, subject to the terms and conditions set forth in this Agreement and the Plan. </w:t>
      </w:r>
    </w:p>
    <w:p>
      <w:pPr>
        <w:pStyle w:val="TextBody"/>
        <w:bidi w:val="0"/>
        <w:spacing w:lineRule="auto" w:line="240" w:before="0" w:after="120"/>
        <w:ind w:left="0" w:right="0" w:firstLine="720"/>
        <w:jc w:val="both"/>
        <w:rPr/>
      </w:pPr>
      <w:r>
        <w:rPr>
          <w:rFonts w:ascii="Arial;sans-serif" w:hAnsi="Arial;sans-serif"/>
          <w:b w:val="false"/>
          <w:color w:val="000000"/>
          <w:sz w:val="20"/>
        </w:rPr>
        <w:t>1.2</w:t>
      </w:r>
      <w:r>
        <w:rPr>
          <w:rFonts w:ascii="Arial;sans-serif" w:hAnsi="Arial;sans-serif"/>
          <w:b w:val="false"/>
          <w:color w:val="000000"/>
          <w:sz w:val="20"/>
        </w:rPr>
        <w:t>The Restricted Stock Units shall be credited to a separate account maintained for the Director on the books and records of the Company. All amounts credited to such account shall continue for all purposes to be part of the general assets of the Company.</w:t>
      </w:r>
    </w:p>
    <w:p>
      <w:pPr>
        <w:pStyle w:val="TextBody"/>
        <w:bidi w:val="0"/>
        <w:spacing w:lineRule="auto" w:line="240" w:before="0" w:after="120"/>
        <w:jc w:val="both"/>
        <w:rPr/>
      </w:pPr>
      <w:r>
        <w:rPr>
          <w:rFonts w:ascii="Arial;sans-serif" w:hAnsi="Arial;sans-serif"/>
          <w:b w:val="false"/>
          <w:color w:val="000000"/>
          <w:sz w:val="20"/>
        </w:rPr>
        <w:t>2.</w:t>
      </w:r>
      <w:r>
        <w:rPr>
          <w:rFonts w:ascii="Arial;sans-serif" w:hAnsi="Arial;sans-serif"/>
          <w:b w:val="false"/>
          <w:color w:val="000000"/>
          <w:sz w:val="20"/>
          <w:u w:val="single"/>
        </w:rPr>
        <w:t>Vesting</w:t>
      </w:r>
      <w:r>
        <w:rPr>
          <w:rFonts w:ascii="Arial;sans-serif" w:hAnsi="Arial;sans-serif"/>
          <w:b w:val="false"/>
          <w:color w:val="000000"/>
          <w:sz w:val="20"/>
        </w:rPr>
        <w:t>.</w:t>
      </w:r>
    </w:p>
    <w:p>
      <w:pPr>
        <w:pStyle w:val="TextBody"/>
        <w:bidi w:val="0"/>
        <w:spacing w:lineRule="auto" w:line="240" w:before="0" w:after="120"/>
        <w:ind w:left="0" w:right="0" w:firstLine="720"/>
        <w:jc w:val="both"/>
        <w:rPr/>
      </w:pPr>
      <w:r>
        <w:rPr>
          <w:rFonts w:ascii="Arial;sans-serif" w:hAnsi="Arial;sans-serif"/>
          <w:b w:val="false"/>
          <w:color w:val="000000"/>
          <w:sz w:val="20"/>
        </w:rPr>
        <w:t>2.1</w:t>
      </w:r>
      <w:r>
        <w:rPr>
          <w:rFonts w:ascii="Arial;sans-serif" w:hAnsi="Arial;sans-serif"/>
          <w:b w:val="false"/>
          <w:color w:val="000000"/>
          <w:sz w:val="20"/>
        </w:rPr>
        <w:t>Except as otherwise provided herein, provided that the Director continues to serve on the Board through the applicable vesting date, the Restricted Stock Units will vest in accordance with the following schedule (the period during which restrictions apply, the “</w:t>
      </w:r>
      <w:r>
        <w:rPr>
          <w:rFonts w:ascii="Arial;sans-serif" w:hAnsi="Arial;sans-serif"/>
          <w:b/>
          <w:color w:val="000000"/>
          <w:sz w:val="20"/>
        </w:rPr>
        <w:t>Restricted Period</w:t>
      </w:r>
      <w:r>
        <w:rPr>
          <w:color w:val="000000"/>
        </w:rPr>
        <w:t>”</w:t>
      </w:r>
      <w:r>
        <w:rPr>
          <w:rFonts w:ascii="Arial;sans-serif" w:hAnsi="Arial;sans-serif"/>
          <w:b w:val="false"/>
          <w:color w:val="000000"/>
          <w:sz w:val="20"/>
        </w:rPr>
        <w:t xml:space="preserve">): </w:t>
      </w:r>
    </w:p>
    <w:tbl>
      <w:tblPr>
        <w:tblW w:w="5324" w:type="dxa"/>
        <w:jc w:val="left"/>
        <w:tblInd w:w="0" w:type="dxa"/>
        <w:tblLayout w:type="fixed"/>
        <w:tblCellMar>
          <w:top w:w="28" w:type="dxa"/>
          <w:left w:w="28" w:type="dxa"/>
          <w:bottom w:w="28" w:type="dxa"/>
          <w:right w:w="28" w:type="dxa"/>
        </w:tblCellMar>
      </w:tblPr>
      <w:tblGrid>
        <w:gridCol w:w="467"/>
        <w:gridCol w:w="411"/>
        <w:gridCol w:w="412"/>
        <w:gridCol w:w="1179"/>
        <w:gridCol w:w="1179"/>
        <w:gridCol w:w="167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120" w:after="283"/>
              <w:jc w:val="left"/>
              <w:rPr>
                <w:rFonts w:ascii="Arial;sans-serif" w:hAnsi="Arial;sans-serif"/>
                <w:b/>
                <w:color w:val="000000"/>
                <w:sz w:val="20"/>
              </w:rPr>
            </w:pPr>
            <w:r>
              <w:rPr>
                <w:rFonts w:ascii="Arial;sans-serif" w:hAnsi="Arial;sans-serif"/>
                <w:b/>
                <w:color w:val="000000"/>
                <w:sz w:val="20"/>
              </w:rPr>
              <w:t>Vesting Date</w:t>
            </w:r>
          </w:p>
        </w:tc>
        <w:tc>
          <w:tcPr>
            <w:tcW w:w="4034" w:type="dxa"/>
            <w:gridSpan w:val="3"/>
            <w:tcBorders>
              <w:top w:val="single" w:sz="8" w:space="0" w:color="000000"/>
              <w:left w:val="single" w:sz="8" w:space="0" w:color="000000"/>
              <w:right w:val="single" w:sz="8" w:space="0" w:color="000000"/>
            </w:tcBorders>
            <w:tcMar>
              <w:top w:w="30" w:type="dxa"/>
              <w:left w:w="75" w:type="dxa"/>
              <w:bottom w:w="0" w:type="dxa"/>
            </w:tcMar>
            <w:vAlign w:val="center"/>
          </w:tcPr>
          <w:p>
            <w:pPr>
              <w:pStyle w:val="TableContents"/>
              <w:bidi w:val="0"/>
              <w:spacing w:lineRule="auto" w:line="240" w:before="120" w:after="283"/>
              <w:jc w:val="left"/>
              <w:rPr>
                <w:rFonts w:ascii="Arial;sans-serif" w:hAnsi="Arial;sans-serif"/>
                <w:b/>
                <w:color w:val="000000"/>
                <w:sz w:val="20"/>
              </w:rPr>
            </w:pPr>
            <w:r>
              <w:rPr>
                <w:rFonts w:ascii="Arial;sans-serif" w:hAnsi="Arial;sans-serif"/>
                <w:b/>
                <w:color w:val="000000"/>
                <w:sz w:val="20"/>
              </w:rPr>
              <w:t># or % of Restricted Stock Units That Vest</w:t>
            </w:r>
          </w:p>
        </w:tc>
      </w:tr>
      <w:tr>
        <w:trPr/>
        <w:tc>
          <w:tcPr>
            <w:tcW w:w="1290"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[_____]</w:t>
            </w:r>
          </w:p>
        </w:tc>
        <w:tc>
          <w:tcPr>
            <w:tcW w:w="4034" w:type="dxa"/>
            <w:gridSpan w:val="3"/>
            <w:tcBorders>
              <w:top w:val="single" w:sz="8" w:space="0" w:color="000000"/>
              <w:left w:val="single" w:sz="8" w:space="0" w:color="000000"/>
              <w:bottom w:val="single" w:sz="8" w:space="0" w:color="000000"/>
              <w:right w:val="single" w:sz="8" w:space="0" w:color="000000"/>
            </w:tcBorders>
            <w:tcMar>
              <w:top w:w="30" w:type="dxa"/>
              <w:left w:w="75" w:type="dxa"/>
              <w:bottom w:w="3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[___]%</w:t>
            </w:r>
          </w:p>
        </w:tc>
      </w:tr>
    </w:tbl>
    <w:p>
      <w:pPr>
        <w:pStyle w:val="TextBody"/>
        <w:bidi w:val="0"/>
        <w:spacing w:lineRule="auto" w:line="288" w:before="120" w:after="120"/>
        <w:ind w:left="0" w:right="0" w:firstLine="1008"/>
        <w:jc w:val="left"/>
        <w:rPr/>
      </w:pPr>
      <w:r>
        <w:rPr>
          <w:rFonts w:ascii="Arial;sans-serif" w:hAnsi="Arial;sans-serif"/>
          <w:b w:val="false"/>
          <w:color w:val="000000"/>
          <w:sz w:val="20"/>
        </w:rPr>
        <w:t>Once vested, the Restricted Stock Units become “</w:t>
      </w:r>
      <w:r>
        <w:rPr>
          <w:rFonts w:ascii="Arial;sans-serif" w:hAnsi="Arial;sans-serif"/>
          <w:b/>
          <w:color w:val="000000"/>
          <w:sz w:val="20"/>
        </w:rPr>
        <w:t>Vested Units.</w:t>
      </w:r>
      <w:r>
        <w:rPr>
          <w:color w:val="000000"/>
        </w:rPr>
        <w:t>”</w:t>
      </w:r>
    </w:p>
    <w:p>
      <w:pPr>
        <w:pStyle w:val="TextBody"/>
        <w:bidi w:val="0"/>
        <w:spacing w:lineRule="auto" w:line="240" w:before="0" w:after="120"/>
        <w:ind w:left="0" w:right="0" w:firstLine="720"/>
        <w:jc w:val="both"/>
        <w:rPr/>
      </w:pPr>
      <w:r>
        <w:rPr>
          <w:rFonts w:ascii="Arial;sans-serif" w:hAnsi="Arial;sans-serif"/>
          <w:b w:val="false"/>
          <w:color w:val="000000"/>
          <w:sz w:val="20"/>
        </w:rPr>
        <w:t>2.2</w:t>
      </w:r>
      <w:r>
        <w:rPr>
          <w:rFonts w:ascii="Arial;sans-serif" w:hAnsi="Arial;sans-serif"/>
          <w:b w:val="false"/>
          <w:color w:val="000000"/>
          <w:sz w:val="20"/>
        </w:rPr>
        <w:t>If the Director ceases to be an Eligible Participant for any reason at any time before all of the Director’s Restricted Stock Units have vested, the Director’s unvested Restricted Stock Units shall be automatically forfeited upon such cessation of being an Eligible Participant, and the Company shall have no further obligations to the Director under this Agreement.</w:t>
      </w:r>
    </w:p>
    <w:p>
      <w:pPr>
        <w:pStyle w:val="TextBody"/>
        <w:bidi w:val="0"/>
        <w:spacing w:lineRule="auto" w:line="240" w:before="0" w:after="120"/>
        <w:jc w:val="both"/>
        <w:rPr/>
      </w:pPr>
      <w:r>
        <w:rPr>
          <w:rFonts w:ascii="Arial;sans-serif" w:hAnsi="Arial;sans-serif"/>
          <w:b w:val="false"/>
          <w:color w:val="000000"/>
          <w:sz w:val="20"/>
        </w:rPr>
        <w:t>3.</w:t>
      </w:r>
      <w:r>
        <w:rPr>
          <w:rFonts w:ascii="Arial;sans-serif" w:hAnsi="Arial;sans-serif"/>
          <w:b w:val="false"/>
          <w:color w:val="000000"/>
          <w:sz w:val="20"/>
          <w:u w:val="single"/>
          <w:shd w:fill="FFFFFF" w:val="clear"/>
        </w:rPr>
        <w:t>Restrictions</w:t>
      </w:r>
      <w:r>
        <w:rPr>
          <w:rFonts w:ascii="Arial;sans-serif" w:hAnsi="Arial;sans-serif"/>
          <w:b w:val="false"/>
          <w:color w:val="000000"/>
          <w:sz w:val="20"/>
        </w:rPr>
        <w:t>. Subject to any exceptions set forth in this Agreement or the Plan, during the Restricted Period and until such time as the Restricted Stock Units are settled in accordance with Section 5, neither the Restricted Stock Units nor the rights relating thereto may be assigned, alienated, pledged, attached, sold or otherwise transferred or encumbered by the Director. Any attempt to assign, alienate, pledge, attach, sell or otherwise transfer or encumber the Restricted Stock Units or the rights relating thereto shall be wholly ineffective and, if any such attempt is made, the Restricted Stock Units will be forfeited by the Director and all of the Director’s rights to the Restricted Stock Units shall immediately terminate without any payment or consideration by the Company.</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u w:val="single"/>
          <w:shd w:fill="FFFFFF" w:val="clear"/>
        </w:rPr>
        <w:t>Rights as Stockholder</w:t>
      </w:r>
      <w:r>
        <w:rPr>
          <w:rFonts w:ascii="Arial;sans-serif" w:hAnsi="Arial;sans-serif"/>
          <w:b w:val="false"/>
          <w:color w:val="000000"/>
          <w:sz w:val="20"/>
        </w:rPr>
        <w:t>.</w:t>
      </w:r>
    </w:p>
    <w:p>
      <w:pPr>
        <w:pStyle w:val="TextBody"/>
        <w:bidi w:val="0"/>
        <w:spacing w:lineRule="auto" w:line="240" w:before="0" w:after="120"/>
        <w:ind w:left="0" w:right="0" w:firstLine="720"/>
        <w:jc w:val="both"/>
        <w:rPr/>
      </w:pPr>
      <w:r>
        <w:rPr>
          <w:rFonts w:ascii="Arial;sans-serif" w:hAnsi="Arial;sans-serif"/>
          <w:b w:val="false"/>
          <w:color w:val="000000"/>
          <w:sz w:val="20"/>
        </w:rPr>
        <w:t>4.1</w:t>
      </w:r>
      <w:r>
        <w:rPr>
          <w:rFonts w:ascii="Arial;sans-serif" w:hAnsi="Arial;sans-serif"/>
          <w:b w:val="false"/>
          <w:color w:val="000000"/>
          <w:sz w:val="20"/>
        </w:rPr>
        <w:t xml:space="preserve">The Director shall not have any rights of a stockholder with respect to the shares of Common Stock underlying the Restricted Stock Units unless and until the Restricted Stock Units vest and are settled by the issuance of such shares of Common Stock. </w:t>
      </w:r>
    </w:p>
    <w:p>
      <w:pPr>
        <w:pStyle w:val="TextBody"/>
        <w:bidi w:val="0"/>
        <w:spacing w:lineRule="auto" w:line="240" w:before="0" w:after="120"/>
        <w:ind w:left="0" w:right="0" w:firstLine="720"/>
        <w:jc w:val="both"/>
        <w:rPr/>
      </w:pPr>
      <w:r>
        <w:rPr>
          <w:rFonts w:ascii="Arial;sans-serif" w:hAnsi="Arial;sans-serif"/>
          <w:b w:val="false"/>
          <w:color w:val="000000"/>
          <w:sz w:val="20"/>
        </w:rPr>
        <w:t>4.2</w:t>
      </w:r>
      <w:r>
        <w:rPr>
          <w:rFonts w:ascii="Arial;sans-serif" w:hAnsi="Arial;sans-serif"/>
          <w:b w:val="false"/>
          <w:color w:val="000000"/>
          <w:sz w:val="20"/>
        </w:rPr>
        <w:t xml:space="preserve">Upon and following the settlement of the Restricted Stock Units, the Director shall be the record owner of the shares of Common Stock underlying the Restricted Stock Units unless and until such shares are sold or otherwise disposed of, and as record owner shall be entitled to all rights of a stockholder of the Company (including voting rights). </w:t>
      </w:r>
    </w:p>
    <w:p>
      <w:pPr>
        <w:pStyle w:val="TextBody"/>
        <w:bidi w:val="0"/>
        <w:spacing w:lineRule="auto" w:line="240" w:before="0" w:after="120"/>
        <w:jc w:val="both"/>
        <w:rPr/>
      </w:pPr>
      <w:r>
        <w:rPr>
          <w:rFonts w:ascii="Arial;sans-serif" w:hAnsi="Arial;sans-serif"/>
          <w:b w:val="false"/>
          <w:color w:val="000000"/>
          <w:sz w:val="20"/>
        </w:rPr>
        <w:t>5.</w:t>
      </w:r>
      <w:r>
        <w:rPr>
          <w:rFonts w:ascii="Arial;sans-serif" w:hAnsi="Arial;sans-serif"/>
          <w:b w:val="false"/>
          <w:color w:val="000000"/>
          <w:sz w:val="20"/>
          <w:u w:val="single"/>
          <w:shd w:fill="FFFFFF" w:val="clear"/>
        </w:rPr>
        <w:t>Settlement of Restricted Stock Units</w:t>
      </w:r>
      <w:r>
        <w:rPr>
          <w:rFonts w:ascii="Arial;sans-serif" w:hAnsi="Arial;sans-serif"/>
          <w:b w:val="false"/>
          <w:color w:val="000000"/>
          <w:sz w:val="20"/>
        </w:rPr>
        <w:t>. [____].</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12825"/>
                <wp:effectExtent l="0" t="0" r="0" b="0"/>
                <wp:wrapNone/>
                <wp:docPr id="61" name="Frame6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Arial;sans-serif" w:hAnsi="Arial;sans-serif"/>
          <w:b w:val="false"/>
          <w:color w:val="000000"/>
          <w:sz w:val="20"/>
        </w:rPr>
        <w:t>6.</w:t>
      </w:r>
      <w:r>
        <w:rPr>
          <w:rFonts w:ascii="Arial;sans-serif" w:hAnsi="Arial;sans-serif"/>
          <w:b w:val="false"/>
          <w:color w:val="000000"/>
          <w:sz w:val="20"/>
          <w:u w:val="single"/>
          <w:shd w:fill="FFFFFF" w:val="clear"/>
        </w:rPr>
        <w:t>No Right to Continued Service on the Board</w:t>
      </w:r>
      <w:r>
        <w:rPr>
          <w:rFonts w:ascii="Arial;sans-serif" w:hAnsi="Arial;sans-serif"/>
          <w:b w:val="false"/>
          <w:color w:val="000000"/>
          <w:sz w:val="20"/>
        </w:rPr>
        <w:t xml:space="preserve">. Neither the Plan nor this Agreement shall confer upon the Director any right to be retained as a director of the Company or in any other capacity. </w:t>
      </w:r>
    </w:p>
    <w:p>
      <w:pPr>
        <w:pStyle w:val="TextBody"/>
        <w:bidi w:val="0"/>
        <w:spacing w:lineRule="auto" w:line="240" w:before="0" w:after="120"/>
        <w:jc w:val="both"/>
        <w:rPr/>
      </w:pPr>
      <w:r>
        <w:rPr>
          <w:rFonts w:ascii="Arial;sans-serif" w:hAnsi="Arial;sans-serif"/>
          <w:b w:val="false"/>
          <w:color w:val="000000"/>
          <w:sz w:val="20"/>
        </w:rPr>
        <w:t>7.</w:t>
      </w:r>
      <w:r>
        <w:rPr>
          <w:rFonts w:ascii="Arial;sans-serif" w:hAnsi="Arial;sans-serif"/>
          <w:b w:val="false"/>
          <w:color w:val="000000"/>
          <w:sz w:val="20"/>
          <w:u w:val="single"/>
          <w:shd w:fill="FFFFFF" w:val="clear"/>
        </w:rPr>
        <w:t>Adjustments</w:t>
      </w:r>
      <w:r>
        <w:rPr>
          <w:rFonts w:ascii="Arial;sans-serif" w:hAnsi="Arial;sans-serif"/>
          <w:b w:val="false"/>
          <w:color w:val="000000"/>
          <w:sz w:val="20"/>
        </w:rPr>
        <w:t>. If any change is made to the outstanding Common Stock or the capital structure of the Company, if required, the Restricted Stock Units shall be adjusted or terminated in any manner as contemplated by Section 9 of the Plan.</w:t>
      </w:r>
    </w:p>
    <w:p>
      <w:pPr>
        <w:pStyle w:val="TextBody"/>
        <w:bidi w:val="0"/>
        <w:spacing w:lineRule="auto" w:line="240" w:before="0" w:after="120"/>
        <w:jc w:val="both"/>
        <w:rPr/>
      </w:pPr>
      <w:r>
        <w:rPr>
          <w:rFonts w:ascii="Arial;sans-serif" w:hAnsi="Arial;sans-serif"/>
          <w:b w:val="false"/>
          <w:color w:val="000000"/>
          <w:sz w:val="20"/>
        </w:rPr>
        <w:t>8.</w:t>
      </w:r>
      <w:r>
        <w:rPr>
          <w:rFonts w:ascii="Arial;sans-serif" w:hAnsi="Arial;sans-serif"/>
          <w:b w:val="false"/>
          <w:color w:val="000000"/>
          <w:sz w:val="20"/>
          <w:u w:val="single"/>
          <w:shd w:fill="FFFFFF" w:val="clear"/>
        </w:rPr>
        <w:t>Tax Liability</w:t>
      </w:r>
      <w:r>
        <w:rPr>
          <w:rFonts w:ascii="Arial;sans-serif" w:hAnsi="Arial;sans-serif"/>
          <w:b w:val="false"/>
          <w:color w:val="000000"/>
          <w:sz w:val="20"/>
        </w:rPr>
        <w:t>. Notwithstanding any action the Company takes with respect to any or all income tax, social insurance, payroll tax, or other tax-related withholding (“</w:t>
      </w:r>
      <w:r>
        <w:rPr>
          <w:rFonts w:ascii="Arial;sans-serif" w:hAnsi="Arial;sans-serif"/>
          <w:b/>
          <w:color w:val="000000"/>
          <w:sz w:val="20"/>
        </w:rPr>
        <w:t>Tax-Related Items</w:t>
      </w:r>
      <w:r>
        <w:rPr>
          <w:color w:val="000000"/>
        </w:rPr>
        <w:t>”</w:t>
      </w:r>
      <w:r>
        <w:rPr>
          <w:rFonts w:ascii="Arial;sans-serif" w:hAnsi="Arial;sans-serif"/>
          <w:b w:val="false"/>
          <w:color w:val="000000"/>
          <w:sz w:val="20"/>
        </w:rPr>
        <w:t>), the ultimate liability for all Tax-Related Items is and remains the Director’s responsibility and the Company (a) makes no representation or undertakings regarding the treatment of any Tax-Related Items in connection with the grant, vesting or settlement of the Restricted Stock Units or the subsequent sale of any shares of Common Stock underlying the Restricted Stock Units; and (b) does not commit to structure the Restricted Stock Units to reduce or eliminate the Director’s liability for Tax-Related Items.</w:t>
      </w:r>
    </w:p>
    <w:p>
      <w:pPr>
        <w:pStyle w:val="TextBody"/>
        <w:bidi w:val="0"/>
        <w:spacing w:lineRule="auto" w:line="240" w:before="0" w:after="120"/>
        <w:jc w:val="both"/>
        <w:rPr/>
      </w:pPr>
      <w:r>
        <w:rPr>
          <w:rFonts w:ascii="Arial;sans-serif" w:hAnsi="Arial;sans-serif"/>
          <w:b w:val="false"/>
          <w:color w:val="000000"/>
          <w:sz w:val="20"/>
        </w:rPr>
        <w:t>9.</w:t>
      </w:r>
      <w:r>
        <w:rPr>
          <w:rFonts w:ascii="Arial;sans-serif" w:hAnsi="Arial;sans-serif"/>
          <w:b w:val="false"/>
          <w:color w:val="000000"/>
          <w:sz w:val="20"/>
          <w:u w:val="single"/>
          <w:shd w:fill="FFFFFF" w:val="clear"/>
        </w:rPr>
        <w:t>Compliance with Law</w:t>
      </w:r>
      <w:r>
        <w:rPr>
          <w:rFonts w:ascii="Arial;sans-serif" w:hAnsi="Arial;sans-serif"/>
          <w:b w:val="false"/>
          <w:color w:val="000000"/>
          <w:sz w:val="20"/>
        </w:rPr>
        <w:t xml:space="preserve">. The issuance and transfer of shares of Common Stock underlying the Restricted Stock Units shall be subject to compliance by the Company and the Director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w:t>
      </w:r>
    </w:p>
    <w:p>
      <w:pPr>
        <w:pStyle w:val="TextBody"/>
        <w:bidi w:val="0"/>
        <w:spacing w:lineRule="auto" w:line="240" w:before="0" w:after="120"/>
        <w:jc w:val="both"/>
        <w:rPr/>
      </w:pPr>
      <w:r>
        <w:rPr>
          <w:rFonts w:ascii="Arial;sans-serif" w:hAnsi="Arial;sans-serif"/>
          <w:b w:val="false"/>
          <w:color w:val="000000"/>
          <w:sz w:val="20"/>
        </w:rPr>
        <w:t>10.</w:t>
      </w:r>
      <w:r>
        <w:rPr>
          <w:rFonts w:ascii="Arial;sans-serif" w:hAnsi="Arial;sans-serif"/>
          <w:b w:val="false"/>
          <w:color w:val="000000"/>
          <w:sz w:val="20"/>
          <w:u w:val="single"/>
          <w:shd w:fill="FFFFFF" w:val="clear"/>
        </w:rPr>
        <w:t>Notices</w:t>
      </w:r>
      <w:r>
        <w:rPr>
          <w:rFonts w:ascii="Arial;sans-serif" w:hAnsi="Arial;sans-serif"/>
          <w:b w:val="false"/>
          <w:color w:val="000000"/>
          <w:sz w:val="20"/>
        </w:rPr>
        <w:t xml:space="preserve">. Any notice required to be delivered to the Company under this Agreement shall be in writing and addressed to the Secretary of the Company at the Company’s principal corporate offices. Any notice required to be delivered to the Director under this Agreement shall be in writing and addressed to the Director at the Director’s address as shown in the records of the Company. Either party may designate another address in writing (or by such other method approved by the Company) from time to time. </w:t>
      </w:r>
    </w:p>
    <w:p>
      <w:pPr>
        <w:pStyle w:val="TextBody"/>
        <w:bidi w:val="0"/>
        <w:spacing w:lineRule="auto" w:line="240" w:before="0" w:after="120"/>
        <w:jc w:val="both"/>
        <w:rPr/>
      </w:pPr>
      <w:r>
        <w:rPr>
          <w:rFonts w:ascii="Arial;sans-serif" w:hAnsi="Arial;sans-serif"/>
          <w:b w:val="false"/>
          <w:color w:val="000000"/>
          <w:sz w:val="20"/>
        </w:rPr>
        <w:t>11.</w:t>
      </w:r>
      <w:r>
        <w:rPr>
          <w:rFonts w:ascii="Arial;sans-serif" w:hAnsi="Arial;sans-serif"/>
          <w:b w:val="false"/>
          <w:color w:val="000000"/>
          <w:sz w:val="20"/>
          <w:u w:val="single"/>
          <w:shd w:fill="FFFFFF" w:val="clear"/>
        </w:rPr>
        <w:t>Governing Law</w:t>
      </w:r>
      <w:r>
        <w:rPr>
          <w:rFonts w:ascii="Arial;sans-serif" w:hAnsi="Arial;sans-serif"/>
          <w:b w:val="false"/>
          <w:color w:val="000000"/>
          <w:sz w:val="20"/>
        </w:rPr>
        <w:t>. This Agreement will be construed and interpreted in accordance with the laws of the State of Delaware without regard to conflict of law principles.</w:t>
      </w:r>
    </w:p>
    <w:p>
      <w:pPr>
        <w:pStyle w:val="TextBody"/>
        <w:bidi w:val="0"/>
        <w:spacing w:lineRule="auto" w:line="240" w:before="0" w:after="120"/>
        <w:jc w:val="both"/>
        <w:rPr/>
      </w:pPr>
      <w:r>
        <w:rPr>
          <w:rFonts w:ascii="Arial;sans-serif" w:hAnsi="Arial;sans-serif"/>
          <w:b w:val="false"/>
          <w:color w:val="000000"/>
          <w:sz w:val="20"/>
        </w:rPr>
        <w:t>12.</w:t>
      </w:r>
      <w:r>
        <w:rPr>
          <w:rFonts w:ascii="Arial;sans-serif" w:hAnsi="Arial;sans-serif"/>
          <w:b w:val="false"/>
          <w:color w:val="000000"/>
          <w:sz w:val="20"/>
          <w:u w:val="single"/>
          <w:shd w:fill="FFFFFF" w:val="clear"/>
        </w:rPr>
        <w:t>Restricted Stock Units Subject to Plan</w:t>
      </w:r>
      <w:r>
        <w:rPr>
          <w:rFonts w:ascii="Arial;sans-serif" w:hAnsi="Arial;sans-serif"/>
          <w:b w:val="false"/>
          <w:color w:val="000000"/>
          <w:sz w:val="20"/>
        </w:rPr>
        <w:t>. This Agreement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40" w:before="0" w:after="120"/>
        <w:jc w:val="both"/>
        <w:rPr/>
      </w:pPr>
      <w:r>
        <w:rPr>
          <w:rFonts w:ascii="Arial;sans-serif" w:hAnsi="Arial;sans-serif"/>
          <w:b w:val="false"/>
          <w:color w:val="000000"/>
          <w:sz w:val="20"/>
        </w:rPr>
        <w:t>13.</w:t>
      </w:r>
      <w:r>
        <w:rPr>
          <w:rFonts w:ascii="Arial;sans-serif" w:hAnsi="Arial;sans-serif"/>
          <w:b w:val="false"/>
          <w:color w:val="000000"/>
          <w:sz w:val="20"/>
          <w:u w:val="single"/>
          <w:shd w:fill="FFFFFF" w:val="clear"/>
        </w:rPr>
        <w:t>Successors and Assigns</w:t>
      </w:r>
      <w:r>
        <w:rPr>
          <w:rFonts w:ascii="Arial;sans-serif" w:hAnsi="Arial;sans-serif"/>
          <w:b w:val="false"/>
          <w:color w:val="000000"/>
          <w:sz w:val="20"/>
        </w:rPr>
        <w:t>. The Company may assign any of its rights under this Agreement. This Agreement will be binding upon and inure to the benefit of the successors and assigns of the Company. Subject to the restrictions on transfer set forth herein, this Agreement will be binding upon the Director and the Director’s beneficiaries, executors, administrators and the person(s) to whom the Restricted Stock Units may be transferred by will or the laws of descent or distribution.</w:t>
      </w:r>
    </w:p>
    <w:p>
      <w:pPr>
        <w:pStyle w:val="TextBody"/>
        <w:bidi w:val="0"/>
        <w:spacing w:lineRule="auto" w:line="240" w:before="0" w:after="120"/>
        <w:jc w:val="both"/>
        <w:rPr/>
      </w:pPr>
      <w:r>
        <w:rPr>
          <w:rFonts w:ascii="Arial;sans-serif" w:hAnsi="Arial;sans-serif"/>
          <w:b w:val="false"/>
          <w:color w:val="000000"/>
          <w:sz w:val="20"/>
        </w:rPr>
        <w:t>14.</w:t>
      </w:r>
      <w:r>
        <w:rPr>
          <w:rFonts w:ascii="Arial;sans-serif" w:hAnsi="Arial;sans-serif"/>
          <w:b w:val="false"/>
          <w:color w:val="000000"/>
          <w:sz w:val="20"/>
          <w:u w:val="single"/>
          <w:shd w:fill="FFFFFF" w:val="clear"/>
        </w:rPr>
        <w:t>Severability</w:t>
      </w:r>
      <w:r>
        <w:rPr>
          <w:rFonts w:ascii="Arial;sans-serif" w:hAnsi="Arial;sans-serif"/>
          <w:b w:val="false"/>
          <w:color w:val="000000"/>
          <w:sz w:val="20"/>
        </w:rPr>
        <w:t>. The invalidity or unenforceability of any provision of this Agreement shall not affect the validity or enforceability of any other provision of this Agreement, and each provision of this Agreement shall be severable and enforceable to the extent permitted by law.</w:t>
      </w:r>
    </w:p>
    <w:p>
      <w:pPr>
        <w:pStyle w:val="TextBody"/>
        <w:bidi w:val="0"/>
        <w:spacing w:lineRule="auto" w:line="240" w:before="0" w:after="120"/>
        <w:jc w:val="both"/>
        <w:rPr/>
      </w:pPr>
      <w:r>
        <w:rPr>
          <w:rFonts w:ascii="Arial;sans-serif" w:hAnsi="Arial;sans-serif"/>
          <w:b w:val="false"/>
          <w:color w:val="000000"/>
          <w:sz w:val="20"/>
        </w:rPr>
        <w:t>15.</w:t>
      </w:r>
      <w:r>
        <w:rPr>
          <w:rFonts w:ascii="Arial;sans-serif" w:hAnsi="Arial;sans-serif"/>
          <w:b w:val="false"/>
          <w:color w:val="000000"/>
          <w:sz w:val="20"/>
          <w:u w:val="single"/>
          <w:shd w:fill="FFFFFF" w:val="clear"/>
        </w:rPr>
        <w:t>Discretionary Nature of Plan</w:t>
      </w:r>
      <w:r>
        <w:rPr>
          <w:rFonts w:ascii="Arial;sans-serif" w:hAnsi="Arial;sans-serif"/>
          <w:b w:val="false"/>
          <w:color w:val="000000"/>
          <w:sz w:val="20"/>
        </w:rPr>
        <w:t xml:space="preserve">. The Plan is discretionary and may be amended, cancelled or terminated by the Company at any time, in its discretion. The grant of the Restricted Stock Units under this Agreement does not create any contractual right or other right to receive any Restricted Stock Units or other Awards in the future. Future Awards, if any, will be at the sole discretion of the Company. </w:t>
      </w:r>
    </w:p>
    <w:p>
      <w:pPr>
        <w:pStyle w:val="TextBody"/>
        <w:bidi w:val="0"/>
        <w:spacing w:lineRule="auto" w:line="240" w:before="0" w:after="120"/>
        <w:jc w:val="both"/>
        <w:rPr/>
      </w:pPr>
      <w:r>
        <w:rPr>
          <w:rFonts w:ascii="Arial;sans-serif" w:hAnsi="Arial;sans-serif"/>
          <w:b w:val="false"/>
          <w:color w:val="000000"/>
          <w:sz w:val="20"/>
        </w:rPr>
        <w:t>16.</w:t>
      </w:r>
      <w:r>
        <w:rPr>
          <w:rFonts w:ascii="Arial;sans-serif" w:hAnsi="Arial;sans-serif"/>
          <w:b w:val="false"/>
          <w:color w:val="000000"/>
          <w:sz w:val="20"/>
          <w:u w:val="single"/>
          <w:shd w:fill="FFFFFF" w:val="clear"/>
        </w:rPr>
        <w:t>Amendment</w:t>
      </w:r>
      <w:r>
        <w:rPr>
          <w:rFonts w:ascii="Arial;sans-serif" w:hAnsi="Arial;sans-serif"/>
          <w:b w:val="false"/>
          <w:color w:val="000000"/>
          <w:sz w:val="20"/>
        </w:rPr>
        <w:t xml:space="preserve">. The Committee has the right to amend, alter, suspend, discontinue or cancel the Restricted Stock Units, prospectively or retroactively; </w:t>
      </w:r>
      <w:r>
        <w:rPr>
          <w:rFonts w:ascii="Arial;sans-serif" w:hAnsi="Arial;sans-serif"/>
          <w:b w:val="false"/>
          <w:i/>
          <w:color w:val="000000"/>
          <w:sz w:val="20"/>
        </w:rPr>
        <w:t>provided that</w:t>
      </w:r>
      <w:r>
        <w:rPr>
          <w:color w:val="000000"/>
        </w:rPr>
        <w:t xml:space="preserve"> </w:t>
      </w:r>
      <w:r>
        <w:rPr>
          <w:rFonts w:ascii="Arial;sans-serif" w:hAnsi="Arial;sans-serif"/>
          <w:b w:val="false"/>
          <w:color w:val="000000"/>
          <w:sz w:val="20"/>
        </w:rPr>
        <w:t xml:space="preserve">no such amendment shall adversely affect the Director’s material rights under this Agreement without the Director’s consent. </w:t>
      </w:r>
    </w:p>
    <w:p>
      <w:pPr>
        <w:pStyle w:val="TextBody"/>
        <w:bidi w:val="0"/>
        <w:spacing w:lineRule="auto" w:line="240" w:before="0" w:after="120"/>
        <w:jc w:val="both"/>
        <w:rPr/>
      </w:pPr>
      <w:r>
        <w:rPr>
          <w:rFonts w:ascii="Arial;sans-serif" w:hAnsi="Arial;sans-serif"/>
          <w:b w:val="false"/>
          <w:color w:val="000000"/>
          <w:sz w:val="20"/>
        </w:rPr>
        <w:t>17.</w:t>
      </w:r>
      <w:r>
        <w:rPr>
          <w:rFonts w:ascii="Arial;sans-serif" w:hAnsi="Arial;sans-serif"/>
          <w:b w:val="false"/>
          <w:color w:val="000000"/>
          <w:sz w:val="20"/>
          <w:u w:val="single"/>
          <w:shd w:fill="FFFFFF" w:val="clear"/>
        </w:rPr>
        <w:t>Section 409A</w:t>
      </w:r>
      <w:r>
        <w:rPr>
          <w:rFonts w:ascii="Arial;sans-serif" w:hAnsi="Arial;sans-serif"/>
          <w:b w:val="false"/>
          <w:color w:val="000000"/>
          <w:sz w:val="20"/>
        </w:rPr>
        <w:t xml:space="preserve">.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Director on account of non-compliance with Section 409A of the Code. </w:t>
      </w:r>
    </w:p>
    <w:p>
      <w:pPr>
        <w:pStyle w:val="TextBody"/>
        <w:bidi w:val="0"/>
        <w:spacing w:lineRule="auto" w:line="240" w:before="0" w:after="120"/>
        <w:jc w:val="both"/>
        <w:rPr/>
      </w:pPr>
      <w:r>
        <w:rPr>
          <w:rFonts w:ascii="Arial;sans-serif" w:hAnsi="Arial;sans-serif"/>
          <w:b w:val="false"/>
          <w:color w:val="000000"/>
          <w:sz w:val="20"/>
        </w:rPr>
        <w:t>18.</w:t>
      </w:r>
      <w:r>
        <w:rPr>
          <w:rFonts w:ascii="Arial;sans-serif" w:hAnsi="Arial;sans-serif"/>
          <w:b w:val="false"/>
          <w:color w:val="000000"/>
          <w:sz w:val="20"/>
          <w:u w:val="single"/>
          <w:shd w:fill="FFFFFF" w:val="clear"/>
        </w:rPr>
        <w:t>Counterparts</w:t>
      </w:r>
      <w:r>
        <w:rPr>
          <w:rFonts w:ascii="Arial;sans-serif" w:hAnsi="Arial;sans-serif"/>
          <w:b w:val="false"/>
          <w:color w:val="000000"/>
          <w:sz w:val="20"/>
        </w:rPr>
        <w:t>. This Agreement may be executed in counterparts, each of which shall be deemed an original but all of which together will constitute one and the same instrument. Counterpart signature pages to this Agreement transmitted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012825"/>
                <wp:effectExtent l="0" t="0" r="0" b="0"/>
                <wp:wrapNone/>
                <wp:docPr id="62" name="Frame6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Arial;sans-serif" w:hAnsi="Arial;sans-serif"/>
          <w:b w:val="false"/>
          <w:color w:val="000000"/>
          <w:sz w:val="20"/>
        </w:rPr>
        <w:t>19.</w:t>
      </w:r>
      <w:r>
        <w:rPr>
          <w:rFonts w:ascii="Arial;sans-serif" w:hAnsi="Arial;sans-serif"/>
          <w:b w:val="false"/>
          <w:color w:val="000000"/>
          <w:sz w:val="20"/>
          <w:u w:val="single"/>
          <w:shd w:fill="FFFFFF" w:val="clear"/>
        </w:rPr>
        <w:t>Acceptance</w:t>
      </w:r>
      <w:r>
        <w:rPr>
          <w:rFonts w:ascii="Arial;sans-serif" w:hAnsi="Arial;sans-serif"/>
          <w:b w:val="false"/>
          <w:color w:val="000000"/>
          <w:sz w:val="20"/>
        </w:rPr>
        <w:t>. The Director hereby acknowledges receipt of a copy of the Plan and this Agreement. The Director has read and understands the terms and provisions thereof, and accepts the Restricted Stock Units subject to all of the terms and conditions of the Plan and this Agreement. The Director acknowledges that there may be adverse tax consequences upon the grant, vesting or settlement of the Restricted Stock Units or disposition of the underlying shares and that the Director has been advised to consult a tax advisor prior to such grant, vesting, settlement or disposition.</w:t>
      </w:r>
    </w:p>
    <w:p>
      <w:pPr>
        <w:pStyle w:val="TextBody"/>
        <w:bidi w:val="0"/>
        <w:spacing w:lineRule="auto" w:line="288"/>
        <w:jc w:val="center"/>
        <w:rPr>
          <w:rFonts w:ascii="Arial;sans-serif" w:hAnsi="Arial;sans-serif"/>
          <w:b w:val="false"/>
          <w:color w:val="000000"/>
          <w:sz w:val="20"/>
        </w:rPr>
      </w:pPr>
      <w:r>
        <w:rPr>
          <w:rFonts w:ascii="Arial;sans-serif" w:hAnsi="Arial;sans-serif"/>
          <w:b w:val="false"/>
          <w:color w:val="000000"/>
          <w:sz w:val="20"/>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012825"/>
                <wp:effectExtent l="0" t="0" r="0" b="0"/>
                <wp:wrapNone/>
                <wp:docPr id="63" name="Frame6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WITNESS WHEREOF, the parties hereto have executed this Agreement as of the Grant Date.</w:t>
      </w:r>
    </w:p>
    <w:tbl>
      <w:tblPr>
        <w:tblW w:w="2815"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385"/>
        <w:gridCol w:w="385"/>
        <w:gridCol w:w="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By:</w:t>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[DIRECTOR NAME]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10.3</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12825"/>
                <wp:effectExtent l="0" t="0" r="0" b="0"/>
                <wp:wrapNone/>
                <wp:docPr id="64" name="Frame6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429.75pt;mso-position-horizontal:left;mso-position-horizontal-relative:text">
                <v:textbox>
                  <w:txbxContent>
                    <w:tbl>
                      <w:tblPr>
                        <w:tblW w:w="3465"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342"/>
                        <w:gridCol w:w="342"/>
                        <w:gridCol w:w="48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SMRH:4912-2918-0854.4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62626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82FW-347223</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w:t>
      </w:r>
    </w:p>
    <w:p>
      <w:pPr>
        <w:pStyle w:val="TextBody"/>
        <w:bidi w:val="0"/>
        <w:spacing w:lineRule="auto" w:line="288" w:before="0" w:after="0"/>
        <w:jc w:val="center"/>
        <w:rPr/>
      </w:pPr>
      <w:r>
        <w:rPr>
          <w:rFonts w:ascii="Arial;sans-serif" w:hAnsi="Arial;sans-serif"/>
          <w:b/>
          <w:color w:val="000000"/>
          <w:sz w:val="20"/>
        </w:rPr>
        <w:t>AMENDED AND RESTATED NON-EMPLOYEE DIRECTOR COMPENSATION POLICY</w:t>
      </w:r>
      <w:r>
        <w:rPr>
          <w:rFonts w:ascii="Arial;sans-serif" w:hAnsi="Arial;sans-serif"/>
          <w:b/>
          <w:color w:val="000000"/>
          <w:sz w:val="13"/>
        </w:rPr>
        <w:t>1</w:t>
      </w:r>
    </w:p>
    <w:p>
      <w:pPr>
        <w:pStyle w:val="TextBody"/>
        <w:bidi w:val="0"/>
        <w:spacing w:before="0" w:after="0"/>
        <w:jc w:val="center"/>
        <w:rPr/>
      </w:pPr>
      <w:r>
        <w:rPr/>
      </w:r>
    </w:p>
    <w:p>
      <w:pPr>
        <w:pStyle w:val="TextBody"/>
        <w:bidi w:val="0"/>
        <w:spacing w:lineRule="auto" w:line="288" w:before="0" w:after="240"/>
        <w:ind w:left="0" w:right="0" w:firstLine="835"/>
        <w:jc w:val="left"/>
        <w:rPr/>
      </w:pPr>
      <w:r>
        <w:rPr>
          <w:rFonts w:ascii="Arial;sans-serif" w:hAnsi="Arial;sans-serif"/>
          <w:b w:val="false"/>
          <w:color w:val="000000"/>
          <w:sz w:val="20"/>
        </w:rPr>
        <w:t>The board of directors (the “</w:t>
      </w:r>
      <w:r>
        <w:rPr>
          <w:rFonts w:ascii="Arial;sans-serif" w:hAnsi="Arial;sans-serif"/>
          <w:b w:val="false"/>
          <w:color w:val="000000"/>
          <w:sz w:val="20"/>
          <w:u w:val="single"/>
        </w:rPr>
        <w:t>Board</w:t>
      </w:r>
      <w:r>
        <w:rPr>
          <w:color w:val="000000"/>
        </w:rPr>
        <w:t>”</w:t>
      </w:r>
      <w:r>
        <w:rPr>
          <w:rFonts w:ascii="Arial;sans-serif" w:hAnsi="Arial;sans-serif"/>
          <w:b w:val="false"/>
          <w:color w:val="000000"/>
          <w:sz w:val="20"/>
        </w:rPr>
        <w:t>) of Daré Bioscience,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has approved this amended and restated non-employee director compensation policy (this “</w:t>
      </w:r>
      <w:r>
        <w:rPr>
          <w:rFonts w:ascii="Arial;sans-serif" w:hAnsi="Arial;sans-serif"/>
          <w:b w:val="false"/>
          <w:color w:val="000000"/>
          <w:sz w:val="20"/>
          <w:u w:val="single"/>
        </w:rPr>
        <w:t>Policy</w:t>
      </w:r>
      <w:r>
        <w:rPr>
          <w:color w:val="000000"/>
        </w:rPr>
        <w:t>”</w:t>
      </w:r>
      <w:r>
        <w:rPr>
          <w:rFonts w:ascii="Arial;sans-serif" w:hAnsi="Arial;sans-serif"/>
          <w:b w:val="false"/>
          <w:color w:val="000000"/>
          <w:sz w:val="20"/>
        </w:rPr>
        <w:t>).  </w:t>
      </w:r>
    </w:p>
    <w:p>
      <w:pPr>
        <w:pStyle w:val="TextBody"/>
        <w:bidi w:val="0"/>
        <w:spacing w:lineRule="auto" w:line="288" w:before="0" w:after="240"/>
        <w:ind w:left="0" w:right="0" w:firstLine="835"/>
        <w:jc w:val="left"/>
        <w:rPr>
          <w:rFonts w:ascii="Arial;sans-serif" w:hAnsi="Arial;sans-serif"/>
          <w:b w:val="false"/>
          <w:i/>
          <w:color w:val="000000"/>
          <w:sz w:val="20"/>
        </w:rPr>
      </w:pPr>
      <w:r>
        <w:rPr>
          <w:rFonts w:ascii="Arial;sans-serif" w:hAnsi="Arial;sans-serif"/>
          <w:b w:val="false"/>
          <w:i/>
          <w:color w:val="000000"/>
          <w:sz w:val="20"/>
        </w:rPr>
        <w:t>Cash Compensation</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Under this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tbl>
      <w:tblPr>
        <w:tblW w:w="7557" w:type="dxa"/>
        <w:jc w:val="left"/>
        <w:tblInd w:w="0" w:type="dxa"/>
        <w:tblLayout w:type="fixed"/>
        <w:tblCellMar>
          <w:top w:w="28" w:type="dxa"/>
          <w:left w:w="28" w:type="dxa"/>
          <w:bottom w:w="28" w:type="dxa"/>
          <w:right w:w="28" w:type="dxa"/>
        </w:tblCellMar>
      </w:tblPr>
      <w:tblGrid>
        <w:gridCol w:w="1345"/>
        <w:gridCol w:w="1185"/>
        <w:gridCol w:w="1189"/>
        <w:gridCol w:w="109"/>
        <w:gridCol w:w="109"/>
        <w:gridCol w:w="109"/>
        <w:gridCol w:w="269"/>
        <w:gridCol w:w="269"/>
        <w:gridCol w:w="273"/>
        <w:gridCol w:w="109"/>
        <w:gridCol w:w="109"/>
        <w:gridCol w:w="109"/>
        <w:gridCol w:w="312"/>
        <w:gridCol w:w="312"/>
        <w:gridCol w:w="312"/>
        <w:gridCol w:w="375"/>
        <w:gridCol w:w="376"/>
        <w:gridCol w:w="314"/>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6"/>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20"/>
              </w:rPr>
            </w:pPr>
            <w:r>
              <w:rPr>
                <w:rFonts w:ascii="Arial;sans-serif" w:hAnsi="Arial;sans-serif"/>
                <w:b/>
                <w:color w:val="000000"/>
                <w:sz w:val="20"/>
              </w:rPr>
              <w:t>Annual Retainer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6" w:space="0" w:color="000000"/>
            </w:tcBorders>
            <w:shd w:fill="CCECFF" w:val="clear"/>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20"/>
              </w:rPr>
            </w:pPr>
            <w:r>
              <w:rPr>
                <w:rFonts w:ascii="Arial;sans-serif" w:hAnsi="Arial;sans-serif"/>
                <w:b w:val="false"/>
                <w:i/>
                <w:color w:val="000000"/>
                <w:sz w:val="20"/>
              </w:rPr>
              <w:t>Board of Directors</w:t>
            </w:r>
          </w:p>
        </w:tc>
        <w:tc>
          <w:tcPr>
            <w:tcW w:w="327" w:type="dxa"/>
            <w:gridSpan w:val="3"/>
            <w:tcBorders>
              <w:top w:val="sing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69,000 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Member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40,000 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20"/>
              </w:rPr>
            </w:pPr>
            <w:r>
              <w:rPr>
                <w:rFonts w:ascii="Arial;sans-serif" w:hAnsi="Arial;sans-serif"/>
                <w:b w:val="false"/>
                <w:i/>
                <w:color w:val="000000"/>
                <w:sz w:val="20"/>
              </w:rPr>
              <w:t>Committees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Audit</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15,000 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7,500 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Compensation</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10,000 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5,000 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Nominating and Corporate Governance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8,000 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4,000 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val="false"/>
                <w:color w:val="000000"/>
                <w:sz w:val="20"/>
              </w:rPr>
              <w:t>Clinical Advisory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C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Chair</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CFF" w:val="clear"/>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Member</w:t>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0"/>
              </w:rPr>
            </w:pPr>
            <w:r>
              <w:rPr>
                <w:rFonts w:ascii="Arial;sans-serif" w:hAnsi="Arial;sans-serif"/>
                <w:b w:val="false"/>
                <w:color w:val="000000"/>
                <w:sz w:val="20"/>
              </w:rPr>
              <w:t>- </w:t>
            </w:r>
          </w:p>
        </w:tc>
        <w:tc>
          <w:tcPr>
            <w:tcW w:w="314"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pStyle w:val="TextBody"/>
        <w:bidi w:val="0"/>
        <w:spacing w:lineRule="auto" w:line="288" w:before="0" w:after="240"/>
        <w:ind w:left="0" w:right="0" w:firstLine="835"/>
        <w:jc w:val="left"/>
        <w:rPr>
          <w:rFonts w:ascii="Arial;sans-serif" w:hAnsi="Arial;sans-serif"/>
          <w:b w:val="false"/>
          <w:color w:val="000000"/>
          <w:sz w:val="20"/>
        </w:rPr>
      </w:pPr>
      <w:r>
        <w:rPr>
          <w:rFonts w:ascii="Arial;sans-serif" w:hAnsi="Arial;sans-serif"/>
          <w:b w:val="false"/>
          <w:color w:val="000000"/>
          <w:sz w:val="20"/>
        </w:rPr>
        <w:t>Each non-employee director may elect to receive up to 100% of these retainers in the form of awards of unrestricted shares of the Company’s common stock, issued on the first trading day of the quarter following the quarter to which the retainer relates,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in any year in which a director is newly elected must be made on or before June 30th of such year or such other date as determined by the Board.</w:t>
      </w:r>
    </w:p>
    <w:p>
      <w:pPr>
        <w:pStyle w:val="TextBody"/>
        <w:bidi w:val="0"/>
        <w:spacing w:lineRule="auto" w:line="288" w:before="0" w:after="240"/>
        <w:ind w:left="0" w:right="0" w:firstLine="835"/>
        <w:jc w:val="left"/>
        <w:rPr>
          <w:rFonts w:ascii="Arial;sans-serif" w:hAnsi="Arial;sans-serif"/>
          <w:b w:val="false"/>
          <w:i/>
          <w:color w:val="000000"/>
          <w:sz w:val="20"/>
        </w:rPr>
      </w:pPr>
      <w:r>
        <w:rPr>
          <w:rFonts w:ascii="Arial;sans-serif" w:hAnsi="Arial;sans-serif"/>
          <w:b w:val="false"/>
          <w:i/>
          <w:color w:val="000000"/>
          <w:sz w:val="20"/>
        </w:rPr>
        <w:t>Equity Compensation</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amended through April 16, 2026.</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35"/>
        <w:jc w:val="left"/>
        <w:rPr/>
      </w:pPr>
      <w:r>
        <w:rPr>
          <w:rFonts w:ascii="Arial;sans-serif" w:hAnsi="Arial;sans-serif"/>
          <w:b w:val="false"/>
          <w:color w:val="000000"/>
          <w:sz w:val="20"/>
          <w:u w:val="single"/>
        </w:rPr>
        <w:t>Initial Grants</w:t>
      </w:r>
      <w:r>
        <w:rPr>
          <w:rFonts w:ascii="Arial;sans-serif" w:hAnsi="Arial;sans-serif"/>
          <w:b w:val="false"/>
          <w:color w:val="000000"/>
          <w:sz w:val="20"/>
        </w:rPr>
        <w:t>. Each director newly elected to the Board will receive an option to purchase 15,000 shares of the Company’s common stock (each, an “</w:t>
      </w:r>
      <w:r>
        <w:rPr>
          <w:rFonts w:ascii="Arial;sans-serif" w:hAnsi="Arial;sans-serif"/>
          <w:b w:val="false"/>
          <w:color w:val="000000"/>
          <w:sz w:val="20"/>
          <w:u w:val="single"/>
        </w:rPr>
        <w:t>Initial Grant</w:t>
      </w:r>
      <w:r>
        <w:rPr>
          <w:color w:val="000000"/>
        </w:rPr>
        <w:t>”</w:t>
      </w:r>
      <w:r>
        <w:rPr>
          <w:rFonts w:ascii="Arial;sans-serif" w:hAnsi="Arial;sans-serif"/>
          <w:b w:val="false"/>
          <w:color w:val="000000"/>
          <w:sz w:val="20"/>
        </w:rPr>
        <w:t xml:space="preserve">). Each Initial Grant will vest as to one-third of the shares of the Company’s common stock underlying such option on each anniversary of the grant date until the third anniversary of the grant date, subject to the director’s continued service as a director, and will become exercisable in full upon a Change in Control (as defined below).  </w:t>
      </w:r>
    </w:p>
    <w:p>
      <w:pPr>
        <w:pStyle w:val="TextBody"/>
        <w:bidi w:val="0"/>
        <w:spacing w:lineRule="auto" w:line="300" w:before="0" w:after="240"/>
        <w:ind w:left="0" w:right="0" w:firstLine="835"/>
        <w:jc w:val="left"/>
        <w:rPr/>
      </w:pPr>
      <w:r>
        <w:rPr>
          <w:rFonts w:ascii="Arial;sans-serif" w:hAnsi="Arial;sans-serif"/>
          <w:b w:val="false"/>
          <w:color w:val="000000"/>
          <w:sz w:val="20"/>
          <w:u w:val="single"/>
        </w:rPr>
        <w:t>Annual Grants</w:t>
      </w:r>
      <w:r>
        <w:rPr>
          <w:rFonts w:ascii="Arial;sans-serif" w:hAnsi="Arial;sans-serif"/>
          <w:b w:val="false"/>
          <w:color w:val="000000"/>
          <w:sz w:val="20"/>
        </w:rPr>
        <w:t>. On the date of each annual meeting of stockholders, each director who has served on the Board for at least six months will receive an option to purchase 10,000 shares of the Company’s common stock (each, an “</w:t>
      </w:r>
      <w:r>
        <w:rPr>
          <w:rFonts w:ascii="Arial;sans-serif" w:hAnsi="Arial;sans-serif"/>
          <w:b w:val="false"/>
          <w:color w:val="000000"/>
          <w:sz w:val="20"/>
          <w:u w:val="single"/>
        </w:rPr>
        <w:t>Annual</w:t>
      </w:r>
      <w:r>
        <w:rPr>
          <w:color w:val="000000"/>
        </w:rPr>
        <w:t xml:space="preserve"> </w:t>
      </w:r>
      <w:r>
        <w:rPr>
          <w:rFonts w:ascii="Arial;sans-serif" w:hAnsi="Arial;sans-serif"/>
          <w:b w:val="false"/>
          <w:color w:val="000000"/>
          <w:sz w:val="20"/>
          <w:u w:val="single"/>
        </w:rPr>
        <w:t>Grant</w:t>
      </w:r>
      <w:r>
        <w:rPr>
          <w:color w:val="000000"/>
        </w:rPr>
        <w:t>”</w:t>
      </w:r>
      <w:r>
        <w:rPr>
          <w:rFonts w:ascii="Arial;sans-serif" w:hAnsi="Arial;sans-serif"/>
          <w:b w:val="false"/>
          <w:color w:val="000000"/>
          <w:sz w:val="20"/>
        </w:rPr>
        <w:t>); provided, however, that if a director is up for election at such annual meeting of stockholders, such director will receive the Annual Grant only if such director is elected at such annual meeting. Each Annual Grant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w:t>
      </w:r>
    </w:p>
    <w:p>
      <w:pPr>
        <w:pStyle w:val="TextBody"/>
        <w:bidi w:val="0"/>
        <w:spacing w:lineRule="auto" w:line="288" w:before="0" w:after="240"/>
        <w:ind w:left="0" w:right="0" w:firstLine="835"/>
        <w:jc w:val="left"/>
        <w:rPr/>
      </w:pPr>
      <w:r>
        <w:rPr>
          <w:rFonts w:ascii="Arial;sans-serif" w:hAnsi="Arial;sans-serif"/>
          <w:b w:val="false"/>
          <w:color w:val="000000"/>
          <w:sz w:val="20"/>
          <w:u w:val="single"/>
        </w:rPr>
        <w:t>Exercise Price</w:t>
      </w:r>
      <w:r>
        <w:rPr>
          <w:rFonts w:ascii="Arial;sans-serif" w:hAnsi="Arial;sans-serif"/>
          <w:b w:val="false"/>
          <w:color w:val="000000"/>
          <w:sz w:val="20"/>
        </w:rPr>
        <w:t>. The exercise price of each option granted under this Policy will equal the fair market value of the Company’s common stock on the date of grant.</w:t>
      </w:r>
    </w:p>
    <w:p>
      <w:pPr>
        <w:pStyle w:val="TextBody"/>
        <w:bidi w:val="0"/>
        <w:spacing w:lineRule="auto" w:line="288" w:before="0" w:after="240"/>
        <w:ind w:left="0" w:right="0" w:firstLine="835"/>
        <w:jc w:val="left"/>
        <w:rPr/>
      </w:pPr>
      <w:r>
        <w:rPr>
          <w:rFonts w:ascii="Arial;sans-serif" w:hAnsi="Arial;sans-serif"/>
          <w:b w:val="false"/>
          <w:color w:val="000000"/>
          <w:sz w:val="20"/>
          <w:u w:val="single"/>
        </w:rPr>
        <w:t>Change in Control</w:t>
      </w:r>
      <w:r>
        <w:rPr>
          <w:rFonts w:ascii="Arial;sans-serif" w:hAnsi="Arial;sans-serif"/>
          <w:b w:val="false"/>
          <w:color w:val="000000"/>
          <w:sz w:val="20"/>
        </w:rPr>
        <w:t>. For purposes of this Policy, “</w:t>
      </w:r>
      <w:r>
        <w:rPr>
          <w:rFonts w:ascii="Arial;sans-serif" w:hAnsi="Arial;sans-serif"/>
          <w:b w:val="false"/>
          <w:color w:val="000000"/>
          <w:sz w:val="20"/>
          <w:u w:val="single"/>
        </w:rPr>
        <w:t>Change in Control</w:t>
      </w:r>
      <w:r>
        <w:rPr>
          <w:color w:val="000000"/>
        </w:rPr>
        <w:t xml:space="preserve">” </w:t>
      </w:r>
      <w:r>
        <w:rPr>
          <w:rFonts w:ascii="Arial;sans-serif" w:hAnsi="Arial;sans-serif"/>
          <w:b w:val="false"/>
          <w:color w:val="000000"/>
          <w:sz w:val="20"/>
        </w:rPr>
        <w:t>means the occurrence, in a single transaction or in a series of related transactions occurring after the date of grant of the applicable equity award, of any one or more of the following events: (1) any person or persons acting together becomes the owner, directly or indirectly, of securities of the Company representing more than fifty percent (50%) of the combined voting power of the Company’s then outstanding securities other than by virtue of (y) a transaction the primary purpose of which is to raise capital (including, without limitation, a recapitalization or a similar transaction) and/or (z) a merger, consolidation or similar transaction; (2)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 (3) there is consummated a sale, lease, exclusive license or other disposition of all or substantially all of the consolidated assets of the Company during any twelve month period, other than a sale, lease, license or other disposition of all or substantially all of the consolidated assets of the Company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Notwithstanding the above, to the extent that any interpretation of this definition would otherwise cause the option on or following a Change in Control to constitute deferred compensation that is subject to Section 409A of the Internal Revenue Code, and not otherwise exempt from complying with the provisions of the statute, then a Change in Control shall only be deemed to occur if the Change in Control also qualifies as a change in the ownership or effective control of a corporation, or a change in the ownership of a substantial portion of a corporation’s assets as defined in Treasury Regulation Section 1.409A-3(i)(5). No Change in Control will be deemed to occur because of a sale of assets, merger or other transaction effected exclusively for the purpose of changing the domicile of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70205"/>
                <wp:effectExtent l="0" t="0" r="0" b="0"/>
                <wp:wrapNone/>
                <wp:docPr id="66" name="Frame65"/>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10.4</w:t>
      </w:r>
    </w:p>
    <w:tbl>
      <w:tblPr>
        <w:tblW w:w="10205" w:type="dxa"/>
        <w:jc w:val="left"/>
        <w:tblInd w:w="0" w:type="dxa"/>
        <w:tblLayout w:type="fixed"/>
        <w:tblCellMar>
          <w:top w:w="28" w:type="dxa"/>
          <w:left w:w="28" w:type="dxa"/>
          <w:bottom w:w="28" w:type="dxa"/>
          <w:right w:w="28" w:type="dxa"/>
        </w:tblCellMar>
      </w:tblPr>
      <w:tblGrid>
        <w:gridCol w:w="3268"/>
        <w:gridCol w:w="2868"/>
        <w:gridCol w:w="4069"/>
      </w:tblGrid>
      <w:tr>
        <w:trPr/>
        <w:tc>
          <w:tcPr>
            <w:tcW w:w="32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CERTAIN INFORMATION HAS BEEN EXCLUDED FROM THIS EXHIBIT BECAUSE IT IS BOTH NOT MATERIAL AND IS THE TYPE THAT THE REGISTRANT TREATS AS PRIVATE OR CONFIDENTIAL. IN THIS EXHIBIT, “[***]” INDICATES WHERE SUCH INFORMATION HAS BEEN OMITTED.</w:t>
            </w:r>
          </w:p>
        </w:tc>
      </w:tr>
    </w:tbl>
    <w:p>
      <w:pPr>
        <w:pStyle w:val="TextBody"/>
        <w:bidi w:val="0"/>
        <w:spacing w:before="0" w:after="160"/>
        <w:jc w:val="center"/>
        <w:rPr/>
      </w:pPr>
      <w:r>
        <w:rPr/>
      </w:r>
    </w:p>
    <w:p>
      <w:pPr>
        <w:pStyle w:val="TextBody"/>
        <w:bidi w:val="0"/>
        <w:spacing w:lineRule="auto" w:line="300" w:before="0" w:after="160"/>
        <w:jc w:val="center"/>
        <w:rPr/>
      </w:pPr>
      <w:r>
        <w:rPr>
          <w:rFonts w:ascii="Arial;sans-serif" w:hAnsi="Arial;sans-serif"/>
          <w:b/>
          <w:color w:val="000000"/>
          <w:sz w:val="20"/>
        </w:rPr>
        <w:t>GRANT AGREEMENT</w:t>
      </w:r>
      <w:r>
        <w:rPr>
          <w:color w:val="000000"/>
        </w:rPr>
        <w:t xml:space="preserve"> </w:t>
      </w:r>
      <w:r>
        <w:rPr>
          <w:rFonts w:ascii="Arial;sans-serif" w:hAnsi="Arial;sans-serif"/>
          <w:b w:val="false"/>
          <w:color w:val="000000"/>
          <w:sz w:val="20"/>
        </w:rPr>
        <w:br/>
        <w:t>Investment ID INV-026060</w:t>
      </w:r>
    </w:p>
    <w:p>
      <w:pPr>
        <w:pStyle w:val="TextBody"/>
        <w:bidi w:val="0"/>
        <w:spacing w:lineRule="auto" w:line="300" w:before="0" w:after="160"/>
        <w:jc w:val="center"/>
        <w:rPr>
          <w:rFonts w:ascii="Arial;sans-serif" w:hAnsi="Arial;sans-serif"/>
          <w:b/>
          <w:color w:val="000000"/>
          <w:sz w:val="20"/>
          <w:u w:val="single"/>
        </w:rPr>
      </w:pPr>
      <w:r>
        <w:rPr>
          <w:rFonts w:ascii="Arial;sans-serif" w:hAnsi="Arial;sans-serif"/>
          <w:b/>
          <w:color w:val="000000"/>
          <w:sz w:val="20"/>
          <w:u w:val="single"/>
        </w:rPr>
        <w:t>AGREEMENT SUMMARY &amp; SIGNATURE PAGE</w:t>
      </w:r>
    </w:p>
    <w:tbl>
      <w:tblPr>
        <w:tblW w:w="10205" w:type="dxa"/>
        <w:jc w:val="left"/>
        <w:tblInd w:w="0" w:type="dxa"/>
        <w:tblLayout w:type="fixed"/>
        <w:tblCellMar>
          <w:top w:w="28" w:type="dxa"/>
          <w:left w:w="28" w:type="dxa"/>
          <w:bottom w:w="28" w:type="dxa"/>
          <w:right w:w="28" w:type="dxa"/>
        </w:tblCellMar>
      </w:tblPr>
      <w:tblGrid>
        <w:gridCol w:w="808"/>
        <w:gridCol w:w="709"/>
        <w:gridCol w:w="713"/>
        <w:gridCol w:w="2361"/>
        <w:gridCol w:w="2317"/>
        <w:gridCol w:w="3297"/>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GRANTEE INFORMATION</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9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Dare Bioscience, Inc.</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Tax Status:</w:t>
            </w:r>
          </w:p>
        </w:tc>
        <w:tc>
          <w:tcPr>
            <w:tcW w:w="79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exempt from federal income tax under U.S. IRC § 501(c)(3)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confirm that the above information is correct and agree to notify the Foundation immediately of any change.</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Expenditure Responsibility:</w:t>
            </w:r>
          </w:p>
        </w:tc>
        <w:tc>
          <w:tcPr>
            <w:tcW w:w="79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This Agreement is subject to "expenditure responsibility" requirements under the U.S. Internal Revenue Code.</w:t>
            </w:r>
          </w:p>
        </w:tc>
      </w:tr>
      <w:tr>
        <w:trPr/>
        <w:tc>
          <w:tcPr>
            <w:tcW w:w="22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Mailing Address: </w:t>
            </w:r>
          </w:p>
        </w:tc>
        <w:tc>
          <w:tcPr>
            <w:tcW w:w="79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3655 Nobel Drive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Suite 260, San Diego, California 92122, USA</w:t>
            </w:r>
          </w:p>
        </w:tc>
      </w:tr>
      <w:tr>
        <w:trPr/>
        <w:tc>
          <w:tcPr>
            <w:tcW w:w="22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Primary Contact: </w:t>
            </w:r>
          </w:p>
        </w:tc>
        <w:tc>
          <w:tcPr>
            <w:tcW w:w="79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Nicolas Pacelli, Vice President, Business Development,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5"/>
        <w:gridCol w:w="509"/>
        <w:gridCol w:w="509"/>
        <w:gridCol w:w="2526"/>
        <w:gridCol w:w="2496"/>
        <w:gridCol w:w="3580"/>
      </w:tblGrid>
      <w:tr>
        <w:trPr/>
        <w:tc>
          <w:tcPr>
            <w:tcW w:w="5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FOUNDATION INFORMATION</w:t>
            </w:r>
          </w:p>
        </w:tc>
      </w:tr>
      <w:tr>
        <w:trPr/>
        <w:tc>
          <w:tcPr>
            <w:tcW w:w="16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Mailing Address: </w:t>
            </w:r>
          </w:p>
        </w:tc>
        <w:tc>
          <w:tcPr>
            <w:tcW w:w="860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P. O. Box 23350, Seattle, Washington 98102, USA</w:t>
            </w:r>
          </w:p>
        </w:tc>
      </w:tr>
      <w:tr>
        <w:trPr/>
        <w:tc>
          <w:tcPr>
            <w:tcW w:w="160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Primary Contact: </w:t>
            </w:r>
          </w:p>
        </w:tc>
        <w:tc>
          <w:tcPr>
            <w:tcW w:w="860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Kirsten Vogelsong, Senior Program Officer, Contraceptive Development, Integrated Development,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6"/>
        <w:gridCol w:w="995"/>
        <w:gridCol w:w="938"/>
        <w:gridCol w:w="2064"/>
        <w:gridCol w:w="2064"/>
        <w:gridCol w:w="2898"/>
      </w:tblGrid>
      <w:tr>
        <w:trPr/>
        <w:tc>
          <w:tcPr>
            <w:tcW w:w="12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AGREEMENT INFORMATION</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Personal Contraceptive System (DARE LARC1)</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"Charitable Purpose":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To advance the development of a novel long-acting, user-controlled hormonal contraceptive implant suitable for use by women in low-resource settings</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"Start Date":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Date of last signature</w:t>
            </w:r>
          </w:p>
        </w:tc>
      </w:tr>
      <w:tr>
        <w:trPr/>
        <w:tc>
          <w:tcPr>
            <w:tcW w:w="31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"End Date": </w:t>
            </w:r>
          </w:p>
        </w:tc>
        <w:tc>
          <w:tcPr>
            <w:tcW w:w="702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November 1, 2026</w:t>
            </w:r>
          </w:p>
        </w:tc>
      </w:tr>
      <w:tr>
        <w:trPr/>
        <w:tc>
          <w:tcPr>
            <w:tcW w:w="31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This Agreement includes and incorporates by this reference:</w:t>
            </w:r>
          </w:p>
        </w:tc>
        <w:tc>
          <w:tcPr>
            <w:tcW w:w="70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Agreement Summary &amp; Signature Page and: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Grant Amount and Reporting &amp; Payment Schedule (Attachment A)</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Terms and Conditions (Attachment B)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Investment Document (date submitted [***])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Framework and Tracker (date submitted [***]) </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Budget (date submitted [***])</w:t>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THIS AGREEMENT is between Dare Bioscience, Inc. ("Dare Bioscience",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2740"/>
                <wp:effectExtent l="0" t="0" r="0" b="0"/>
                <wp:wrapNone/>
                <wp:docPr id="67" name="Frame6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9</w:t>
                      </w:r>
                    </w:p>
                    <w:p>
                      <w:pPr>
                        <w:pStyle w:val="TextBody"/>
                        <w:bidi w:val="0"/>
                        <w:spacing w:before="0" w:after="0"/>
                        <w:jc w:val="left"/>
                        <w:rPr/>
                      </w:pPr>
                      <w:r>
                        <w:rPr/>
                      </w:r>
                    </w:p>
                  </w:txbxContent>
                </v:textbox>
                <w10:wrap type="none"/>
              </v:rect>
            </w:pict>
          </mc:Fallback>
        </mc:AlternateContent>
      </w:r>
    </w:p>
    <w:tbl>
      <w:tblPr>
        <w:tblW w:w="7107" w:type="dxa"/>
        <w:jc w:val="left"/>
        <w:tblInd w:w="0" w:type="dxa"/>
        <w:tblLayout w:type="fixed"/>
        <w:tblCellMar>
          <w:top w:w="28" w:type="dxa"/>
          <w:left w:w="28" w:type="dxa"/>
          <w:bottom w:w="28" w:type="dxa"/>
          <w:right w:w="28" w:type="dxa"/>
        </w:tblCellMar>
      </w:tblPr>
      <w:tblGrid>
        <w:gridCol w:w="696"/>
        <w:gridCol w:w="612"/>
        <w:gridCol w:w="612"/>
        <w:gridCol w:w="697"/>
        <w:gridCol w:w="697"/>
        <w:gridCol w:w="706"/>
        <w:gridCol w:w="109"/>
        <w:gridCol w:w="109"/>
        <w:gridCol w:w="109"/>
        <w:gridCol w:w="385"/>
        <w:gridCol w:w="385"/>
        <w:gridCol w:w="385"/>
        <w:gridCol w:w="469"/>
        <w:gridCol w:w="469"/>
        <w:gridCol w:w="667"/>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402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BILL &amp; MELINDA GATES FOUNDATION</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Kirsten Vogelsong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DARE BIOSCIENCE, INC.</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Sabrina Johnson</w:t>
            </w:r>
          </w:p>
        </w:tc>
      </w:tr>
      <w:tr>
        <w:trPr/>
        <w:tc>
          <w:tcPr>
            <w:tcW w:w="1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By:</w:t>
            </w:r>
          </w:p>
        </w:tc>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Kirsten Vogelsong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By:</w:t>
            </w:r>
          </w:p>
        </w:tc>
        <w:tc>
          <w:tcPr>
            <w:tcW w:w="16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Sabrina Johnson</w:t>
            </w:r>
          </w:p>
        </w:tc>
      </w:tr>
      <w:tr>
        <w:trPr/>
        <w:tc>
          <w:tcPr>
            <w:tcW w:w="19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Title:</w:t>
            </w:r>
          </w:p>
        </w:tc>
        <w:tc>
          <w:tcPr>
            <w:tcW w:w="210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Senior Program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Title:</w:t>
            </w:r>
          </w:p>
        </w:tc>
        <w:tc>
          <w:tcPr>
            <w:tcW w:w="16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CEO</w:t>
            </w:r>
          </w:p>
        </w:tc>
      </w:tr>
      <w:tr>
        <w:trPr/>
        <w:tc>
          <w:tcPr>
            <w:tcW w:w="4020"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June 24,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June 30, 2021</w:t>
            </w:r>
          </w:p>
        </w:tc>
      </w:tr>
      <w:tr>
        <w:trPr/>
        <w:tc>
          <w:tcPr>
            <w:tcW w:w="1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Date</w:t>
            </w:r>
          </w:p>
        </w:tc>
        <w:tc>
          <w:tcPr>
            <w:tcW w:w="21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Date</w:t>
            </w:r>
          </w:p>
        </w:tc>
        <w:tc>
          <w:tcPr>
            <w:tcW w:w="16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9</w:t>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center"/>
        <w:rPr/>
      </w:pPr>
      <w:r>
        <w:rPr>
          <w:rFonts w:ascii="Arial;sans-serif" w:hAnsi="Arial;sans-serif"/>
          <w:b/>
          <w:color w:val="000000"/>
          <w:sz w:val="20"/>
        </w:rPr>
        <w:t>GRANT AGREEMENT</w:t>
      </w:r>
      <w:r>
        <w:rPr>
          <w:rFonts w:ascii="Arial;sans-serif" w:hAnsi="Arial;sans-serif"/>
          <w:b w:val="false"/>
          <w:color w:val="000000"/>
          <w:sz w:val="20"/>
        </w:rPr>
        <w:br/>
        <w:t>Investment ID INV-026060</w:t>
      </w:r>
    </w:p>
    <w:p>
      <w:pPr>
        <w:pStyle w:val="TextBody"/>
        <w:bidi w:val="0"/>
        <w:spacing w:lineRule="auto" w:line="288" w:before="0" w:after="240"/>
        <w:jc w:val="center"/>
        <w:rPr/>
      </w:pPr>
      <w:r>
        <w:rPr>
          <w:rFonts w:ascii="Arial;sans-serif" w:hAnsi="Arial;sans-serif"/>
          <w:b/>
          <w:color w:val="000000"/>
          <w:sz w:val="20"/>
          <w:u w:val="single"/>
        </w:rPr>
        <w:t>ATTACHMENT A</w:t>
        <w:br/>
      </w:r>
      <w:r>
        <w:rPr>
          <w:rFonts w:ascii="Arial;sans-serif" w:hAnsi="Arial;sans-serif"/>
          <w:b w:val="false"/>
          <w:color w:val="000000"/>
          <w:sz w:val="20"/>
        </w:rPr>
        <w:t>GRANT AMOUNT AND REPORTING &amp; PAYMENT SCHEDULE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GRANT AMOUNT</w:t>
            </w:r>
            <w:r>
              <w:rPr>
                <w:rFonts w:ascii="Arial;sans-serif" w:hAnsi="Arial;sans-serif"/>
                <w:b w:val="false"/>
                <w:color w:val="000000"/>
                <w:sz w:val="20"/>
              </w:rPr>
              <w:br/>
              <w:t>The Foundation will pay You up to the total grant amount specified in the Reporting &amp; Payment Schedule below. The Foundation's Primary Contact must approve in writing any Budget cost category change of more than 10%.</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REPORTING &amp; PAYMENT SCHEDULE</w:t>
            </w:r>
            <w:r>
              <w:rPr>
                <w:rFonts w:ascii="Arial;sans-serif" w:hAnsi="Arial;sans-serif"/>
                <w:b w:val="false"/>
                <w:color w:val="000000"/>
                <w:sz w:val="20"/>
              </w:rPr>
              <w:br/>
              <w:t>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REPORTING</w:t>
            </w:r>
            <w:r>
              <w:rPr>
                <w:rFonts w:ascii="Arial;sans-serif" w:hAnsi="Arial;sans-serif"/>
                <w:b w:val="false"/>
                <w:color w:val="000000"/>
                <w:sz w:val="20"/>
              </w:rPr>
              <w:br/>
              <w:t>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w:t>
            </w:r>
          </w:p>
        </w:tc>
      </w:tr>
    </w:tbl>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ACCOUNTING FOR PERSONNEL TIME</w:t>
            </w:r>
            <w:r>
              <w:rPr>
                <w:rFonts w:ascii="Arial;sans-serif" w:hAnsi="Arial;sans-serif"/>
                <w:b w:val="false"/>
                <w:color w:val="000000"/>
                <w:sz w:val="20"/>
              </w:rPr>
              <w:br/>
              <w:t>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w:t>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9</w:t>
                      </w:r>
                    </w:p>
                  </w:txbxContent>
                </v:textbox>
                <w10:wrap type="none"/>
              </v:rect>
            </w:pict>
          </mc:Fallback>
        </mc:AlternateContent>
      </w:r>
    </w:p>
    <w:p>
      <w:pPr>
        <w:pStyle w:val="TextBody"/>
        <w:bidi w:val="0"/>
        <w:spacing w:before="0" w:after="160"/>
        <w:jc w:val="left"/>
        <w:rPr/>
      </w:pPr>
      <w:r>
        <w:rPr/>
      </w:r>
    </w:p>
    <w:tbl>
      <w:tblPr>
        <w:tblW w:w="9806" w:type="dxa"/>
        <w:jc w:val="left"/>
        <w:tblInd w:w="0" w:type="dxa"/>
        <w:tblLayout w:type="fixed"/>
        <w:tblCellMar>
          <w:top w:w="28" w:type="dxa"/>
          <w:left w:w="28" w:type="dxa"/>
          <w:bottom w:w="28" w:type="dxa"/>
          <w:right w:w="28" w:type="dxa"/>
        </w:tblCellMar>
      </w:tblPr>
      <w:tblGrid>
        <w:gridCol w:w="575"/>
        <w:gridCol w:w="506"/>
        <w:gridCol w:w="509"/>
        <w:gridCol w:w="1204"/>
        <w:gridCol w:w="1204"/>
        <w:gridCol w:w="1207"/>
        <w:gridCol w:w="235"/>
        <w:gridCol w:w="235"/>
        <w:gridCol w:w="235"/>
        <w:gridCol w:w="419"/>
        <w:gridCol w:w="419"/>
        <w:gridCol w:w="421"/>
        <w:gridCol w:w="803"/>
        <w:gridCol w:w="416"/>
        <w:gridCol w:w="416"/>
        <w:gridCol w:w="294"/>
        <w:gridCol w:w="294"/>
        <w:gridCol w:w="41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806" w:type="dxa"/>
            <w:gridSpan w:val="18"/>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REPORTING &amp; PAYMENT SCHEDULE</w:t>
            </w:r>
          </w:p>
        </w:tc>
      </w:tr>
      <w:tr>
        <w:trPr/>
        <w:tc>
          <w:tcPr>
            <w:tcW w:w="15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i/>
                <w:color w:val="000000"/>
                <w:sz w:val="18"/>
              </w:rPr>
            </w:pPr>
            <w:r>
              <w:rPr>
                <w:rFonts w:ascii="Arial;sans-serif" w:hAnsi="Arial;sans-serif"/>
                <w:b w:val="false"/>
                <w:i/>
                <w:color w:val="000000"/>
                <w:sz w:val="18"/>
              </w:rPr>
              <w:t>Investment Period</w:t>
            </w:r>
          </w:p>
        </w:tc>
        <w:tc>
          <w:tcPr>
            <w:tcW w:w="36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i/>
                <w:color w:val="000000"/>
                <w:sz w:val="18"/>
              </w:rPr>
            </w:pPr>
            <w:r>
              <w:rPr>
                <w:rFonts w:ascii="Arial;sans-serif" w:hAnsi="Arial;sans-serif"/>
                <w:b w:val="false"/>
                <w:i/>
                <w:color w:val="000000"/>
                <w:sz w:val="18"/>
              </w:rPr>
              <w:t>Target, Milestone, or Reporting Deliverable</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i/>
                <w:color w:val="000000"/>
                <w:sz w:val="18"/>
              </w:rPr>
            </w:pPr>
            <w:r>
              <w:rPr>
                <w:rFonts w:ascii="Arial;sans-serif" w:hAnsi="Arial;sans-serif"/>
                <w:b w:val="false"/>
                <w:i/>
                <w:color w:val="000000"/>
                <w:sz w:val="18"/>
              </w:rPr>
              <w:t>Due By</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i/>
                <w:color w:val="000000"/>
                <w:sz w:val="18"/>
              </w:rPr>
            </w:pPr>
            <w:r>
              <w:rPr>
                <w:rFonts w:ascii="Arial;sans-serif" w:hAnsi="Arial;sans-serif"/>
                <w:b w:val="false"/>
                <w:i/>
                <w:color w:val="000000"/>
                <w:sz w:val="18"/>
              </w:rPr>
              <w:t>Payment Date</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300" w:before="0" w:after="160"/>
              <w:jc w:val="center"/>
              <w:rPr>
                <w:rFonts w:ascii="Arial;sans-serif" w:hAnsi="Arial;sans-serif"/>
                <w:b w:val="false"/>
                <w:i/>
                <w:color w:val="000000"/>
                <w:sz w:val="18"/>
              </w:rPr>
            </w:pPr>
            <w:r>
              <w:rPr>
                <w:rFonts w:ascii="Arial;sans-serif" w:hAnsi="Arial;sans-serif"/>
                <w:b w:val="false"/>
                <w:i/>
                <w:color w:val="000000"/>
                <w:sz w:val="18"/>
              </w:rPr>
              <w:t>Payment Amount (U.S.$)</w:t>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 xml:space="preserve">Countersigned Agreement </w:t>
            </w:r>
          </w:p>
        </w:tc>
        <w:tc>
          <w:tcPr>
            <w:tcW w:w="705"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8"/>
              </w:rPr>
            </w:pPr>
            <w:r>
              <w:rPr>
                <w:rFonts w:ascii="Arial;sans-serif" w:hAnsi="Arial;sans-serif"/>
                <w:b w:val="false"/>
                <w:color w:val="000000"/>
                <w:sz w:val="18"/>
              </w:rPr>
              <w:t>$</w:t>
            </w:r>
          </w:p>
        </w:tc>
        <w:tc>
          <w:tcPr>
            <w:tcW w:w="1420" w:type="dxa"/>
            <w:gridSpan w:val="4"/>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18"/>
              </w:rPr>
            </w:pPr>
            <w:r>
              <w:rPr>
                <w:rFonts w:ascii="Arial;sans-serif" w:hAnsi="Arial;sans-serif"/>
                <w:b w:val="false"/>
                <w:color w:val="000000"/>
                <w:sz w:val="18"/>
              </w:rPr>
              <w:t>11,453,099 </w:t>
            </w:r>
          </w:p>
        </w:tc>
        <w:tc>
          <w:tcPr>
            <w:tcW w:w="414"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bottom w:val="single" w:sz="4" w:space="0" w:color="000000"/>
            </w:tcBorders>
            <w:shd w:fill="D0CECE" w:val="clear"/>
            <w:tcMar>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637" w:type="dxa"/>
            <w:gridSpan w:val="6"/>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590" w:type="dxa"/>
            <w:gridSpan w:val="3"/>
            <w:vMerge w:val="restart"/>
            <w:tcBorders>
              <w:left w:val="single" w:sz="4" w:space="0" w:color="000000"/>
            </w:tcBorders>
            <w:tcMar>
              <w:top w:w="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637" w:type="dxa"/>
            <w:gridSpan w:val="6"/>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590" w:type="dxa"/>
            <w:gridSpan w:val="3"/>
            <w:vMerge w:val="continue"/>
            <w:tcBorders>
              <w:left w:val="single" w:sz="4" w:space="0" w:color="000000"/>
            </w:tcBorders>
            <w:tcMar>
              <w:top w:w="0" w:type="dxa"/>
              <w:left w:w="75" w:type="dxa"/>
              <w:bottom w:w="0" w:type="dxa"/>
              <w:right w:w="0" w:type="dxa"/>
            </w:tcMar>
            <w:vAlign w:val="center"/>
          </w:tcPr>
          <w:p>
            <w:pPr>
              <w:pStyle w:val="Normal"/>
              <w:bidi w:val="0"/>
              <w:jc w:val="left"/>
              <w:rPr/>
            </w:pPr>
            <w:r>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2637" w:type="dxa"/>
            <w:gridSpan w:val="6"/>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D0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bottom w:val="single" w:sz="4" w:space="0" w:color="000000"/>
              <w:right w:val="single" w:sz="4" w:space="0" w:color="000000"/>
            </w:tcBorders>
            <w:shd w:fill="D0CECE" w:val="clear"/>
            <w:tcMar>
              <w:lef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w:t>
            </w:r>
            <w:r>
              <w:rPr>
                <w:color w:val="000000"/>
              </w:rPr>
              <w:t xml:space="preserve"> </w:t>
            </w:r>
          </w:p>
        </w:tc>
        <w:tc>
          <w:tcPr>
            <w:tcW w:w="36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4" w:space="0" w:color="000000"/>
              <w:left w:val="single" w:sz="4" w:space="0" w:color="000000"/>
              <w:bottom w:val="single" w:sz="4" w:space="0" w:color="000000"/>
            </w:tcBorders>
            <w:shd w:fill="D0CECE" w:val="clear"/>
            <w:tcMar>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op w:val="single" w:sz="4" w:space="0" w:color="000000"/>
              <w:left w:val="single" w:sz="4" w:space="0" w:color="000000"/>
              <w:right w:val="single" w:sz="4" w:space="0" w:color="000000"/>
            </w:tcBorders>
            <w:shd w:fill="D0CECE" w:val="clear"/>
            <w:tcMar>
              <w:bottom w:w="0" w:type="dxa"/>
            </w:tcMar>
            <w:vAlign w:val="center"/>
          </w:tcPr>
          <w:p>
            <w:pPr>
              <w:pStyle w:val="TableContents"/>
              <w:bidi w:val="0"/>
              <w:spacing w:before="0" w:after="283"/>
              <w:jc w:val="left"/>
              <w:rPr>
                <w:sz w:val="4"/>
                <w:szCs w:val="4"/>
              </w:rPr>
            </w:pPr>
            <w:r>
              <w:rPr>
                <w:sz w:val="4"/>
                <w:szCs w:val="4"/>
              </w:rPr>
            </w:r>
          </w:p>
        </w:tc>
      </w:tr>
      <w:tr>
        <w:trPr/>
        <w:tc>
          <w:tcPr>
            <w:tcW w:w="7169" w:type="dxa"/>
            <w:gridSpan w:val="1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300" w:before="0" w:after="160"/>
              <w:jc w:val="right"/>
              <w:rPr>
                <w:rFonts w:ascii="Arial;sans-serif" w:hAnsi="Arial;sans-serif"/>
                <w:b/>
                <w:color w:val="000000"/>
                <w:sz w:val="18"/>
              </w:rPr>
            </w:pPr>
            <w:r>
              <w:rPr>
                <w:rFonts w:ascii="Arial;sans-serif" w:hAnsi="Arial;sans-serif"/>
                <w:b/>
                <w:color w:val="000000"/>
                <w:sz w:val="18"/>
              </w:rPr>
              <w:t xml:space="preserve">Total Grant Amount </w:t>
            </w:r>
          </w:p>
        </w:tc>
        <w:tc>
          <w:tcPr>
            <w:tcW w:w="16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color w:val="000000"/>
                <w:sz w:val="18"/>
              </w:rPr>
            </w:pPr>
            <w:r>
              <w:rPr>
                <w:rFonts w:ascii="Arial;sans-serif" w:hAnsi="Arial;sans-serif"/>
                <w:b/>
                <w:color w:val="000000"/>
                <w:sz w:val="18"/>
              </w:rPr>
              <w:t>Up to $48,945,928</w:t>
            </w:r>
          </w:p>
        </w:tc>
        <w:tc>
          <w:tcPr>
            <w:tcW w:w="10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ATTACHMENT B</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TERMS &amp; CONDITIONS</w:t>
      </w:r>
    </w:p>
    <w:tbl>
      <w:tblPr>
        <w:tblW w:w="5805" w:type="dxa"/>
        <w:jc w:val="left"/>
        <w:tblInd w:w="0" w:type="dxa"/>
        <w:tblLayout w:type="fixed"/>
        <w:tblCellMar>
          <w:top w:w="28" w:type="dxa"/>
          <w:left w:w="28" w:type="dxa"/>
          <w:bottom w:w="28" w:type="dxa"/>
          <w:right w:w="28" w:type="dxa"/>
        </w:tblCellMar>
      </w:tblPr>
      <w:tblGrid>
        <w:gridCol w:w="1855"/>
        <w:gridCol w:w="1630"/>
        <w:gridCol w:w="2320"/>
      </w:tblGrid>
      <w:tr>
        <w:trPr/>
        <w:tc>
          <w:tcPr>
            <w:tcW w:w="185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This Agreement is subject to the following terms and conditions. </w:t>
            </w:r>
          </w:p>
        </w:tc>
      </w:tr>
    </w:tbl>
    <w:tbl>
      <w:tblPr>
        <w:tblW w:w="2085" w:type="dxa"/>
        <w:jc w:val="left"/>
        <w:tblInd w:w="0" w:type="dxa"/>
        <w:tblLayout w:type="fixed"/>
        <w:tblCellMar>
          <w:top w:w="28" w:type="dxa"/>
          <w:left w:w="28" w:type="dxa"/>
          <w:bottom w:w="28" w:type="dxa"/>
          <w:right w:w="28" w:type="dxa"/>
        </w:tblCellMar>
      </w:tblPr>
      <w:tblGrid>
        <w:gridCol w:w="667"/>
        <w:gridCol w:w="586"/>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PROJECT SUPPORT</w:t>
            </w:r>
          </w:p>
        </w:tc>
      </w:tr>
    </w:tbl>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0"/>
              </w:rPr>
              <w:t>PROJECT DESCRIPTION AND CHARITABLE PURPOSE</w:t>
            </w:r>
            <w:r>
              <w:rPr>
                <w:rFonts w:ascii="Arial;sans-serif" w:hAnsi="Arial;sans-serif"/>
                <w:b w:val="false"/>
                <w:color w:val="000000"/>
                <w:sz w:val="20"/>
              </w:rPr>
              <w:br/>
              <w:t>The Foundation is awarding You this grant to carry out the project described in the Investment Document  ("</w:t>
            </w:r>
            <w:r>
              <w:rPr>
                <w:rFonts w:ascii="Arial;sans-serif" w:hAnsi="Arial;sans-serif"/>
                <w:b w:val="false"/>
                <w:i/>
                <w:color w:val="000000"/>
                <w:sz w:val="20"/>
              </w:rPr>
              <w:t>Project</w:t>
            </w:r>
            <w:r>
              <w:rPr>
                <w:rFonts w:ascii="Arial;sans-serif" w:hAnsi="Arial;sans-serif"/>
                <w:b w:val="false"/>
                <w:color w:val="000000"/>
                <w:sz w:val="20"/>
              </w:rPr>
              <w:t xml:space="preserve">") in order to further the Charitable Purpose. The Foundation, in its discretion, may approve in writing any request by You to make non-material changes to the Investment Document. </w:t>
            </w:r>
          </w:p>
        </w:tc>
      </w:tr>
    </w:tbl>
    <w:tbl>
      <w:tblPr>
        <w:tblW w:w="2951" w:type="dxa"/>
        <w:jc w:val="left"/>
        <w:tblInd w:w="0" w:type="dxa"/>
        <w:tblLayout w:type="fixed"/>
        <w:tblCellMar>
          <w:top w:w="28" w:type="dxa"/>
          <w:left w:w="28" w:type="dxa"/>
          <w:bottom w:w="28" w:type="dxa"/>
          <w:right w:w="28" w:type="dxa"/>
        </w:tblCellMar>
      </w:tblPr>
      <w:tblGrid>
        <w:gridCol w:w="934"/>
        <w:gridCol w:w="821"/>
        <w:gridCol w:w="824"/>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MANAGEMENT OF FUNDS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USE OF FUNDS</w:t>
            </w:r>
            <w:r>
              <w:rPr>
                <w:rFonts w:ascii="Arial;sans-serif" w:hAnsi="Arial;sans-serif"/>
                <w:b w:val="false"/>
                <w:color w:val="000000"/>
                <w:sz w:val="20"/>
              </w:rPr>
              <w:br/>
              <w:t xml:space="preserve">You may not use funds provided under this Agreement </w:t>
            </w:r>
            <w:r>
              <w:rPr>
                <w:rFonts w:ascii="Arial;sans-serif" w:hAnsi="Arial;sans-serif"/>
                <w:b w:val="false"/>
                <w:i/>
                <w:color w:val="000000"/>
                <w:sz w:val="20"/>
              </w:rPr>
              <w:t>("Grant Funds")</w:t>
            </w:r>
            <w:r>
              <w:rPr>
                <w:color w:val="000000"/>
              </w:rPr>
              <w:t xml:space="preserve"> </w:t>
            </w:r>
            <w:r>
              <w:rPr>
                <w:rFonts w:ascii="Arial;sans-serif" w:hAnsi="Arial;sans-serif"/>
                <w:b w:val="false"/>
                <w:color w:val="000000"/>
                <w:sz w:val="20"/>
              </w:rPr>
              <w:t>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w:t>
            </w:r>
          </w:p>
        </w:tc>
      </w:tr>
    </w:tbl>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INVESTMENT OF FUNDS</w:t>
            </w:r>
            <w:r>
              <w:rPr>
                <w:rFonts w:ascii="Arial;sans-serif" w:hAnsi="Arial;sans-serif"/>
                <w:b w:val="false"/>
                <w:color w:val="000000"/>
                <w:sz w:val="20"/>
              </w:rPr>
              <w:br/>
              <w:t>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w:t>
            </w:r>
            <w:r>
              <w:rPr>
                <w:rFonts w:ascii="Arial;sans-serif" w:hAnsi="Arial;sans-serif"/>
                <w:b w:val="false"/>
                <w:i/>
                <w:color w:val="000000"/>
                <w:sz w:val="20"/>
              </w:rPr>
              <w:t>Income</w:t>
            </w:r>
            <w:r>
              <w:rPr>
                <w:rFonts w:ascii="Arial;sans-serif" w:hAnsi="Arial;sans-serif"/>
                <w:b w:val="false"/>
                <w:color w:val="000000"/>
                <w:sz w:val="20"/>
              </w:rPr>
              <w:t>"). Any Income must be used for the Project.</w:t>
            </w:r>
          </w:p>
        </w:tc>
      </w:tr>
    </w:tbl>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SEGREGATION OF FUNDS</w:t>
            </w:r>
            <w:r>
              <w:rPr>
                <w:rFonts w:ascii="Arial;sans-serif" w:hAnsi="Arial;sans-serif"/>
                <w:b w:val="false"/>
                <w:color w:val="000000"/>
                <w:sz w:val="20"/>
              </w:rPr>
              <w:br/>
              <w:t>You must maintain Grant Funds in a physically separate bank account or a separate bookkeeping account maintained as part of Your financial records and dedicated to the Project.</w:t>
            </w:r>
          </w:p>
        </w:tc>
      </w:tr>
    </w:tbl>
    <w:tbl>
      <w:tblPr>
        <w:tblW w:w="1844" w:type="dxa"/>
        <w:jc w:val="left"/>
        <w:tblInd w:w="0" w:type="dxa"/>
        <w:tblLayout w:type="fixed"/>
        <w:tblCellMar>
          <w:top w:w="28" w:type="dxa"/>
          <w:left w:w="28" w:type="dxa"/>
          <w:bottom w:w="28" w:type="dxa"/>
          <w:right w:w="28" w:type="dxa"/>
        </w:tblCellMar>
      </w:tblPr>
      <w:tblGrid>
        <w:gridCol w:w="590"/>
        <w:gridCol w:w="518"/>
        <w:gridCol w:w="736"/>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GLOBAL ACCESS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2740"/>
                <wp:effectExtent l="0" t="0" r="0" b="0"/>
                <wp:wrapNone/>
                <wp:docPr id="71" name="Frame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GLOBAL ACCESS COMMITMENT</w:t>
            </w:r>
            <w:r>
              <w:rPr>
                <w:rFonts w:ascii="Arial;sans-serif" w:hAnsi="Arial;sans-serif"/>
                <w:b w:val="false"/>
                <w:color w:val="000000"/>
                <w:sz w:val="20"/>
              </w:rPr>
              <w:br/>
              <w:t>You will conduct and manage the Project and the Funded Developments in a manner that ensures Global Access. Your Global Access commitments will survive the term of this Agreement. "</w:t>
            </w:r>
            <w:r>
              <w:rPr>
                <w:rFonts w:ascii="Arial;sans-serif" w:hAnsi="Arial;sans-serif"/>
                <w:b w:val="false"/>
                <w:i/>
                <w:color w:val="000000"/>
                <w:sz w:val="20"/>
              </w:rPr>
              <w:t>Funded Developments</w:t>
            </w:r>
            <w:r>
              <w:rPr>
                <w:rFonts w:ascii="Arial;sans-serif" w:hAnsi="Arial;sans-serif"/>
                <w:b w:val="false"/>
                <w:color w:val="000000"/>
                <w:sz w:val="20"/>
              </w:rPr>
              <w:t>" means the products, services, processes, technologies, materials, software, data, other innovations, and intellectual property resulting from the Project (including modifications, improvements, and further developments to Background Technology). "</w:t>
            </w:r>
            <w:r>
              <w:rPr>
                <w:rFonts w:ascii="Arial;sans-serif" w:hAnsi="Arial;sans-serif"/>
                <w:b w:val="false"/>
                <w:i/>
                <w:color w:val="000000"/>
                <w:sz w:val="20"/>
              </w:rPr>
              <w:t>Background Technology</w:t>
            </w:r>
            <w:r>
              <w:rPr>
                <w:rFonts w:ascii="Arial;sans-serif" w:hAnsi="Arial;sans-serif"/>
                <w:b w:val="false"/>
                <w:color w:val="000000"/>
                <w:sz w:val="20"/>
              </w:rPr>
              <w:t>" means any and all products, services, processes, technologies, materials, software, data, or other innovations, and intellectual property created by You or a third party prior to or outside of the Project used as part of the Project. "</w:t>
            </w:r>
            <w:r>
              <w:rPr>
                <w:rFonts w:ascii="Arial;sans-serif" w:hAnsi="Arial;sans-serif"/>
                <w:b w:val="false"/>
                <w:i/>
                <w:color w:val="000000"/>
                <w:sz w:val="20"/>
              </w:rPr>
              <w:t>Global Access</w:t>
            </w:r>
            <w:r>
              <w:rPr>
                <w:rFonts w:ascii="Arial;sans-serif" w:hAnsi="Arial;sans-serif"/>
                <w:b w:val="false"/>
                <w:color w:val="000000"/>
                <w:sz w:val="20"/>
              </w:rPr>
              <w:t>"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w:t>
            </w:r>
          </w:p>
        </w:tc>
      </w:tr>
    </w:tbl>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HUMANITARIAN LICENSE</w:t>
            </w:r>
            <w:r>
              <w:rPr>
                <w:rFonts w:ascii="Arial;sans-serif" w:hAnsi="Arial;sans-serif"/>
                <w:b w:val="false"/>
                <w:color w:val="000000"/>
                <w:sz w:val="20"/>
              </w:rPr>
              <w:br/>
              <w:t>Subject to applicable laws and for the purpose of achieving Global Access, You grant the Foundation a nonexclusive, perpetual, irrevocable, worldwide, royalty-free, fully paid up, sublicensable license to make, use, sell, offer to sell, import, distribute, copy, create derivative works, publicly perform, and display Funded Developments and Essential Background Technology. “Essential Background Technology” means Background Technology that is: (a) owned, controlled, or developed by You, or in-licensed with the right to sublicense; and (b) either incorporated into a Funded Development or reasonably required to exercise the license to a Funded Development. You confirm that You have retained sufficient rights in the Funded Developments and Essential Background Technology to grant this license. You must ensure this license survives the assignment or transfer of Funded Developments or Essential Background Technology. On request, You must promptly make available the Funded Developments and Essential Background Technology to the Foundation for use solely under this license. If You demonstrate to the satisfaction of the Foundation that Global Access can best be achieved without this license, the Foundation and You will make good faith efforts to modify or terminate this license, as appropriate.</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PUBLICATION</w:t>
            </w:r>
            <w:r>
              <w:rPr>
                <w:rFonts w:ascii="Arial;sans-serif" w:hAnsi="Arial;sans-serif"/>
                <w:b w:val="false"/>
                <w:color w:val="000000"/>
                <w:sz w:val="20"/>
              </w:rPr>
              <w:br/>
              <w:t>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t>
            </w:r>
            <w:r>
              <w:rPr>
                <w:rFonts w:ascii="Arial;sans-serif" w:hAnsi="Arial;sans-serif"/>
                <w:b w:val="false"/>
                <w:color w:val="0000FF"/>
                <w:sz w:val="20"/>
                <w:u w:val="single"/>
              </w:rPr>
              <w:t>www.gatesfoundation.org/How-We-Work/General-Information/Open-Access-Policy</w:t>
            </w:r>
            <w:r>
              <w:rPr>
                <w:rFonts w:ascii="Arial;sans-serif" w:hAnsi="Arial;sans-serif"/>
                <w:b w:val="false"/>
                <w:color w:val="000000"/>
                <w:sz w:val="20"/>
              </w:rPr>
              <w:t>,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w:t>
            </w:r>
          </w:p>
        </w:tc>
      </w:tr>
    </w:tbl>
    <w:tbl>
      <w:tblPr>
        <w:tblW w:w="10205" w:type="dxa"/>
        <w:jc w:val="left"/>
        <w:tblInd w:w="0" w:type="dxa"/>
        <w:tblLayout w:type="fixed"/>
        <w:tblCellMar>
          <w:top w:w="28" w:type="dxa"/>
          <w:left w:w="28" w:type="dxa"/>
          <w:bottom w:w="28" w:type="dxa"/>
          <w:right w:w="28" w:type="dxa"/>
        </w:tblCellMar>
      </w:tblPr>
      <w:tblGrid>
        <w:gridCol w:w="3268"/>
        <w:gridCol w:w="2869"/>
        <w:gridCol w:w="4068"/>
      </w:tblGrid>
      <w:tr>
        <w:trPr/>
        <w:tc>
          <w:tcPr>
            <w:tcW w:w="326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INTELLECTUAL PROPERTY REPORTING</w:t>
            </w:r>
            <w:r>
              <w:rPr>
                <w:rFonts w:ascii="Arial;sans-serif" w:hAnsi="Arial;sans-serif"/>
                <w:b w:val="false"/>
                <w:color w:val="000000"/>
                <w:sz w:val="20"/>
              </w:rPr>
              <w:br/>
              <w:t>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w:t>
            </w:r>
          </w:p>
        </w:tc>
      </w:tr>
    </w:tbl>
    <w:tbl>
      <w:tblPr>
        <w:tblW w:w="3837" w:type="dxa"/>
        <w:jc w:val="left"/>
        <w:tblInd w:w="0" w:type="dxa"/>
        <w:tblLayout w:type="fixed"/>
        <w:tblCellMar>
          <w:top w:w="28" w:type="dxa"/>
          <w:left w:w="28" w:type="dxa"/>
          <w:bottom w:w="28" w:type="dxa"/>
          <w:right w:w="28" w:type="dxa"/>
        </w:tblCellMar>
      </w:tblPr>
      <w:tblGrid>
        <w:gridCol w:w="1256"/>
        <w:gridCol w:w="1102"/>
        <w:gridCol w:w="1107"/>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SUBGRANTS AND SUBCONTRACTS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SUBGRANTS AND SUBCONTRACTS </w:t>
            </w:r>
            <w:r>
              <w:rPr>
                <w:rFonts w:ascii="Arial;sans-serif" w:hAnsi="Arial;sans-serif"/>
                <w:b w:val="false"/>
                <w:color w:val="000000"/>
                <w:sz w:val="20"/>
              </w:rPr>
              <w:br/>
              <w:t xml:space="preserve">You may not make subgrants under this Agreement. You have the exclusive right to select subcontractors to assist with the Project. </w:t>
            </w:r>
          </w:p>
        </w:tc>
      </w:tr>
    </w:tbl>
    <w:tbl>
      <w:tblPr>
        <w:tblW w:w="10205" w:type="dxa"/>
        <w:jc w:val="left"/>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RESPONSIBILITY FOR OTHERS</w:t>
            </w:r>
            <w:r>
              <w:rPr>
                <w:rFonts w:ascii="Arial;sans-serif" w:hAnsi="Arial;sans-serif"/>
                <w:b w:val="false"/>
                <w:color w:val="000000"/>
                <w:sz w:val="20"/>
              </w:rPr>
              <w:br/>
              <w:t>You are responsible for (a) all acts and omissions of any of Your trustees, directors, officers, employees, subgrantees, subcontractors, contingent workers, agents, and affiliates assisting with the Project, and (b) ensuring their compliance with the terms of this Agreement.</w:t>
            </w:r>
          </w:p>
        </w:tc>
      </w:tr>
    </w:tbl>
    <w:tbl>
      <w:tblPr>
        <w:tblW w:w="2846" w:type="dxa"/>
        <w:jc w:val="left"/>
        <w:tblInd w:w="0" w:type="dxa"/>
        <w:tblLayout w:type="fixed"/>
        <w:tblCellMar>
          <w:top w:w="28" w:type="dxa"/>
          <w:left w:w="28" w:type="dxa"/>
          <w:bottom w:w="28" w:type="dxa"/>
          <w:right w:w="28" w:type="dxa"/>
        </w:tblCellMar>
      </w:tblPr>
      <w:tblGrid>
        <w:gridCol w:w="896"/>
        <w:gridCol w:w="787"/>
        <w:gridCol w:w="791"/>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PROHIBITED ACTIVITIES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69"/>
        <w:gridCol w:w="4069"/>
      </w:tblGrid>
      <w:tr>
        <w:trPr/>
        <w:tc>
          <w:tcPr>
            <w:tcW w:w="3267"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ANTI-TERRORISM</w:t>
            </w:r>
            <w:r>
              <w:rPr>
                <w:rFonts w:ascii="Arial;sans-serif" w:hAnsi="Arial;sans-serif"/>
                <w:b w:val="false"/>
                <w:color w:val="000000"/>
                <w:sz w:val="20"/>
              </w:rPr>
              <w:br/>
              <w:t>You will not use funds provided under this Agreement, directly or indirectly, in support of activities (a) prohibited by U.S. laws relating to combating terrorism; (b) with persons on the List of Specially Designated Nationals (</w:t>
            </w:r>
            <w:r>
              <w:rPr>
                <w:rFonts w:ascii="Arial;sans-serif" w:hAnsi="Arial;sans-serif"/>
                <w:b w:val="false"/>
                <w:color w:val="0000FF"/>
                <w:sz w:val="20"/>
                <w:u w:val="single"/>
              </w:rPr>
              <w:t>www.treasury.gov/sdn</w:t>
            </w:r>
            <w:r>
              <w:rPr>
                <w:rFonts w:ascii="Arial;sans-serif" w:hAnsi="Arial;sans-serif"/>
                <w:b w:val="false"/>
                <w:color w:val="000000"/>
                <w:sz w:val="20"/>
              </w:rPr>
              <w:t>) or entities owned or controlled by such persons; or (c) in or with countries or territories against which the U.S. maintains comprehensive sanctions (currently, Cuba, Iran, Syria, North Korea, and the Crimea Region of Ukraine), including paying or reimbursing the expenses of persons from such countries or territories, unless such activities are fully authorized by the U.S. government under applicable law and specifically approved by the Foundation in its sole discretion.</w:t>
            </w:r>
          </w:p>
        </w:tc>
      </w:tr>
    </w:tbl>
    <w:tbl>
      <w:tblPr>
        <w:tblW w:w="10205" w:type="dxa"/>
        <w:jc w:val="left"/>
        <w:tblInd w:w="0" w:type="dxa"/>
        <w:tblLayout w:type="fixed"/>
        <w:tblCellMar>
          <w:top w:w="28" w:type="dxa"/>
          <w:left w:w="28" w:type="dxa"/>
          <w:bottom w:w="28" w:type="dxa"/>
          <w:right w:w="28" w:type="dxa"/>
        </w:tblCellMar>
      </w:tblPr>
      <w:tblGrid>
        <w:gridCol w:w="3268"/>
        <w:gridCol w:w="2871"/>
        <w:gridCol w:w="4066"/>
      </w:tblGrid>
      <w:tr>
        <w:trPr/>
        <w:tc>
          <w:tcPr>
            <w:tcW w:w="326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ANTI-CORRUPTION; ANTI-BRIBERY</w:t>
            </w:r>
            <w:r>
              <w:rPr>
                <w:rFonts w:ascii="Arial;sans-serif" w:hAnsi="Arial;sans-serif"/>
                <w:b w:val="false"/>
                <w:color w:val="000000"/>
                <w:sz w:val="20"/>
              </w:rPr>
              <w:br/>
              <w:t xml:space="preserve">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t>
            </w:r>
            <w:r>
              <w:rPr>
                <w:rFonts w:ascii="Arial;sans-serif" w:hAnsi="Arial;sans-serif"/>
                <w:b w:val="false"/>
                <w:color w:val="0000FF"/>
                <w:sz w:val="20"/>
                <w:u w:val="single"/>
              </w:rPr>
              <w:t>www.learnfoundationlaw.org</w:t>
            </w: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POLITICAL ACTIVITY AND ADVOCACY</w:t>
            </w:r>
            <w:r>
              <w:rPr>
                <w:rFonts w:ascii="Arial;sans-serif" w:hAnsi="Arial;sans-serif"/>
                <w:b w:val="false"/>
                <w:color w:val="000000"/>
                <w:sz w:val="20"/>
              </w:rPr>
              <w:br/>
              <w:t xml:space="preserve">You may not use Grant Funds to influence the outcome of any election for public office or to carry on any voter registration drive. You may not use Grant Funds to support lobbying activity or to otherwise support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 </w:t>
            </w:r>
          </w:p>
        </w:tc>
      </w:tr>
    </w:tbl>
    <w:tbl>
      <w:tblPr>
        <w:tblW w:w="840" w:type="dxa"/>
        <w:jc w:val="left"/>
        <w:tblInd w:w="0" w:type="dxa"/>
        <w:tblLayout w:type="fixed"/>
        <w:tblCellMar>
          <w:top w:w="28" w:type="dxa"/>
          <w:left w:w="28" w:type="dxa"/>
          <w:bottom w:w="28" w:type="dxa"/>
          <w:right w:w="28" w:type="dxa"/>
        </w:tblCellMar>
      </w:tblPr>
      <w:tblGrid>
        <w:gridCol w:w="269"/>
        <w:gridCol w:w="236"/>
        <w:gridCol w:w="335"/>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OTHER</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PUBLICITY</w:t>
            </w:r>
            <w:r>
              <w:rPr>
                <w:rFonts w:ascii="Arial;sans-serif" w:hAnsi="Arial;sans-serif"/>
                <w:b w:val="false"/>
                <w:color w:val="000000"/>
                <w:sz w:val="20"/>
              </w:rPr>
              <w:br/>
              <w:t>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t>
            </w:r>
            <w:r>
              <w:rPr>
                <w:rFonts w:ascii="Arial;sans-serif" w:hAnsi="Arial;sans-serif"/>
                <w:b w:val="false"/>
                <w:color w:val="0000FF"/>
                <w:sz w:val="20"/>
                <w:u w:val="single"/>
                <w:shd w:fill="FFFFFF" w:val="clear"/>
              </w:rPr>
              <w:t>www.gatesfoundation.org/brandguidelines</w:t>
            </w:r>
            <w:r>
              <w:rPr>
                <w:rFonts w:ascii="Arial;sans-serif" w:hAnsi="Arial;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LEGAL ENTITY AND AUTHORITY </w:t>
            </w:r>
            <w:r>
              <w:rPr>
                <w:rFonts w:ascii="Arial;sans-serif" w:hAnsi="Arial;sans-serif"/>
                <w:b w:val="false"/>
                <w:color w:val="000000"/>
                <w:sz w:val="20"/>
              </w:rPr>
              <w:br/>
              <w:t>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w:t>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0"/>
              </w:rPr>
              <w:t>COMPLIANCE WITH LAWS</w:t>
            </w:r>
            <w:r>
              <w:rPr>
                <w:rFonts w:ascii="Arial;sans-serif" w:hAnsi="Arial;sans-serif"/>
                <w:b w:val="false"/>
                <w:color w:val="000000"/>
                <w:sz w:val="20"/>
              </w:rPr>
              <w:br/>
              <w:t>In carrying out the Project, You will comply with all applicable laws, regulations, and rules and will not infringe, misappropriate, or violate the intellectual property, privacy, or publicity rights of any third party.</w:t>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COMPLIANCE WITH REQUIREMENTS</w:t>
            </w:r>
            <w:r>
              <w:rPr>
                <w:rFonts w:ascii="Arial;sans-serif" w:hAnsi="Arial;sans-serif"/>
                <w:b w:val="false"/>
                <w:color w:val="000000"/>
                <w:sz w:val="20"/>
              </w:rPr>
              <w:br/>
              <w:t>You will conduct, control, manage, and monitor the Project in compliance with all applicable ethical, legal, regulatory, and safety requirements, including applicable international, national, local, and institutional standards ("</w:t>
            </w:r>
            <w:r>
              <w:rPr>
                <w:rFonts w:ascii="Arial;sans-serif" w:hAnsi="Arial;sans-serif"/>
                <w:b w:val="false"/>
                <w:i/>
                <w:color w:val="000000"/>
                <w:sz w:val="20"/>
              </w:rPr>
              <w:t>Requirements</w:t>
            </w:r>
            <w:r>
              <w:rPr>
                <w:rFonts w:ascii="Arial;sans-serif" w:hAnsi="Arial;sans-serif"/>
                <w:b w:val="false"/>
                <w:color w:val="000000"/>
                <w:sz w:val="20"/>
              </w:rPr>
              <w:t>"). You will obtain and maintain all necessary approvals, consents, and reviews before conducting the applicable activity. As a part of Your annual progress report to the Foundation, You must report whether the Project activities were conducted in compliance with all Requirements.</w:t>
              <w:br/>
              <w:br/>
              <w:t>If the Project involves:</w:t>
              <w:br/>
              <w:t>a. any protected information (including personally identifiable, protected health, or third-party confidential), You will not disclose this information to the Foundation without obtaining the Foundation's prior written approval and all necessary consents to disclose such information;</w:t>
              <w:br/>
              <w:t>b. children or vulnerable subjects, You will obtain any necessary consents and approvals unique to these subjects; and/or</w:t>
              <w:br/>
              <w:t>c. any trial involving human subjects, You will adhere to current Good Clinical Practice as defined by the International Council on Harmonisation (ICH) E-6 Standards (or local regulations if more stringent) and will obtain applicable trial insurance.</w:t>
              <w:br/>
              <w:br/>
              <w:t>Any activities by the Foundation in reviewing documents and providing input or funding does not modify Your responsibility for determining and complying with all Requirements for the Project.</w:t>
            </w:r>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RELIANCE</w:t>
            </w:r>
            <w:r>
              <w:rPr>
                <w:rFonts w:ascii="Arial;sans-serif" w:hAnsi="Arial;sans-serif"/>
                <w:b w:val="false"/>
                <w:color w:val="000000"/>
                <w:sz w:val="20"/>
              </w:rPr>
              <w:br/>
              <w:t>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INDEMNIFICATION</w:t>
            </w:r>
            <w:r>
              <w:rPr>
                <w:rFonts w:ascii="Arial;sans-serif" w:hAnsi="Arial;sans-serif"/>
                <w:b w:val="false"/>
                <w:color w:val="000000"/>
                <w:sz w:val="20"/>
              </w:rPr>
              <w:br/>
              <w:t>If the Project involves clinical trials, trials involving human subjects, post-approval studies, field trials involving genetically modified organisms, experimental medicine, or the provision of medical/health services ("</w:t>
            </w:r>
            <w:r>
              <w:rPr>
                <w:rFonts w:ascii="Arial;sans-serif" w:hAnsi="Arial;sans-serif"/>
                <w:b w:val="false"/>
                <w:i/>
                <w:color w:val="000000"/>
                <w:sz w:val="20"/>
              </w:rPr>
              <w:t>Indemnified Activities</w:t>
            </w:r>
            <w:r>
              <w:rPr>
                <w:rFonts w:ascii="Arial;sans-serif" w:hAnsi="Arial;sans-serif"/>
                <w:b w:val="false"/>
                <w:color w:val="000000"/>
                <w:sz w:val="20"/>
              </w:rPr>
              <w:t>"), You will indemnify, defend, and hold harmless the Foundation and its trustees, employees, and agents ("</w:t>
            </w:r>
            <w:r>
              <w:rPr>
                <w:rFonts w:ascii="Arial;sans-serif" w:hAnsi="Arial;sans-serif"/>
                <w:b w:val="false"/>
                <w:i/>
                <w:color w:val="000000"/>
                <w:sz w:val="20"/>
              </w:rPr>
              <w:t>Indemnified Parties</w:t>
            </w:r>
            <w:r>
              <w:rPr>
                <w:rFonts w:ascii="Arial;sans-serif" w:hAnsi="Arial;sans-serif"/>
                <w:b w:val="false"/>
                <w:color w:val="000000"/>
                <w:sz w:val="20"/>
              </w:rPr>
              <w:t>") from and against any and all demands, claims, actions, suits, losses, damages (including property damage, bodily injury, and wrongful death), arbitration and legal proceedings, judgments, settlements, or costs or expenses (including reasonable attorneys' fees and expenses) (collectively, "</w:t>
            </w:r>
            <w:r>
              <w:rPr>
                <w:rFonts w:ascii="Arial;sans-serif" w:hAnsi="Arial;sans-serif"/>
                <w:b w:val="false"/>
                <w:i/>
                <w:color w:val="000000"/>
                <w:sz w:val="20"/>
              </w:rPr>
              <w:t>Claims</w:t>
            </w:r>
            <w:r>
              <w:rPr>
                <w:rFonts w:ascii="Arial;sans-serif" w:hAnsi="Arial;sans-serif"/>
                <w:b w:val="false"/>
                <w:color w:val="000000"/>
                <w:sz w:val="20"/>
              </w:rPr>
              <w:t>") arising out of or relating to the acts or omissions, actual or alleged, of You or Your employees, subgrantees, subcontractors, contingent workers, agents, and affiliates with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INSURANCE</w:t>
            </w:r>
            <w:r>
              <w:rPr>
                <w:rFonts w:ascii="Arial;sans-serif" w:hAnsi="Arial;sans-serif"/>
                <w:b w:val="false"/>
                <w:color w:val="000000"/>
                <w:sz w:val="20"/>
              </w:rPr>
              <w:br/>
              <w:t>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w:t>
            </w:r>
          </w:p>
        </w:tc>
      </w:tr>
    </w:tbl>
    <w:tbl>
      <w:tblPr>
        <w:tblW w:w="2595" w:type="dxa"/>
        <w:jc w:val="left"/>
        <w:tblInd w:w="0" w:type="dxa"/>
        <w:tblLayout w:type="fixed"/>
        <w:tblCellMar>
          <w:top w:w="28" w:type="dxa"/>
          <w:left w:w="28" w:type="dxa"/>
          <w:bottom w:w="28" w:type="dxa"/>
          <w:right w:w="28" w:type="dxa"/>
        </w:tblCellMar>
      </w:tblPr>
      <w:tblGrid>
        <w:gridCol w:w="831"/>
        <w:gridCol w:w="730"/>
        <w:gridCol w:w="103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TERM AND TERMINATION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TERM</w:t>
            </w:r>
            <w:r>
              <w:rPr>
                <w:rFonts w:ascii="Arial;sans-serif" w:hAnsi="Arial;sans-serif"/>
                <w:b w:val="false"/>
                <w:color w:val="000000"/>
                <w:sz w:val="20"/>
              </w:rPr>
              <w:br/>
              <w:t>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w:t>
            </w:r>
          </w:p>
        </w:tc>
      </w:tr>
    </w:tbl>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TERMINATION</w:t>
            </w:r>
            <w:r>
              <w:rPr>
                <w:rFonts w:ascii="Arial;sans-serif" w:hAnsi="Arial;sans-serif"/>
                <w:b w:val="false"/>
                <w:color w:val="000000"/>
                <w:sz w:val="20"/>
              </w:rPr>
              <w:br/>
              <w:t>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w:t>
            </w:r>
          </w:p>
        </w:tc>
      </w:tr>
    </w:tbl>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RETURN OF FUNDS</w:t>
            </w:r>
            <w:r>
              <w:rPr>
                <w:rFonts w:ascii="Arial;sans-serif" w:hAnsi="Arial;sans-serif"/>
                <w:b w:val="false"/>
                <w:color w:val="000000"/>
                <w:sz w:val="20"/>
              </w:rPr>
              <w:br/>
              <w:t xml:space="preserve">Any Grant Funds, plus any Income, that have not been used for, or committed to, the Project upon expiration or termination of this Agreement, must be returned promptly to the Foundation.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 of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8"/>
        <w:gridCol w:w="2870"/>
        <w:gridCol w:w="4067"/>
      </w:tblGrid>
      <w:tr>
        <w:trPr/>
        <w:tc>
          <w:tcPr>
            <w:tcW w:w="326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MONITORING, REVIEW, AND AUDIT</w:t>
            </w:r>
            <w:r>
              <w:rPr>
                <w:rFonts w:ascii="Arial;sans-serif" w:hAnsi="Arial;sans-serif"/>
                <w:b w:val="false"/>
                <w:color w:val="000000"/>
                <w:sz w:val="20"/>
              </w:rPr>
              <w:br/>
              <w:t>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INTERNAL OR THIRD PARTY AUDIT</w:t>
            </w:r>
            <w:r>
              <w:rPr>
                <w:rFonts w:ascii="Arial;sans-serif" w:hAnsi="Arial;sans-serif"/>
                <w:b w:val="false"/>
                <w:color w:val="000000"/>
                <w:sz w:val="20"/>
              </w:rPr>
              <w:br/>
              <w:t>If during the term of this Agreement You are audited by your internal audit department or by a third party, You will provide the audit report to the Foundation upon request, including the management letter and a detailed plan for remedying any deficiencies observed ("</w:t>
            </w:r>
            <w:r>
              <w:rPr>
                <w:rFonts w:ascii="Arial;sans-serif" w:hAnsi="Arial;sans-serif"/>
                <w:b w:val="false"/>
                <w:i/>
                <w:color w:val="000000"/>
                <w:sz w:val="20"/>
              </w:rPr>
              <w:t>Remediation Plan</w:t>
            </w:r>
            <w:r>
              <w:rPr>
                <w:rFonts w:ascii="Arial;sans-serif" w:hAnsi="Arial;sans-serif"/>
                <w:b w:val="false"/>
                <w:color w:val="000000"/>
                <w:sz w:val="20"/>
              </w:rPr>
              <w:t>"). The Remediation Plan must include (a) details of actions You will take to correct any deficiencies observed, and (b) target dates for successful completion of the actions to correct the deficiencies.</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RECORD KEEPING </w:t>
            </w:r>
            <w:r>
              <w:rPr>
                <w:rFonts w:ascii="Arial;sans-serif" w:hAnsi="Arial;sans-serif"/>
                <w:b w:val="false"/>
                <w:color w:val="000000"/>
                <w:sz w:val="20"/>
              </w:rPr>
              <w:br/>
              <w:t>You will maintain complete and accurate accounting records and copies of any reports submitted to the Foundation relating to the Project. You will retain such records and reports for 4 years after Grant Funds have been fully spent. At the Foundation's request, You will make such records and reports available to enable the Foundation to monitor and evaluate how Grant Funds have been used or committed.</w:t>
            </w:r>
          </w:p>
        </w:tc>
      </w:tr>
    </w:tbl>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SURVIVAL</w:t>
            </w:r>
            <w:r>
              <w:rPr>
                <w:rFonts w:ascii="Arial;sans-serif" w:hAnsi="Arial;sans-serif"/>
                <w:b w:val="false"/>
                <w:color w:val="000000"/>
                <w:sz w:val="20"/>
              </w:rPr>
              <w:br/>
              <w:t>A Party's obligations under this Agreement will be continuous and survive expiration or termination of this Agreement as expressly provided in this Agreement or otherwise required by law or intended by their nature.</w:t>
            </w:r>
          </w:p>
        </w:tc>
      </w:tr>
    </w:tbl>
    <w:tbl>
      <w:tblPr>
        <w:tblW w:w="1170" w:type="dxa"/>
        <w:jc w:val="left"/>
        <w:tblInd w:w="0" w:type="dxa"/>
        <w:tblLayout w:type="fixed"/>
        <w:tblCellMar>
          <w:top w:w="28" w:type="dxa"/>
          <w:left w:w="28" w:type="dxa"/>
          <w:bottom w:w="28" w:type="dxa"/>
          <w:right w:w="28" w:type="dxa"/>
        </w:tblCellMar>
      </w:tblPr>
      <w:tblGrid>
        <w:gridCol w:w="374"/>
        <w:gridCol w:w="329"/>
        <w:gridCol w:w="467"/>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C0C0C0" w:val="clear"/>
            <w:tcMar>
              <w:top w:w="0" w:type="dxa"/>
              <w:left w:w="0" w:type="dxa"/>
              <w:bottom w:w="0" w:type="dxa"/>
              <w:right w:w="0" w:type="dxa"/>
            </w:tcMar>
            <w:vAlign w:val="center"/>
          </w:tcPr>
          <w:p>
            <w:pPr>
              <w:pStyle w:val="TableContents"/>
              <w:bidi w:val="0"/>
              <w:spacing w:lineRule="auto" w:line="288" w:before="0" w:after="0"/>
              <w:ind w:left="0" w:right="0" w:hanging="76"/>
              <w:jc w:val="left"/>
              <w:rPr/>
            </w:pPr>
            <w:r>
              <w:rPr>
                <w:rFonts w:ascii="Arial;sans-serif" w:hAnsi="Arial;sans-serif"/>
                <w:b/>
                <w:color w:val="000000"/>
                <w:sz w:val="20"/>
              </w:rPr>
              <w:t>GENERAL</w:t>
            </w:r>
            <w:r>
              <w:rPr>
                <w:color w:val="000000"/>
              </w:rPr>
              <w:t xml:space="preserve"> </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68"/>
        <w:gridCol w:w="4069"/>
      </w:tblGrid>
      <w:tr>
        <w:trPr/>
        <w:tc>
          <w:tcPr>
            <w:tcW w:w="32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ENTIRE AGREEMENT, CONFLICTS, AND AMENDMENTS</w:t>
            </w:r>
            <w:r>
              <w:rPr>
                <w:rFonts w:ascii="Arial;sans-serif" w:hAnsi="Arial;sans-serif"/>
                <w:b w:val="false"/>
                <w:color w:val="000000"/>
                <w:sz w:val="20"/>
              </w:rPr>
              <w:br/>
              <w:t>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w:t>
            </w:r>
          </w:p>
        </w:tc>
      </w:tr>
    </w:tbl>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NOTICES AND APPROVALS</w:t>
            </w:r>
            <w:r>
              <w:rPr>
                <w:rFonts w:ascii="Arial;sans-serif" w:hAnsi="Arial;sans-serif"/>
                <w:b w:val="false"/>
                <w:color w:val="000000"/>
                <w:sz w:val="20"/>
              </w:rPr>
              <w:br/>
              <w:t>Written notices, requests, and approvals under this Agreement must be delivered by mail or email to the other Party's primary contact specified on the Agreement Summary &amp; Signature Page, or as otherwise directed by the other Party.</w:t>
            </w:r>
          </w:p>
        </w:tc>
      </w:tr>
    </w:tbl>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SEVERABILITY</w:t>
            </w:r>
            <w:r>
              <w:rPr>
                <w:rFonts w:ascii="Arial;sans-serif" w:hAnsi="Arial;sans-serif"/>
                <w:b w:val="false"/>
                <w:color w:val="000000"/>
                <w:sz w:val="20"/>
              </w:rPr>
              <w:br/>
              <w:t>Each provision of this Agreement must be interpreted in a way that is enforceable under applicable law. If any provision is held unenforceable, the rest of the Agreement will remain in effect.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 of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11"/>
        <w:gridCol w:w="2812"/>
        <w:gridCol w:w="3982"/>
      </w:tblGrid>
      <w:tr>
        <w:trPr/>
        <w:tc>
          <w:tcPr>
            <w:tcW w:w="3411"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ASSIGNMENT</w:t>
            </w:r>
            <w:r>
              <w:rPr>
                <w:rFonts w:ascii="Arial;sans-serif" w:hAnsi="Arial;sans-serif"/>
                <w:b w:val="false"/>
                <w:color w:val="000000"/>
                <w:sz w:val="20"/>
              </w:rPr>
              <w:br/>
              <w:t>You may not assign, or transfer by operation of law or court order, any of Your rights or obligations under this Agreement without the Foundation's prior written approval. This Agreement will bind and benefit any permitted successors and assigns.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COUNTERPARTS AND ELECTRONIC SIGNATURES</w:t>
            </w:r>
            <w:r>
              <w:rPr>
                <w:rFonts w:ascii="Arial;sans-serif" w:hAnsi="Arial;sans-serif"/>
                <w:b w:val="false"/>
                <w:color w:val="000000"/>
                <w:sz w:val="20"/>
              </w:rPr>
              <w:br/>
              <w:t>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AMENDMENT 1</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to</w:t>
        <w:br/>
        <w:t>GRANT AGREEMENT</w:t>
        <w:b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76"/>
        <w:gridCol w:w="602"/>
        <w:gridCol w:w="556"/>
        <w:gridCol w:w="2447"/>
        <w:gridCol w:w="2435"/>
        <w:gridCol w:w="3389"/>
      </w:tblGrid>
      <w:tr>
        <w:trPr/>
        <w:tc>
          <w:tcPr>
            <w:tcW w:w="77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AMENDMENT INFORMATION</w:t>
            </w:r>
          </w:p>
        </w:tc>
      </w:tr>
      <w:tr>
        <w:trPr/>
        <w:tc>
          <w:tcPr>
            <w:tcW w:w="19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Daré Bioscience, Inc., effective June 30, 2021, and bearing Investment ID INV-026060</w:t>
            </w:r>
          </w:p>
        </w:tc>
      </w:tr>
      <w:tr>
        <w:trPr/>
        <w:tc>
          <w:tcPr>
            <w:tcW w:w="19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Amendment Purpose:</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Reporting &amp; Payment Schedule Change</w:t>
            </w:r>
          </w:p>
        </w:tc>
      </w:tr>
      <w:tr>
        <w:trPr/>
        <w:tc>
          <w:tcPr>
            <w:tcW w:w="19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7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November 23, 2022</w:t>
            </w:r>
          </w:p>
        </w:tc>
      </w:tr>
      <w:tr>
        <w:trPr/>
        <w:tc>
          <w:tcPr>
            <w:tcW w:w="1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THIS AMENDMENT</w:t>
      </w:r>
      <w:r>
        <w:rPr>
          <w:color w:val="000000"/>
        </w:rPr>
        <w:t xml:space="preserve">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32" w:before="0" w:after="0"/>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0" w:after="0"/>
        <w:jc w:val="left"/>
        <w:rPr/>
      </w:pPr>
      <w:r>
        <w:rPr/>
      </w:r>
    </w:p>
    <w:tbl>
      <w:tblPr>
        <w:tblW w:w="10031" w:type="dxa"/>
        <w:jc w:val="left"/>
        <w:tblInd w:w="0" w:type="dxa"/>
        <w:tblLayout w:type="fixed"/>
        <w:tblCellMar>
          <w:top w:w="28" w:type="dxa"/>
          <w:left w:w="28" w:type="dxa"/>
          <w:bottom w:w="28" w:type="dxa"/>
          <w:right w:w="28" w:type="dxa"/>
        </w:tblCellMar>
      </w:tblPr>
      <w:tblGrid>
        <w:gridCol w:w="619"/>
        <w:gridCol w:w="544"/>
        <w:gridCol w:w="546"/>
        <w:gridCol w:w="1294"/>
        <w:gridCol w:w="1294"/>
        <w:gridCol w:w="1297"/>
        <w:gridCol w:w="249"/>
        <w:gridCol w:w="249"/>
        <w:gridCol w:w="251"/>
        <w:gridCol w:w="449"/>
        <w:gridCol w:w="449"/>
        <w:gridCol w:w="451"/>
        <w:gridCol w:w="280"/>
        <w:gridCol w:w="1856"/>
        <w:gridCol w:w="20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031" w:type="dxa"/>
            <w:gridSpan w:val="15"/>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Countersigned Grant Agreement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2021</w:t>
            </w:r>
          </w:p>
        </w:tc>
        <w:tc>
          <w:tcPr>
            <w:tcW w:w="280"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11,453,099.00 </w:t>
            </w:r>
          </w:p>
        </w:tc>
        <w:tc>
          <w:tcPr>
            <w:tcW w:w="203"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2022</w:t>
            </w:r>
          </w:p>
        </w:tc>
        <w:tc>
          <w:tcPr>
            <w:tcW w:w="280" w:type="dxa"/>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56" w:type="dxa"/>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7,960,608.00 </w:t>
            </w:r>
          </w:p>
        </w:tc>
        <w:tc>
          <w:tcPr>
            <w:tcW w:w="203" w:type="dxa"/>
            <w:vMerge w:val="restart"/>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80"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856" w:type="dxa"/>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203"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80"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856" w:type="dxa"/>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203"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80"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856" w:type="dxa"/>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203"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80"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856" w:type="dxa"/>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203"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80"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856" w:type="dxa"/>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203" w:type="dxa"/>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 of 9</w:t>
                      </w:r>
                    </w:p>
                  </w:txbxContent>
                </v:textbox>
                <w10:wrap type="none"/>
              </v:rect>
            </w:pict>
          </mc:Fallback>
        </mc:AlternateContent>
      </w:r>
    </w:p>
    <w:tbl>
      <w:tblPr>
        <w:tblW w:w="2063"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15060"/>
                <wp:effectExtent l="0" t="0" r="0" b="0"/>
                <wp:wrapNone/>
                <wp:docPr id="78" name="Frame77"/>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994" w:type="dxa"/>
                              <w:jc w:val="left"/>
                              <w:tblInd w:w="0" w:type="dxa"/>
                              <w:tblLayout w:type="fixed"/>
                              <w:tblCellMar>
                                <w:top w:w="28" w:type="dxa"/>
                                <w:left w:w="28" w:type="dxa"/>
                                <w:bottom w:w="28" w:type="dxa"/>
                                <w:right w:w="28" w:type="dxa"/>
                              </w:tblCellMar>
                            </w:tblPr>
                            <w:tblGrid>
                              <w:gridCol w:w="744"/>
                              <w:gridCol w:w="653"/>
                              <w:gridCol w:w="658"/>
                              <w:gridCol w:w="344"/>
                              <w:gridCol w:w="344"/>
                              <w:gridCol w:w="346"/>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 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994" w:type="dxa"/>
                        <w:jc w:val="left"/>
                        <w:tblInd w:w="0" w:type="dxa"/>
                        <w:tblLayout w:type="fixed"/>
                        <w:tblCellMar>
                          <w:top w:w="28" w:type="dxa"/>
                          <w:left w:w="28" w:type="dxa"/>
                          <w:bottom w:w="28" w:type="dxa"/>
                          <w:right w:w="28" w:type="dxa"/>
                        </w:tblCellMar>
                      </w:tblPr>
                      <w:tblGrid>
                        <w:gridCol w:w="744"/>
                        <w:gridCol w:w="653"/>
                        <w:gridCol w:w="658"/>
                        <w:gridCol w:w="344"/>
                        <w:gridCol w:w="344"/>
                        <w:gridCol w:w="346"/>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 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tbl>
      <w:tblPr>
        <w:tblW w:w="4930" w:type="dxa"/>
        <w:jc w:val="left"/>
        <w:tblInd w:w="0" w:type="dxa"/>
        <w:tblLayout w:type="fixed"/>
        <w:tblCellMar>
          <w:top w:w="28" w:type="dxa"/>
          <w:left w:w="28" w:type="dxa"/>
          <w:bottom w:w="28" w:type="dxa"/>
          <w:right w:w="28" w:type="dxa"/>
        </w:tblCellMar>
      </w:tblPr>
      <w:tblGrid>
        <w:gridCol w:w="171"/>
        <w:gridCol w:w="151"/>
        <w:gridCol w:w="151"/>
        <w:gridCol w:w="153"/>
        <w:gridCol w:w="153"/>
        <w:gridCol w:w="153"/>
        <w:gridCol w:w="153"/>
        <w:gridCol w:w="153"/>
        <w:gridCol w:w="153"/>
        <w:gridCol w:w="499"/>
        <w:gridCol w:w="499"/>
        <w:gridCol w:w="501"/>
        <w:gridCol w:w="260"/>
        <w:gridCol w:w="1591"/>
        <w:gridCol w:w="189"/>
      </w:tblGrid>
      <w:tr>
        <w:trPr/>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2022</w:t>
            </w:r>
          </w:p>
        </w:tc>
        <w:tc>
          <w:tcPr>
            <w:tcW w:w="260"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4,436,204.00 </w:t>
            </w:r>
          </w:p>
        </w:tc>
        <w:tc>
          <w:tcPr>
            <w:tcW w:w="189"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26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5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89"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260"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15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89"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Up to </w:t>
            </w:r>
          </w:p>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73"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2890" w:type="dxa"/>
            <w:gridSpan w:val="12"/>
            <w:tcBorders>
              <w:left w:val="single" w:sz="4" w:space="0" w:color="000000"/>
              <w:bottom w:val="single" w:sz="4" w:space="0" w:color="000000"/>
            </w:tcBorders>
            <w:shd w:fill="D9D9D9"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Amended Total Grant Amount</w:t>
            </w:r>
          </w:p>
        </w:tc>
        <w:tc>
          <w:tcPr>
            <w:tcW w:w="20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Up to $48,945,928.00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4695"/>
                <wp:effectExtent l="0" t="0" r="0" b="0"/>
                <wp:wrapNone/>
                <wp:docPr id="79" name="Frame78"/>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p>
                            <w:pPr>
                              <w:pStyle w:val="TextBody"/>
                              <w:bidi w:val="0"/>
                              <w:spacing w:before="0" w:after="0"/>
                              <w:jc w:val="left"/>
                              <w:rPr/>
                            </w:pPr>
                            <w:r>
                              <w:rPr/>
                            </w:r>
                            <w:r>
                              <w:br w:type="page"/>
                            </w:r>
                          </w:p>
                          <w:tbl>
                            <w:tblPr>
                              <w:tblW w:w="4694" w:type="dxa"/>
                              <w:jc w:val="left"/>
                              <w:tblInd w:w="0" w:type="dxa"/>
                              <w:tblLayout w:type="fixed"/>
                              <w:tblCellMar>
                                <w:top w:w="28" w:type="dxa"/>
                                <w:left w:w="28" w:type="dxa"/>
                                <w:bottom w:w="28" w:type="dxa"/>
                                <w:right w:w="28" w:type="dxa"/>
                              </w:tblCellMar>
                            </w:tblPr>
                            <w:tblGrid>
                              <w:gridCol w:w="744"/>
                              <w:gridCol w:w="653"/>
                              <w:gridCol w:w="658"/>
                              <w:gridCol w:w="309"/>
                              <w:gridCol w:w="309"/>
                              <w:gridCol w:w="311"/>
                              <w:gridCol w:w="501"/>
                              <w:gridCol w:w="501"/>
                              <w:gridCol w:w="70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Page 2 of 3</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Version: August 2022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694" w:type="dxa"/>
                        <w:jc w:val="left"/>
                        <w:tblInd w:w="0" w:type="dxa"/>
                        <w:tblLayout w:type="fixed"/>
                        <w:tblCellMar>
                          <w:top w:w="28" w:type="dxa"/>
                          <w:left w:w="28" w:type="dxa"/>
                          <w:bottom w:w="28" w:type="dxa"/>
                          <w:right w:w="28" w:type="dxa"/>
                        </w:tblCellMar>
                      </w:tblPr>
                      <w:tblGrid>
                        <w:gridCol w:w="744"/>
                        <w:gridCol w:w="653"/>
                        <w:gridCol w:w="658"/>
                        <w:gridCol w:w="309"/>
                        <w:gridCol w:w="309"/>
                        <w:gridCol w:w="311"/>
                        <w:gridCol w:w="501"/>
                        <w:gridCol w:w="501"/>
                        <w:gridCol w:w="70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Page 2 of 3</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Version: August 2022</w:t>
                            </w:r>
                          </w:p>
                        </w:tc>
                      </w:tr>
                    </w:tbl>
                    <w:p>
                      <w:pPr>
                        <w:pStyle w:val="TextBody"/>
                        <w:bidi w:val="0"/>
                        <w:spacing w:before="0" w:after="0"/>
                        <w:jc w:val="left"/>
                        <w:rPr/>
                      </w:pPr>
                      <w:r>
                        <w:rPr/>
                      </w:r>
                    </w:p>
                  </w:txbxContent>
                </v:textbox>
                <w10:wrap type="none"/>
              </v:rect>
            </w:pict>
          </mc:Fallback>
        </mc:AlternateContent>
      </w:r>
    </w:p>
    <w:p>
      <w:pPr>
        <w:pStyle w:val="TextBody"/>
        <w:bidi w:val="0"/>
        <w:spacing w:before="82" w:after="283"/>
        <w:jc w:val="left"/>
        <w:rPr/>
      </w:pPr>
      <w:r>
        <w:rPr/>
      </w:r>
    </w:p>
    <w:p>
      <w:pPr>
        <w:pStyle w:val="TextBody"/>
        <w:bidi w:val="0"/>
        <w:spacing w:lineRule="auto" w:line="288" w:before="82" w:after="283"/>
        <w:jc w:val="center"/>
        <w:rPr>
          <w:rFonts w:ascii="Arial;sans-serif" w:hAnsi="Arial;sans-serif"/>
          <w:b/>
          <w:color w:val="000000"/>
          <w:sz w:val="20"/>
        </w:rPr>
      </w:pPr>
      <w:r>
        <w:rPr>
          <w:rFonts w:ascii="Arial;sans-serif" w:hAnsi="Arial;sans-serif"/>
          <w:b/>
          <w:color w:val="000000"/>
          <w:sz w:val="20"/>
        </w:rPr>
        <w:t>AMENDMENT 2</w:t>
      </w:r>
    </w:p>
    <w:p>
      <w:pPr>
        <w:pStyle w:val="TextBody"/>
        <w:bidi w:val="0"/>
        <w:spacing w:lineRule="atLeast" w:line="229" w:before="1" w:after="283"/>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tLeast" w:line="229"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3" w:after="283"/>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228" w:after="283"/>
        <w:jc w:val="center"/>
        <w:rPr>
          <w:rFonts w:ascii="Arial;sans-serif" w:hAnsi="Arial;sans-serif"/>
          <w:b/>
          <w:color w:val="000000"/>
          <w:sz w:val="20"/>
          <w:u w:val="single"/>
        </w:rPr>
      </w:pPr>
      <w:r>
        <w:rPr>
          <w:rFonts w:ascii="Arial;sans-serif" w:hAnsi="Arial;sans-serif"/>
          <w:b/>
          <w:color w:val="000000"/>
          <w:sz w:val="20"/>
          <w:u w:val="single"/>
        </w:rPr>
        <w:t>AMENDMENT SUMMARY PAGE</w:t>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778"/>
        <w:gridCol w:w="605"/>
        <w:gridCol w:w="560"/>
        <w:gridCol w:w="2443"/>
        <w:gridCol w:w="2431"/>
        <w:gridCol w:w="3388"/>
      </w:tblGrid>
      <w:tr>
        <w:trPr/>
        <w:tc>
          <w:tcPr>
            <w:tcW w:w="7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w:t>
            </w:r>
          </w:p>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ID INV-026060</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9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0"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September 14, 2023</w:t>
            </w:r>
          </w:p>
        </w:tc>
      </w:tr>
    </w:tbl>
    <w:p>
      <w:pPr>
        <w:pStyle w:val="TextBody"/>
        <w:bidi w:val="0"/>
        <w:spacing w:lineRule="auto" w:line="288" w:before="228" w:after="283"/>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3" w:after="283"/>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10" w:after="1"/>
        <w:jc w:val="left"/>
        <w:rPr/>
      </w:pPr>
      <w:r>
        <w:rPr/>
      </w:r>
    </w:p>
    <w:tbl>
      <w:tblPr>
        <w:tblW w:w="10000" w:type="dxa"/>
        <w:jc w:val="left"/>
        <w:tblInd w:w="0" w:type="dxa"/>
        <w:tblLayout w:type="fixed"/>
        <w:tblCellMar>
          <w:top w:w="28" w:type="dxa"/>
          <w:left w:w="28" w:type="dxa"/>
          <w:bottom w:w="28" w:type="dxa"/>
          <w:right w:w="28" w:type="dxa"/>
        </w:tblCellMar>
      </w:tblPr>
      <w:tblGrid>
        <w:gridCol w:w="619"/>
        <w:gridCol w:w="544"/>
        <w:gridCol w:w="546"/>
        <w:gridCol w:w="1282"/>
        <w:gridCol w:w="1282"/>
        <w:gridCol w:w="1289"/>
        <w:gridCol w:w="250"/>
        <w:gridCol w:w="250"/>
        <w:gridCol w:w="250"/>
        <w:gridCol w:w="449"/>
        <w:gridCol w:w="449"/>
        <w:gridCol w:w="451"/>
        <w:gridCol w:w="685"/>
        <w:gridCol w:w="685"/>
        <w:gridCol w:w="969"/>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000"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ind w:left="0" w:right="0" w:firstLine="43"/>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12" w:after="283"/>
              <w:jc w:val="center"/>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ind w:left="0" w:right="0" w:hanging="449"/>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7"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7"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77"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2021</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77"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$11,453,099.00</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4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2022</w:t>
            </w:r>
          </w:p>
        </w:tc>
        <w:tc>
          <w:tcPr>
            <w:tcW w:w="2339"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4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$7,960,608.00</w:t>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3"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605" cy="14605"/>
                <wp:effectExtent l="0" t="0" r="0" b="0"/>
                <wp:wrapNone/>
                <wp:docPr id="80" name="Frame7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r>
                                    <w:br w:type="page"/>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427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404"/>
        <w:gridCol w:w="404"/>
        <w:gridCol w:w="5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6"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November 2022</w:t>
            </w:r>
          </w:p>
        </w:tc>
        <w:tc>
          <w:tcPr>
            <w:tcW w:w="138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63"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$4,436,204.00</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29" w:after="283"/>
              <w:jc w:val="left"/>
              <w:rPr/>
            </w:pPr>
            <w:r>
              <w:rPr/>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93" w:after="283"/>
              <w:jc w:val="left"/>
              <w:rPr/>
            </w:pPr>
            <w:r>
              <w:rPr/>
            </w:r>
          </w:p>
          <w:p>
            <w:pPr>
              <w:pStyle w:val="TableContents"/>
              <w:bidi w:val="0"/>
              <w:spacing w:lineRule="auto" w:line="288" w:before="0" w:after="0"/>
              <w:ind w:left="0" w:right="0" w:hanging="269"/>
              <w:jc w:val="left"/>
              <w:rPr>
                <w:rFonts w:ascii="Arial;sans-serif" w:hAnsi="Arial;sans-serif"/>
                <w:b w:val="false"/>
                <w:color w:val="000000"/>
                <w:sz w:val="20"/>
              </w:rPr>
            </w:pPr>
            <w:r>
              <w:rPr>
                <w:rFonts w:ascii="Arial;sans-serif" w:hAnsi="Arial;sans-serif"/>
                <w:b w:val="false"/>
                <w:color w:val="000000"/>
                <w:sz w:val="20"/>
              </w:rPr>
              <w:t>September 2023</w:t>
            </w:r>
          </w:p>
        </w:tc>
        <w:tc>
          <w:tcPr>
            <w:tcW w:w="138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208"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$4,500,000.00</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15060"/>
                <wp:effectExtent l="0" t="0" r="0" b="0"/>
                <wp:wrapNone/>
                <wp:docPr id="81" name="Frame80"/>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230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150"/>
        <w:gridCol w:w="150"/>
        <w:gridCol w:w="150"/>
        <w:gridCol w:w="145"/>
        <w:gridCol w:w="145"/>
        <w:gridCol w:w="20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6" w:after="283"/>
              <w:jc w:val="left"/>
              <w:rPr/>
            </w:pPr>
            <w:r>
              <w:rPr/>
            </w:r>
          </w:p>
          <w:p>
            <w:pPr>
              <w:pStyle w:val="TableContents"/>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15060"/>
                <wp:effectExtent l="0" t="0" r="0" b="0"/>
                <wp:wrapNone/>
                <wp:docPr id="82" name="Frame81"/>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tbl>
      <w:tblPr>
        <w:tblW w:w="230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150"/>
        <w:gridCol w:w="150"/>
        <w:gridCol w:w="150"/>
        <w:gridCol w:w="145"/>
        <w:gridCol w:w="145"/>
        <w:gridCol w:w="20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5"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8"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9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8" w:after="283"/>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49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bottom w:val="single" w:sz="4" w:space="0" w:color="000000"/>
              <w:right w:val="single" w:sz="4" w:space="0" w:color="000000"/>
            </w:tcBorders>
            <w:shd w:fill="BEBEBE"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15060"/>
                <wp:effectExtent l="0" t="0" r="0" b="0"/>
                <wp:wrapNone/>
                <wp:docPr id="83" name="Frame82"/>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7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435"/>
        <w:gridCol w:w="435"/>
        <w:gridCol w:w="6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91"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shd w:fill="BEBEBE"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91"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bottom w:val="single" w:sz="4" w:space="0" w:color="000000"/>
            </w:tcBorders>
            <w:shd w:fill="BEBEBE" w:val="clear"/>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BEBEBE" w:val="clear"/>
            <w:tcMar>
              <w:bottom w:w="0" w:type="dxa"/>
            </w:tcMar>
            <w:vAlign w:val="center"/>
          </w:tcPr>
          <w:p>
            <w:pPr>
              <w:pStyle w:val="TableContents"/>
              <w:bidi w:val="0"/>
              <w:spacing w:before="0" w:after="283"/>
              <w:jc w:val="left"/>
              <w:rPr>
                <w:sz w:val="4"/>
                <w:szCs w:val="4"/>
              </w:rPr>
            </w:pPr>
            <w:r>
              <w:rPr>
                <w:sz w:val="4"/>
                <w:szCs w:val="4"/>
              </w:rPr>
            </w:r>
          </w:p>
        </w:tc>
      </w:tr>
      <w:tr>
        <w:trPr/>
        <w:tc>
          <w:tcPr>
            <w:tcW w:w="2887" w:type="dxa"/>
            <w:gridSpan w:val="12"/>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15060"/>
                <wp:effectExtent l="0" t="0" r="0" b="0"/>
                <wp:wrapNone/>
                <wp:docPr id="84" name="Frame83"/>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5</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pPr>
      <w:r>
        <w:rPr>
          <w:rFonts w:ascii="Arial;sans-serif" w:hAnsi="Arial;sans-serif"/>
          <w:b/>
          <w:color w:val="000000"/>
          <w:sz w:val="20"/>
        </w:rPr>
        <w:t>AMENDMENT 3</w:t>
        <w:br/>
      </w:r>
      <w:r>
        <w:rPr>
          <w:rFonts w:ascii="Arial;sans-serif" w:hAnsi="Arial;sans-serif"/>
          <w:b w:val="false"/>
          <w:color w:val="000000"/>
          <w:sz w:val="20"/>
        </w:rPr>
        <w:t>to</w:t>
        <w:br/>
      </w:r>
      <w:r>
        <w:rPr>
          <w:rFonts w:ascii="Arial;sans-serif" w:hAnsi="Arial;sans-serif"/>
          <w:b/>
          <w:color w:val="000000"/>
          <w:sz w:val="20"/>
        </w:rPr>
        <w:t>GRANT AGREEMENT</w:t>
        <w:br/>
      </w:r>
      <w:r>
        <w:rPr>
          <w:rFonts w:ascii="Arial;sans-serif" w:hAnsi="Arial;sans-serif"/>
          <w:b w:val="false"/>
          <w:color w:val="000000"/>
          <w:sz w:val="20"/>
        </w:rP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62"/>
        <w:gridCol w:w="581"/>
        <w:gridCol w:w="531"/>
        <w:gridCol w:w="2468"/>
        <w:gridCol w:w="2455"/>
        <w:gridCol w:w="3408"/>
      </w:tblGrid>
      <w:tr>
        <w:trPr/>
        <w:tc>
          <w:tcPr>
            <w:tcW w:w="7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 ID INV-026060</w:t>
            </w:r>
          </w:p>
        </w:tc>
      </w:tr>
      <w:tr>
        <w:trPr/>
        <w:tc>
          <w:tcPr>
            <w:tcW w:w="1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3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1" w:before="0" w:after="0"/>
              <w:jc w:val="left"/>
              <w:rPr>
                <w:color w:val="000000"/>
              </w:rPr>
            </w:pPr>
            <w:r>
              <w:rPr>
                <w:color w:val="000000"/>
              </w:rPr>
              <w:t>“</w:t>
            </w:r>
            <w:r>
              <w:rPr>
                <w:rFonts w:ascii="Arial;sans-serif" w:hAnsi="Arial;sans-serif"/>
                <w:b w:val="false"/>
                <w:color w:val="000000"/>
                <w:sz w:val="20"/>
              </w:rPr>
              <w:t>Amendment Date”:</w:t>
            </w:r>
          </w:p>
        </w:tc>
        <w:tc>
          <w:tcPr>
            <w:tcW w:w="83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1" w:before="0" w:after="0"/>
              <w:jc w:val="left"/>
              <w:rPr>
                <w:rFonts w:ascii="Arial;sans-serif" w:hAnsi="Arial;sans-serif"/>
                <w:b w:val="false"/>
                <w:color w:val="000000"/>
                <w:sz w:val="20"/>
              </w:rPr>
            </w:pPr>
            <w:r>
              <w:rPr>
                <w:rFonts w:ascii="Arial;sans-serif" w:hAnsi="Arial;sans-serif"/>
                <w:b w:val="false"/>
                <w:color w:val="000000"/>
                <w:sz w:val="20"/>
              </w:rPr>
              <w:t>Date of this email</w:t>
            </w:r>
          </w:p>
        </w:tc>
      </w:tr>
    </w:tbl>
    <w:p>
      <w:pPr>
        <w:pStyle w:val="TextBody"/>
        <w:bidi w:val="0"/>
        <w:spacing w:lineRule="auto" w:line="288" w:before="200" w:after="200"/>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lineRule="auto" w:line="288" w:before="200" w:after="200"/>
        <w:jc w:val="left"/>
        <w:rPr/>
      </w:pPr>
      <w:r>
        <w:rPr>
          <w:rFonts w:ascii="Arial;sans-serif" w:hAnsi="Arial;sans-serif"/>
          <w:b/>
          <w:color w:val="000000"/>
          <w:sz w:val="20"/>
        </w:rPr>
        <w:t>REPORTING &amp; PAYMENT SCHEDULE</w:t>
        <w:br/>
      </w: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tbl>
      <w:tblPr>
        <w:tblW w:w="10205" w:type="dxa"/>
        <w:jc w:val="left"/>
        <w:tblInd w:w="0" w:type="dxa"/>
        <w:tblLayout w:type="fixed"/>
        <w:tblCellMar>
          <w:top w:w="28" w:type="dxa"/>
          <w:left w:w="28" w:type="dxa"/>
          <w:bottom w:w="28" w:type="dxa"/>
          <w:right w:w="28" w:type="dxa"/>
        </w:tblCellMar>
      </w:tblPr>
      <w:tblGrid>
        <w:gridCol w:w="614"/>
        <w:gridCol w:w="540"/>
        <w:gridCol w:w="542"/>
        <w:gridCol w:w="1271"/>
        <w:gridCol w:w="1266"/>
        <w:gridCol w:w="1269"/>
        <w:gridCol w:w="247"/>
        <w:gridCol w:w="247"/>
        <w:gridCol w:w="249"/>
        <w:gridCol w:w="448"/>
        <w:gridCol w:w="446"/>
        <w:gridCol w:w="448"/>
        <w:gridCol w:w="332"/>
        <w:gridCol w:w="2040"/>
        <w:gridCol w:w="24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6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1" w:after="283"/>
              <w:ind w:left="0" w:right="0" w:firstLine="45"/>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center"/>
              <w:rPr>
                <w:rFonts w:ascii="Arial;sans-serif" w:hAnsi="Arial;sans-serif"/>
                <w:b w:val="false"/>
                <w:i/>
                <w:color w:val="000000"/>
                <w:sz w:val="20"/>
              </w:rPr>
            </w:pPr>
            <w:r>
              <w:rPr>
                <w:rFonts w:ascii="Arial;sans-serif" w:hAnsi="Arial;sans-serif"/>
                <w:b w:val="false"/>
                <w:i/>
                <w:color w:val="000000"/>
                <w:sz w:val="20"/>
              </w:rPr>
              <w:t>Due By</w:t>
            </w:r>
          </w:p>
        </w:tc>
        <w:tc>
          <w:tcPr>
            <w:tcW w:w="1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4" w:after="283"/>
              <w:jc w:val="center"/>
              <w:rPr>
                <w:rFonts w:ascii="Arial;sans-serif" w:hAnsi="Arial;sans-serif"/>
                <w:b w:val="false"/>
                <w:i/>
                <w:color w:val="000000"/>
                <w:sz w:val="20"/>
              </w:rPr>
            </w:pPr>
            <w:r>
              <w:rPr>
                <w:rFonts w:ascii="Arial;sans-serif" w:hAnsi="Arial;sans-serif"/>
                <w:b w:val="false"/>
                <w:i/>
                <w:color w:val="000000"/>
                <w:sz w:val="20"/>
              </w:rPr>
              <w:t>Payment Date</w:t>
            </w:r>
          </w:p>
        </w:tc>
        <w:tc>
          <w:tcPr>
            <w:tcW w:w="2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1" w:after="283"/>
              <w:ind w:left="0" w:right="0" w:firstLine="295"/>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8" w:after="283"/>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4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8" w:after="283"/>
              <w:jc w:val="center"/>
              <w:rPr>
                <w:rFonts w:ascii="Arial;sans-serif" w:hAnsi="Arial;sans-serif"/>
                <w:b w:val="false"/>
                <w:color w:val="000000"/>
                <w:sz w:val="20"/>
              </w:rPr>
            </w:pPr>
            <w:r>
              <w:rPr>
                <w:rFonts w:ascii="Arial;sans-serif" w:hAnsi="Arial;sans-serif"/>
                <w:b w:val="false"/>
                <w:color w:val="000000"/>
                <w:sz w:val="20"/>
              </w:rPr>
              <w:t>July 2021</w:t>
            </w:r>
          </w:p>
        </w:tc>
        <w:tc>
          <w:tcPr>
            <w:tcW w:w="26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8" w:after="283"/>
              <w:jc w:val="right"/>
              <w:rPr>
                <w:rFonts w:ascii="Arial;sans-serif" w:hAnsi="Arial;sans-serif"/>
                <w:b w:val="false"/>
                <w:color w:val="000000"/>
                <w:sz w:val="20"/>
              </w:rPr>
            </w:pPr>
            <w:r>
              <w:rPr>
                <w:rFonts w:ascii="Arial;sans-serif" w:hAnsi="Arial;sans-serif"/>
                <w:b w:val="false"/>
                <w:color w:val="000000"/>
                <w:sz w:val="20"/>
              </w:rPr>
              <w:t>$11,453,099.00</w:t>
            </w:r>
          </w:p>
        </w:tc>
      </w:tr>
      <w:tr>
        <w:trPr/>
        <w:tc>
          <w:tcPr>
            <w:tcW w:w="1696"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restart"/>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2022</w:t>
            </w:r>
          </w:p>
        </w:tc>
        <w:tc>
          <w:tcPr>
            <w:tcW w:w="332"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7,960,608.00 </w:t>
            </w:r>
          </w:p>
        </w:tc>
        <w:tc>
          <w:tcPr>
            <w:tcW w:w="246"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3806" w:type="dxa"/>
            <w:gridSpan w:val="3"/>
            <w:tcBorders>
              <w:top w:val="single" w:sz="4" w:space="0" w:color="000000"/>
              <w:left w:val="single" w:sz="4" w:space="0" w:color="000000"/>
              <w:right w:val="single" w:sz="4" w:space="0" w:color="000000"/>
            </w:tcBorders>
            <w:tcMar>
              <w:top w:w="30" w:type="dxa"/>
              <w:left w:w="7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34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32"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4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6" w:type="dxa"/>
            <w:gridSpan w:val="3"/>
            <w:vMerge w:val="restart"/>
            <w:tcBorders>
              <w:left w:val="single" w:sz="4" w:space="0" w:color="000000"/>
            </w:tcBorders>
            <w:tcMar>
              <w:top w:w="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restart"/>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left"/>
              <w:rPr>
                <w:sz w:val="4"/>
                <w:szCs w:val="4"/>
              </w:rPr>
            </w:pPr>
            <w:r>
              <w:rPr>
                <w:sz w:val="4"/>
                <w:szCs w:val="4"/>
              </w:rPr>
            </w:r>
          </w:p>
        </w:tc>
        <w:tc>
          <w:tcPr>
            <w:tcW w:w="2618"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6" w:type="dxa"/>
            <w:gridSpan w:val="3"/>
            <w:vMerge w:val="continue"/>
            <w:tcBorders>
              <w:left w:val="single" w:sz="4" w:space="0" w:color="000000"/>
            </w:tcBorders>
            <w:tcMar>
              <w:top w:w="0" w:type="dxa"/>
              <w:left w:w="74"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342"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261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6" w:type="dxa"/>
            <w:gridSpan w:val="3"/>
            <w:vMerge w:val="continue"/>
            <w:tcBorders>
              <w:left w:val="single" w:sz="4" w:space="0" w:color="000000"/>
            </w:tcBorders>
            <w:tcMar>
              <w:top w:w="0" w:type="dxa"/>
              <w:left w:w="74" w:type="dxa"/>
              <w:bottom w:w="0" w:type="dxa"/>
              <w:right w:w="0" w:type="dxa"/>
            </w:tcMar>
            <w:vAlign w:val="center"/>
          </w:tcPr>
          <w:p>
            <w:pPr>
              <w:pStyle w:val="Normal"/>
              <w:bidi w:val="0"/>
              <w:jc w:val="left"/>
              <w:rPr/>
            </w:pPr>
            <w:r>
              <w:rPr/>
            </w:r>
          </w:p>
        </w:tc>
        <w:tc>
          <w:tcPr>
            <w:tcW w:w="38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342"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2618"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6"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2022</w:t>
            </w:r>
          </w:p>
        </w:tc>
        <w:tc>
          <w:tcPr>
            <w:tcW w:w="261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$4,436,204.00</w:t>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939800"/>
                <wp:effectExtent l="0" t="0" r="0" b="0"/>
                <wp:wrapNone/>
                <wp:docPr id="85" name="Frame84"/>
                <a:graphic xmlns:a="http://schemas.openxmlformats.org/drawingml/2006/main">
                  <a:graphicData uri="http://schemas.microsoft.com/office/word/2010/wordprocessingShape">
                    <wps:wsp>
                      <wps:cNvSpPr txBox="1"/>
                      <wps:spPr>
                        <a:xfrm>
                          <a:off x="0" y="0"/>
                          <a:ext cx="6480175" cy="939800"/>
                        </a:xfrm>
                        <a:prstGeom prst="rect"/>
                        <a:solidFill>
                          <a:srgbClr val="FFFFFF"/>
                        </a:solidFill>
                      </wps:spPr>
                      <wps:txb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r>
                                    <w:br w:type="page"/>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pt;mso-wrap-distance-left:0pt;mso-wrap-distance-right:0pt;mso-wrap-distance-top:0pt;mso-wrap-distance-bottom:0pt;margin-top:0pt;mso-position-vertical:top;mso-position-vertical-relative:text;margin-left:0pt;mso-position-horizontal:left;mso-position-horizontal-relative:text">
                <v:textbo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09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359"/>
        <w:gridCol w:w="359"/>
        <w:gridCol w:w="361"/>
        <w:gridCol w:w="211"/>
        <w:gridCol w:w="1291"/>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top w:val="single" w:sz="4" w:space="0" w:color="000000"/>
              <w:bottom w:val="single" w:sz="4" w:space="0" w:color="000000"/>
              <w:right w:val="single" w:sz="4" w:space="0" w:color="000000"/>
            </w:tcBorders>
            <w:shd w:fill="D9D9D9" w:val="clear"/>
            <w:tcMar>
              <w:left w:w="0" w:type="dxa"/>
            </w:tcMar>
            <w:vAlign w:val="center"/>
          </w:tcPr>
          <w:p>
            <w:pPr>
              <w:pStyle w:val="Normal"/>
              <w:bidi w:val="0"/>
              <w:jc w:val="left"/>
              <w:rPr/>
            </w:pPr>
            <w:r>
              <w:rPr/>
            </w:r>
          </w:p>
        </w:tc>
        <w:tc>
          <w:tcPr>
            <w:tcW w:w="107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September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2023</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Scheduled:</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April 2024</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07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7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0"/>
              <w:jc w:val="righ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15060"/>
                <wp:effectExtent l="0" t="0" r="0" b="0"/>
                <wp:wrapNone/>
                <wp:docPr id="86" name="Frame85"/>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31" w:type="dxa"/>
        <w:jc w:val="left"/>
        <w:tblInd w:w="0" w:type="dxa"/>
        <w:tblLayout w:type="fixed"/>
        <w:tblCellMar>
          <w:top w:w="28" w:type="dxa"/>
          <w:left w:w="28" w:type="dxa"/>
          <w:bottom w:w="28" w:type="dxa"/>
          <w:right w:w="28" w:type="dxa"/>
        </w:tblCellMar>
      </w:tblPr>
      <w:tblGrid>
        <w:gridCol w:w="268"/>
        <w:gridCol w:w="236"/>
        <w:gridCol w:w="236"/>
        <w:gridCol w:w="239"/>
        <w:gridCol w:w="239"/>
        <w:gridCol w:w="239"/>
        <w:gridCol w:w="239"/>
        <w:gridCol w:w="239"/>
        <w:gridCol w:w="239"/>
        <w:gridCol w:w="239"/>
        <w:gridCol w:w="239"/>
        <w:gridCol w:w="239"/>
        <w:gridCol w:w="597"/>
        <w:gridCol w:w="597"/>
        <w:gridCol w:w="846"/>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4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w:t>
            </w:r>
          </w:p>
        </w:tc>
      </w:tr>
      <w:tr>
        <w:trPr/>
        <w:tc>
          <w:tcPr>
            <w:tcW w:w="740"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114"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left"/>
              <w:rPr>
                <w:sz w:val="4"/>
                <w:szCs w:val="4"/>
              </w:rPr>
            </w:pPr>
            <w:r>
              <w:rPr>
                <w:sz w:val="4"/>
                <w:szCs w:val="4"/>
              </w:rPr>
            </w:r>
          </w:p>
        </w:tc>
        <w:tc>
          <w:tcPr>
            <w:tcW w:w="204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717"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114" w:after="283"/>
              <w:jc w:val="center"/>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restart"/>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left"/>
              <w:rPr>
                <w:sz w:val="4"/>
                <w:szCs w:val="4"/>
              </w:rPr>
            </w:pPr>
            <w:r>
              <w:rPr>
                <w:sz w:val="4"/>
                <w:szCs w:val="4"/>
              </w:rPr>
            </w:r>
          </w:p>
        </w:tc>
        <w:tc>
          <w:tcPr>
            <w:tcW w:w="2040"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717"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717"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8" w:before="0" w:after="0"/>
              <w:jc w:val="left"/>
              <w:rPr>
                <w:rFonts w:ascii="Arial;sans-serif" w:hAnsi="Arial;sans-serif"/>
                <w:b w:val="false"/>
                <w:color w:val="000000"/>
                <w:sz w:val="20"/>
              </w:rPr>
            </w:pPr>
            <w:r>
              <w:rPr>
                <w:rFonts w:ascii="Arial;sans-serif" w:hAnsi="Arial;sans-serif"/>
                <w:b w:val="false"/>
                <w:color w:val="000000"/>
                <w:sz w:val="20"/>
              </w:rPr>
              <w:t>[***]</w:t>
            </w:r>
          </w:p>
        </w:tc>
        <w:tc>
          <w:tcPr>
            <w:tcW w:w="717"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717"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2040"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2891" w:type="dxa"/>
            <w:gridSpan w:val="12"/>
            <w:tcBorders>
              <w:left w:val="single" w:sz="4" w:space="0" w:color="000000"/>
              <w:bottom w:val="single" w:sz="4" w:space="0" w:color="000000"/>
            </w:tcBorders>
            <w:shd w:fill="D9D9D9" w:val="clear"/>
            <w:tcMar>
              <w:top w:w="0" w:type="dxa"/>
              <w:bottom w:w="30" w:type="dxa"/>
              <w:right w:w="0" w:type="dxa"/>
            </w:tcMar>
            <w:vAlign w:val="center"/>
          </w:tcPr>
          <w:p>
            <w:pPr>
              <w:pStyle w:val="TableContents"/>
              <w:bidi w:val="0"/>
              <w:spacing w:lineRule="auto" w:line="288" w:before="112" w:after="283"/>
              <w:jc w:val="left"/>
              <w:rPr>
                <w:rFonts w:ascii="Arial;sans-serif" w:hAnsi="Arial;sans-serif"/>
                <w:b/>
                <w:color w:val="000000"/>
                <w:sz w:val="20"/>
              </w:rPr>
            </w:pPr>
            <w:r>
              <w:rPr>
                <w:rFonts w:ascii="Arial;sans-serif" w:hAnsi="Arial;sans-serif"/>
                <w:b/>
                <w:color w:val="000000"/>
                <w:sz w:val="20"/>
              </w:rPr>
              <w:t>Amended Total Grant Amount</w:t>
            </w:r>
          </w:p>
        </w:tc>
        <w:tc>
          <w:tcPr>
            <w:tcW w:w="2040"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tLeast" w:line="227" w:before="0" w:after="0"/>
              <w:jc w:val="right"/>
              <w:rPr>
                <w:rFonts w:ascii="Arial;sans-serif" w:hAnsi="Arial;sans-serif"/>
                <w:b/>
                <w:color w:val="000000"/>
                <w:sz w:val="20"/>
              </w:rPr>
            </w:pPr>
            <w:r>
              <w:rPr>
                <w:rFonts w:ascii="Arial;sans-serif" w:hAnsi="Arial;sans-serif"/>
                <w:b/>
                <w:color w:val="000000"/>
                <w:sz w:val="20"/>
              </w:rPr>
              <w:t>Up to $48,945,928.00</w:t>
            </w:r>
          </w:p>
        </w:tc>
      </w:tr>
    </w:tbl>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15060"/>
                <wp:effectExtent l="0" t="0" r="0" b="0"/>
                <wp:wrapNone/>
                <wp:docPr id="87" name="Frame86"/>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2" w:after="283"/>
        <w:jc w:val="center"/>
        <w:rPr>
          <w:rFonts w:ascii="Arial;sans-serif" w:hAnsi="Arial;sans-serif"/>
          <w:b/>
          <w:color w:val="000000"/>
          <w:sz w:val="20"/>
        </w:rPr>
      </w:pPr>
      <w:r>
        <w:rPr>
          <w:rFonts w:ascii="Arial;sans-serif" w:hAnsi="Arial;sans-serif"/>
          <w:b/>
          <w:color w:val="000000"/>
          <w:sz w:val="20"/>
        </w:rPr>
        <w:t>AMENDMENT 4</w:t>
      </w:r>
    </w:p>
    <w:p>
      <w:pPr>
        <w:pStyle w:val="TextBody"/>
        <w:bidi w:val="0"/>
        <w:spacing w:lineRule="atLeast" w:line="229" w:before="1" w:after="283"/>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tLeast" w:line="229"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3" w:after="283"/>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228" w:after="283"/>
        <w:jc w:val="center"/>
        <w:rPr>
          <w:rFonts w:ascii="Arial;sans-serif" w:hAnsi="Arial;sans-serif"/>
          <w:b/>
          <w:color w:val="000000"/>
          <w:sz w:val="20"/>
          <w:u w:val="single"/>
        </w:rPr>
      </w:pPr>
      <w:r>
        <w:rPr>
          <w:rFonts w:ascii="Arial;sans-serif" w:hAnsi="Arial;sans-serif"/>
          <w:b/>
          <w:color w:val="000000"/>
          <w:sz w:val="20"/>
          <w:u w:val="single"/>
        </w:rPr>
        <w:t>AMENDMENT SUMMARY PAGE</w:t>
      </w:r>
    </w:p>
    <w:p>
      <w:pPr>
        <w:pStyle w:val="TextBody"/>
        <w:bidi w:val="0"/>
        <w:spacing w:before="4" w:after="283"/>
        <w:jc w:val="left"/>
        <w:rPr/>
      </w:pPr>
      <w:r>
        <w:rPr/>
      </w:r>
    </w:p>
    <w:tbl>
      <w:tblPr>
        <w:tblW w:w="10205" w:type="dxa"/>
        <w:jc w:val="left"/>
        <w:tblInd w:w="0" w:type="dxa"/>
        <w:tblLayout w:type="fixed"/>
        <w:tblCellMar>
          <w:top w:w="28" w:type="dxa"/>
          <w:left w:w="28" w:type="dxa"/>
          <w:bottom w:w="28" w:type="dxa"/>
          <w:right w:w="28" w:type="dxa"/>
        </w:tblCellMar>
      </w:tblPr>
      <w:tblGrid>
        <w:gridCol w:w="778"/>
        <w:gridCol w:w="605"/>
        <w:gridCol w:w="560"/>
        <w:gridCol w:w="2443"/>
        <w:gridCol w:w="2431"/>
        <w:gridCol w:w="3388"/>
      </w:tblGrid>
      <w:tr>
        <w:trPr/>
        <w:tc>
          <w:tcPr>
            <w:tcW w:w="77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27"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 agreement between the Bill &amp; Melinda Gates Foundation and Dare Bioscience, Inc., effective June 30, 2021, as amended, and bearing Investment</w:t>
            </w:r>
          </w:p>
          <w:p>
            <w:pPr>
              <w:pStyle w:val="TableContents"/>
              <w:bidi w:val="0"/>
              <w:spacing w:lineRule="atLeast" w:line="209" w:before="0" w:after="0"/>
              <w:jc w:val="left"/>
              <w:rPr>
                <w:rFonts w:ascii="Arial;sans-serif" w:hAnsi="Arial;sans-serif"/>
                <w:b w:val="false"/>
                <w:color w:val="000000"/>
                <w:sz w:val="20"/>
              </w:rPr>
            </w:pPr>
            <w:r>
              <w:rPr>
                <w:rFonts w:ascii="Arial;sans-serif" w:hAnsi="Arial;sans-serif"/>
                <w:b w:val="false"/>
                <w:color w:val="000000"/>
                <w:sz w:val="20"/>
              </w:rPr>
              <w:t>ID INV-026060</w:t>
            </w:r>
          </w:p>
        </w:tc>
      </w:tr>
      <w:tr>
        <w:trPr/>
        <w:tc>
          <w:tcPr>
            <w:tcW w:w="19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26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9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1"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26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1" w:before="0" w:after="0"/>
              <w:jc w:val="left"/>
              <w:rPr>
                <w:rFonts w:ascii="Arial;sans-serif" w:hAnsi="Arial;sans-serif"/>
                <w:b w:val="false"/>
                <w:color w:val="000000"/>
                <w:sz w:val="20"/>
              </w:rPr>
            </w:pPr>
            <w:r>
              <w:rPr>
                <w:rFonts w:ascii="Arial;sans-serif" w:hAnsi="Arial;sans-serif"/>
                <w:b w:val="false"/>
                <w:color w:val="000000"/>
                <w:sz w:val="20"/>
              </w:rPr>
              <w:t>Date of this email</w:t>
            </w:r>
          </w:p>
        </w:tc>
      </w:tr>
    </w:tbl>
    <w:p>
      <w:pPr>
        <w:pStyle w:val="TextBody"/>
        <w:bidi w:val="0"/>
        <w:spacing w:lineRule="auto" w:line="288" w:before="228" w:after="283"/>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3" w:after="283"/>
        <w:jc w:val="both"/>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10" w:after="1"/>
        <w:jc w:val="left"/>
        <w:rPr/>
      </w:pPr>
      <w:r>
        <w:rPr/>
      </w:r>
    </w:p>
    <w:tbl>
      <w:tblPr>
        <w:tblW w:w="10205" w:type="dxa"/>
        <w:jc w:val="left"/>
        <w:tblInd w:w="0" w:type="dxa"/>
        <w:tblLayout w:type="fixed"/>
        <w:tblCellMar>
          <w:top w:w="28" w:type="dxa"/>
          <w:left w:w="28" w:type="dxa"/>
          <w:bottom w:w="28" w:type="dxa"/>
          <w:right w:w="28" w:type="dxa"/>
        </w:tblCellMar>
      </w:tblPr>
      <w:tblGrid>
        <w:gridCol w:w="612"/>
        <w:gridCol w:w="538"/>
        <w:gridCol w:w="540"/>
        <w:gridCol w:w="1265"/>
        <w:gridCol w:w="1234"/>
        <w:gridCol w:w="1234"/>
        <w:gridCol w:w="246"/>
        <w:gridCol w:w="246"/>
        <w:gridCol w:w="247"/>
        <w:gridCol w:w="483"/>
        <w:gridCol w:w="481"/>
        <w:gridCol w:w="484"/>
        <w:gridCol w:w="329"/>
        <w:gridCol w:w="2020"/>
        <w:gridCol w:w="246"/>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6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43" w:after="283"/>
              <w:jc w:val="left"/>
              <w:rPr>
                <w:rFonts w:ascii="Arial;sans-serif" w:hAnsi="Arial;sans-serif"/>
                <w:b w:val="false"/>
                <w:i/>
                <w:color w:val="000000"/>
                <w:sz w:val="19"/>
              </w:rPr>
            </w:pPr>
            <w:r>
              <w:rPr>
                <w:rFonts w:ascii="Arial;sans-serif" w:hAnsi="Arial;sans-serif"/>
                <w:b w:val="false"/>
                <w:i/>
                <w:color w:val="000000"/>
                <w:sz w:val="19"/>
              </w:rPr>
              <w:t>Investment Period</w:t>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5" w:after="283"/>
              <w:ind w:left="0" w:right="0" w:hanging="836"/>
              <w:jc w:val="left"/>
              <w:rPr>
                <w:rFonts w:ascii="Arial;sans-serif" w:hAnsi="Arial;sans-serif"/>
                <w:b w:val="false"/>
                <w:i/>
                <w:color w:val="000000"/>
                <w:sz w:val="19"/>
              </w:rPr>
            </w:pPr>
            <w:r>
              <w:rPr>
                <w:rFonts w:ascii="Arial;sans-serif" w:hAnsi="Arial;sans-serif"/>
                <w:b w:val="false"/>
                <w:i/>
                <w:color w:val="000000"/>
                <w:sz w:val="19"/>
              </w:rPr>
              <w:t>Target, Milestone, or Reporting Deliverable</w:t>
            </w:r>
          </w:p>
        </w:tc>
        <w:tc>
          <w:tcPr>
            <w:tcW w:w="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43" w:after="283"/>
              <w:jc w:val="center"/>
              <w:rPr>
                <w:rFonts w:ascii="Arial;sans-serif" w:hAnsi="Arial;sans-serif"/>
                <w:b w:val="false"/>
                <w:i/>
                <w:color w:val="000000"/>
                <w:sz w:val="19"/>
              </w:rPr>
            </w:pPr>
            <w:r>
              <w:rPr>
                <w:rFonts w:ascii="Arial;sans-serif" w:hAnsi="Arial;sans-serif"/>
                <w:b w:val="false"/>
                <w:i/>
                <w:color w:val="000000"/>
                <w:sz w:val="19"/>
              </w:rPr>
              <w:t>Due By</w:t>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5" w:after="283"/>
              <w:ind w:left="0" w:right="0" w:hanging="176"/>
              <w:jc w:val="left"/>
              <w:rPr>
                <w:rFonts w:ascii="Arial;sans-serif" w:hAnsi="Arial;sans-serif"/>
                <w:b w:val="false"/>
                <w:i/>
                <w:color w:val="000000"/>
                <w:sz w:val="19"/>
              </w:rPr>
            </w:pPr>
            <w:r>
              <w:rPr>
                <w:rFonts w:ascii="Arial;sans-serif" w:hAnsi="Arial;sans-serif"/>
                <w:b w:val="false"/>
                <w:i/>
                <w:color w:val="000000"/>
                <w:sz w:val="19"/>
              </w:rPr>
              <w:t>Payment Date</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5" w:after="283"/>
              <w:ind w:left="0" w:right="0" w:firstLine="280"/>
              <w:jc w:val="left"/>
              <w:rPr>
                <w:rFonts w:ascii="Arial;sans-serif" w:hAnsi="Arial;sans-serif"/>
                <w:b w:val="false"/>
                <w:i/>
                <w:color w:val="000000"/>
                <w:sz w:val="19"/>
              </w:rPr>
            </w:pPr>
            <w:r>
              <w:rPr>
                <w:rFonts w:ascii="Arial;sans-serif" w:hAnsi="Arial;sans-serif"/>
                <w:b w:val="false"/>
                <w:i/>
                <w:color w:val="000000"/>
                <w:sz w:val="19"/>
              </w:rPr>
              <w:t>Payment Amount (U.S.$)</w:t>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2" w:after="283"/>
              <w:jc w:val="left"/>
              <w:rPr>
                <w:rFonts w:ascii="Arial;sans-serif" w:hAnsi="Arial;sans-serif"/>
                <w:b w:val="false"/>
                <w:color w:val="000000"/>
                <w:sz w:val="19"/>
              </w:rPr>
            </w:pPr>
            <w:r>
              <w:rPr>
                <w:rFonts w:ascii="Arial;sans-serif" w:hAnsi="Arial;sans-serif"/>
                <w:b w:val="false"/>
                <w:color w:val="000000"/>
                <w:sz w:val="19"/>
              </w:rPr>
              <w:t>Countersigned Agreement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2" w:after="283"/>
              <w:jc w:val="left"/>
              <w:rPr>
                <w:rFonts w:ascii="Arial;sans-serif" w:hAnsi="Arial;sans-serif"/>
                <w:b w:val="false"/>
                <w:color w:val="000000"/>
                <w:sz w:val="19"/>
              </w:rPr>
            </w:pPr>
            <w:r>
              <w:rPr>
                <w:rFonts w:ascii="Arial;sans-serif" w:hAnsi="Arial;sans-serif"/>
                <w:b w:val="false"/>
                <w:color w:val="000000"/>
                <w:sz w:val="19"/>
              </w:rPr>
              <w:t>July 2021</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2" w:after="283"/>
              <w:jc w:val="right"/>
              <w:rPr>
                <w:rFonts w:ascii="Arial;sans-serif" w:hAnsi="Arial;sans-serif"/>
                <w:b w:val="false"/>
                <w:color w:val="000000"/>
                <w:sz w:val="19"/>
              </w:rPr>
            </w:pPr>
            <w:r>
              <w:rPr>
                <w:rFonts w:ascii="Arial;sans-serif" w:hAnsi="Arial;sans-serif"/>
                <w:b w:val="false"/>
                <w:color w:val="000000"/>
                <w:sz w:val="19"/>
              </w:rPr>
              <w:t>$11,453,099.00</w:t>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restart"/>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sz w:val="4"/>
                <w:szCs w:val="4"/>
              </w:rPr>
            </w:pPr>
            <w:r>
              <w:rPr>
                <w:sz w:val="4"/>
                <w:szCs w:val="4"/>
              </w:rPr>
            </w:r>
          </w:p>
        </w:tc>
        <w:tc>
          <w:tcPr>
            <w:tcW w:w="1448"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July 2022</w:t>
            </w:r>
          </w:p>
        </w:tc>
        <w:tc>
          <w:tcPr>
            <w:tcW w:w="329"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020"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7,960,608.00 </w:t>
            </w:r>
          </w:p>
        </w:tc>
        <w:tc>
          <w:tcPr>
            <w:tcW w:w="246"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bottom w:val="single" w:sz="4" w:space="0" w:color="000000"/>
              <w:right w:val="single" w:sz="4" w:space="0" w:color="000000"/>
            </w:tcBorders>
            <w:shd w:fill="D9D9D9" w:val="clear"/>
            <w:tcMar>
              <w:top w:w="0" w:type="dxa"/>
              <w:left w:w="0" w:type="dxa"/>
            </w:tcMar>
            <w:vAlign w:val="center"/>
          </w:tcPr>
          <w:p>
            <w:pPr>
              <w:pStyle w:val="Normal"/>
              <w:bidi w:val="0"/>
              <w:jc w:val="left"/>
              <w:rPr/>
            </w:pPr>
            <w:r>
              <w:rPr/>
            </w:r>
          </w:p>
        </w:tc>
        <w:tc>
          <w:tcPr>
            <w:tcW w:w="144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9"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020"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46"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1690" w:type="dxa"/>
            <w:gridSpan w:val="3"/>
            <w:vMerge w:val="restart"/>
            <w:tcBorders>
              <w:left w:val="single" w:sz="4" w:space="0" w:color="000000"/>
            </w:tcBorders>
            <w:tcMar>
              <w:top w:w="0" w:type="dxa"/>
              <w:left w:w="7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restart"/>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448" w:type="dxa"/>
            <w:gridSpan w:val="3"/>
            <w:vMerge w:val="restart"/>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left"/>
              <w:rPr>
                <w:sz w:val="4"/>
                <w:szCs w:val="4"/>
              </w:rPr>
            </w:pPr>
            <w:r>
              <w:rPr>
                <w:sz w:val="4"/>
                <w:szCs w:val="4"/>
              </w:rPr>
            </w:r>
          </w:p>
        </w:tc>
        <w:tc>
          <w:tcPr>
            <w:tcW w:w="2595"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left w:val="single" w:sz="4" w:space="0" w:color="000000"/>
            </w:tcBorders>
            <w:tcMar>
              <w:top w:w="0" w:type="dxa"/>
              <w:left w:w="74"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448"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2595"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0" w:type="dxa"/>
            <w:gridSpan w:val="3"/>
            <w:vMerge w:val="continue"/>
            <w:tcBorders>
              <w:left w:val="single" w:sz="4" w:space="0" w:color="000000"/>
            </w:tcBorders>
            <w:tcMar>
              <w:top w:w="0" w:type="dxa"/>
              <w:left w:w="74" w:type="dxa"/>
              <w:bottom w:w="0" w:type="dxa"/>
              <w:right w:w="0" w:type="dxa"/>
            </w:tcMar>
            <w:vAlign w:val="center"/>
          </w:tcPr>
          <w:p>
            <w:pPr>
              <w:pStyle w:val="Normal"/>
              <w:bidi w:val="0"/>
              <w:jc w:val="left"/>
              <w:rPr/>
            </w:pPr>
            <w:r>
              <w:rPr/>
            </w:r>
          </w:p>
        </w:tc>
        <w:tc>
          <w:tcPr>
            <w:tcW w:w="3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448"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2595"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169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3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26"/>
              <w:jc w:val="left"/>
              <w:rPr>
                <w:rFonts w:ascii="Arial;sans-serif" w:hAnsi="Arial;sans-serif"/>
                <w:b w:val="false"/>
                <w:color w:val="000000"/>
                <w:sz w:val="19"/>
              </w:rPr>
            </w:pPr>
            <w:r>
              <w:rPr>
                <w:rFonts w:ascii="Arial;sans-serif" w:hAnsi="Arial;sans-serif"/>
                <w:b w:val="false"/>
                <w:color w:val="000000"/>
                <w:sz w:val="19"/>
              </w:rPr>
              <w:t>November 2022</w:t>
            </w:r>
          </w:p>
        </w:tc>
        <w:tc>
          <w:tcPr>
            <w:tcW w:w="25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$4,436,204.00</w:t>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39800"/>
                <wp:effectExtent l="0" t="0" r="0" b="0"/>
                <wp:wrapNone/>
                <wp:docPr id="88" name="Frame87"/>
                <a:graphic xmlns:a="http://schemas.openxmlformats.org/drawingml/2006/main">
                  <a:graphicData uri="http://schemas.microsoft.com/office/word/2010/wordprocessingShape">
                    <wps:wsp>
                      <wps:cNvSpPr txBox="1"/>
                      <wps:spPr>
                        <a:xfrm>
                          <a:off x="0" y="0"/>
                          <a:ext cx="6480175" cy="939800"/>
                        </a:xfrm>
                        <a:prstGeom prst="rect"/>
                        <a:solidFill>
                          <a:srgbClr val="FFFFFF"/>
                        </a:solidFill>
                      </wps:spPr>
                      <wps:txb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r>
                                    <w:br w:type="page"/>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pt;mso-wrap-distance-left:0pt;mso-wrap-distance-right:0pt;mso-wrap-distance-top:0pt;mso-wrap-distance-bottom:0pt;margin-top:0pt;mso-position-vertical:top;mso-position-vertical-relative:text;margin-left:0pt;mso-position-horizontal:left;mso-position-horizontal-relative:text">
                <v:textbox>
                  <w:txbxContent>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49"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211"/>
        <w:gridCol w:w="1291"/>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top w:val="single" w:sz="4" w:space="0" w:color="000000"/>
              <w:left w:val="single" w:sz="4" w:space="0" w:color="000000"/>
            </w:tcBorders>
            <w:shd w:fill="D9D9D9" w:val="clear"/>
            <w:tcMar>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bottom w:val="single" w:sz="4" w:space="0" w:color="000000"/>
              <w:right w:val="single" w:sz="4" w:space="0" w:color="000000"/>
            </w:tcBorders>
            <w:shd w:fill="D9D9D9" w:val="clear"/>
            <w:tcMar>
              <w:left w:w="0" w:type="dxa"/>
            </w:tcMar>
            <w:vAlign w:val="center"/>
          </w:tcPr>
          <w:p>
            <w:pPr>
              <w:pStyle w:val="Normal"/>
              <w:bidi w:val="0"/>
              <w:jc w:val="left"/>
              <w:rPr/>
            </w:pPr>
            <w:r>
              <w:rPr/>
            </w:r>
          </w:p>
        </w:tc>
        <w:tc>
          <w:tcPr>
            <w:tcW w:w="1529"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252"/>
              <w:jc w:val="center"/>
              <w:rPr>
                <w:rFonts w:ascii="Arial;sans-serif" w:hAnsi="Arial;sans-serif"/>
                <w:b w:val="false"/>
                <w:color w:val="000000"/>
                <w:sz w:val="19"/>
              </w:rPr>
            </w:pPr>
            <w:r>
              <w:rPr>
                <w:rFonts w:ascii="Arial;sans-serif" w:hAnsi="Arial;sans-serif"/>
                <w:b w:val="false"/>
                <w:color w:val="000000"/>
                <w:sz w:val="19"/>
              </w:rPr>
              <w:t>September 2023</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April 2024</w:t>
            </w:r>
          </w:p>
        </w:tc>
        <w:tc>
          <w:tcPr>
            <w:tcW w:w="211" w:type="dxa"/>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1,000,000.00 </w:t>
            </w:r>
          </w:p>
        </w:tc>
        <w:tc>
          <w:tcPr>
            <w:tcW w:w="154" w:type="dxa"/>
            <w:vMerge w:val="restart"/>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shd w:fill="D9D9D9" w:val="clear"/>
            <w:tcMar>
              <w:top w:w="0" w:type="dxa"/>
              <w:left w:w="0" w:type="dxa"/>
              <w:bottom w:w="0" w:type="dxa"/>
            </w:tcMar>
            <w:vAlign w:val="center"/>
          </w:tcPr>
          <w:p>
            <w:pPr>
              <w:pStyle w:val="Normal"/>
              <w:bidi w:val="0"/>
              <w:jc w:val="left"/>
              <w:rPr/>
            </w:pPr>
            <w:r>
              <w:rPr/>
            </w:r>
          </w:p>
        </w:tc>
        <w:tc>
          <w:tcPr>
            <w:tcW w:w="152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11" w:type="dxa"/>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91" w:type="dxa"/>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54" w:type="dxa"/>
            <w:vMerge w:val="continue"/>
            <w:tcBorders>
              <w:top w:val="single" w:sz="4" w:space="0" w:color="000000"/>
              <w:right w:val="single" w:sz="4" w:space="0" w:color="000000"/>
            </w:tcBorders>
            <w:tcMar>
              <w:top w:w="30" w:type="dxa"/>
              <w:left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8" w:before="0" w:after="0"/>
              <w:ind w:left="0" w:right="0" w:hanging="226"/>
              <w:jc w:val="center"/>
              <w:rPr>
                <w:rFonts w:ascii="Arial;sans-serif" w:hAnsi="Arial;sans-serif"/>
                <w:b w:val="false"/>
                <w:color w:val="000000"/>
                <w:sz w:val="19"/>
              </w:rPr>
            </w:pPr>
            <w:r>
              <w:rPr>
                <w:rFonts w:ascii="Arial;sans-serif" w:hAnsi="Arial;sans-serif"/>
                <w:b w:val="false"/>
                <w:color w:val="000000"/>
                <w:sz w:val="19"/>
              </w:rPr>
              <w:t>November 2024</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9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2,500,000.00 </w:t>
            </w:r>
          </w:p>
        </w:tc>
        <w:tc>
          <w:tcPr>
            <w:tcW w:w="15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65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w:t>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52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52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529"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656"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right"/>
              <w:rPr>
                <w:rFonts w:ascii="Arial;sans-serif" w:hAnsi="Arial;sans-serif"/>
                <w:b w:val="false"/>
                <w:color w:val="000000"/>
                <w:sz w:val="19"/>
              </w:rPr>
            </w:pPr>
            <w:r>
              <w:rPr>
                <w:rFonts w:ascii="Arial;sans-serif" w:hAnsi="Arial;sans-serif"/>
                <w:b w:val="false"/>
                <w:color w:val="000000"/>
                <w:sz w:val="19"/>
              </w:rPr>
              <w:t>$[***]</w:t>
            </w:r>
          </w:p>
        </w:tc>
      </w:tr>
      <w:tr>
        <w:trPr/>
        <w:tc>
          <w:tcPr>
            <w:tcW w:w="464"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restart"/>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450"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left w:w="68" w:type="dxa"/>
              <w:bottom w:w="3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50" w:type="dxa"/>
            <w:gridSpan w:val="3"/>
            <w:vMerge w:val="continue"/>
            <w:tcBorders>
              <w:top w:val="single" w:sz="4" w:space="0" w:color="000000"/>
              <w:bottom w:val="single" w:sz="4" w:space="0" w:color="000000"/>
              <w:right w:val="single" w:sz="4" w:space="0" w:color="000000"/>
            </w:tcBorders>
            <w:tcMar>
              <w:top w:w="30" w:type="dxa"/>
              <w:left w:w="0" w:type="dxa"/>
              <w:bottom w:w="30" w:type="dxa"/>
            </w:tcMar>
            <w:vAlign w:val="center"/>
          </w:tcPr>
          <w:p>
            <w:pPr>
              <w:pStyle w:val="Normal"/>
              <w:bidi w:val="0"/>
              <w:jc w:val="left"/>
              <w:rPr/>
            </w:pPr>
            <w:r>
              <w:rPr/>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5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15060"/>
                <wp:effectExtent l="0" t="0" r="0" b="0"/>
                <wp:wrapNone/>
                <wp:docPr id="89" name="Frame88"/>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7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435"/>
        <w:gridCol w:w="435"/>
        <w:gridCol w:w="6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99" w:before="0" w:after="0"/>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184"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vMerge w:val="restart"/>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558" w:type="dxa"/>
            <w:gridSpan w:val="3"/>
            <w:vMerge w:val="continue"/>
            <w:tcBorders>
              <w:left w:val="single" w:sz="4" w:space="0" w:color="000000"/>
              <w:right w:val="single" w:sz="4" w:space="0" w:color="000000"/>
            </w:tcBorders>
            <w:shd w:fill="D9D9D9" w:val="clear"/>
            <w:tcMar>
              <w:top w:w="0" w:type="dxa"/>
              <w:bottom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tcBorders>
            <w:tcMar>
              <w:top w:w="30" w:type="dxa"/>
              <w:left w:w="68"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tcBorders>
              <w:top w:val="single" w:sz="4" w:space="0" w:color="000000"/>
              <w:left w:val="single" w:sz="4" w:space="0" w:color="000000"/>
              <w:bottom w:val="single" w:sz="4" w:space="0" w:color="000000"/>
            </w:tcBorders>
            <w:shd w:fill="D9D9D9" w:val="clear"/>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w:t>
            </w:r>
          </w:p>
        </w:tc>
        <w:tc>
          <w:tcPr>
            <w:tcW w:w="558" w:type="dxa"/>
            <w:gridSpan w:val="3"/>
            <w:vMerge w:val="restart"/>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4" w:space="0" w:color="000000"/>
              <w:left w:val="single" w:sz="4" w:space="0" w:color="000000"/>
              <w:right w:val="single" w:sz="4" w:space="0" w:color="000000"/>
            </w:tcBorders>
            <w:shd w:fill="D9D9D9" w:val="clear"/>
            <w:tcMar>
              <w:bottom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558"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vMerge w:val="continue"/>
            <w:tcBorders>
              <w:left w:val="single" w:sz="4" w:space="0" w:color="000000"/>
            </w:tcBorders>
            <w:shd w:fill="D9D9D9" w:val="clear"/>
            <w:tcMar>
              <w:top w:w="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right w:val="single" w:sz="4" w:space="0" w:color="000000"/>
            </w:tcBorders>
            <w:tcMar>
              <w:top w:w="30" w:type="dxa"/>
              <w:left w:w="68" w:type="dxa"/>
              <w:bottom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558"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18" w:before="0" w:after="0"/>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tcBorders>
              <w:top w:val="single" w:sz="4" w:space="0" w:color="000000"/>
              <w:left w:val="single" w:sz="4" w:space="0" w:color="000000"/>
              <w:bottom w:val="single" w:sz="4" w:space="0" w:color="000000"/>
              <w:right w:val="single" w:sz="4" w:space="0" w:color="000000"/>
            </w:tcBorders>
            <w:tcMar>
              <w:top w:w="30" w:type="dxa"/>
              <w:left w:w="68" w:type="dxa"/>
              <w:bottom w:w="3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8"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558" w:type="dxa"/>
            <w:gridSpan w:val="3"/>
            <w:vMerge w:val="continue"/>
            <w:tcBorders>
              <w:left w:val="single" w:sz="4" w:space="0" w:color="000000"/>
              <w:bottom w:val="single" w:sz="4" w:space="0" w:color="000000"/>
              <w:right w:val="single" w:sz="4" w:space="0" w:color="000000"/>
            </w:tcBorders>
            <w:shd w:fill="D9D9D9" w:val="clear"/>
            <w:tcMar>
              <w:top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shd w:fill="D9D9D9" w:val="clear"/>
            <w:tcMar>
              <w:bottom w:w="0" w:type="dxa"/>
            </w:tcMar>
            <w:vAlign w:val="center"/>
          </w:tcPr>
          <w:p>
            <w:pPr>
              <w:pStyle w:val="Normal"/>
              <w:bidi w:val="0"/>
              <w:jc w:val="left"/>
              <w:rPr/>
            </w:pPr>
            <w:r>
              <w:rPr/>
            </w:r>
          </w:p>
        </w:tc>
      </w:tr>
      <w:tr>
        <w:trPr/>
        <w:tc>
          <w:tcPr>
            <w:tcW w:w="2887" w:type="dxa"/>
            <w:gridSpan w:val="12"/>
            <w:tcBorders>
              <w:left w:val="single" w:sz="4" w:space="0" w:color="000000"/>
              <w:bottom w:val="single" w:sz="4" w:space="0" w:color="000000"/>
            </w:tcBorders>
            <w:shd w:fill="D9D9D9" w:val="clear"/>
            <w:tcMar>
              <w:top w:w="0" w:type="dxa"/>
              <w:bottom w:w="30" w:type="dxa"/>
              <w:right w:w="0" w:type="dxa"/>
            </w:tcMar>
            <w:vAlign w:val="center"/>
          </w:tcPr>
          <w:p>
            <w:pPr>
              <w:pStyle w:val="TableContents"/>
              <w:bidi w:val="0"/>
              <w:spacing w:lineRule="auto" w:line="288" w:before="112" w:after="283"/>
              <w:jc w:val="lef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tLeast" w:line="227" w:before="0" w:after="0"/>
              <w:jc w:val="right"/>
              <w:rPr>
                <w:rFonts w:ascii="Arial;sans-serif" w:hAnsi="Arial;sans-serif"/>
                <w:b/>
                <w:color w:val="000000"/>
                <w:sz w:val="20"/>
              </w:rPr>
            </w:pPr>
            <w:r>
              <w:rPr>
                <w:rFonts w:ascii="Arial;sans-serif" w:hAnsi="Arial;sans-serif"/>
                <w:b/>
                <w:color w:val="000000"/>
                <w:sz w:val="20"/>
              </w:rPr>
              <w:t>Up to</w:t>
            </w:r>
          </w:p>
          <w:p>
            <w:pPr>
              <w:pStyle w:val="TableContents"/>
              <w:bidi w:val="0"/>
              <w:spacing w:lineRule="atLeast" w:line="213" w:before="0" w:after="0"/>
              <w:jc w:val="right"/>
              <w:rPr>
                <w:rFonts w:ascii="Arial;sans-serif" w:hAnsi="Arial;sans-serif"/>
                <w:b/>
                <w:color w:val="000000"/>
                <w:sz w:val="20"/>
              </w:rPr>
            </w:pPr>
            <w:r>
              <w:rPr>
                <w:rFonts w:ascii="Arial;sans-serif" w:hAnsi="Arial;sans-serif"/>
                <w:b/>
                <w:color w:val="000000"/>
                <w:sz w:val="20"/>
              </w:rPr>
              <w:t>$48,945,928.00</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15060"/>
                <wp:effectExtent l="0" t="0" r="0" b="0"/>
                <wp:wrapNone/>
                <wp:docPr id="90" name="Frame89"/>
                <a:graphic xmlns:a="http://schemas.openxmlformats.org/drawingml/2006/main">
                  <a:graphicData uri="http://schemas.microsoft.com/office/word/2010/wordprocessingShape">
                    <wps:wsp>
                      <wps:cNvSpPr txBox="1"/>
                      <wps:spPr>
                        <a:xfrm>
                          <a:off x="0" y="0"/>
                          <a:ext cx="6480175" cy="1115060"/>
                        </a:xfrm>
                        <a:prstGeom prst="rect"/>
                        <a:solidFill>
                          <a:srgbClr val="FFFFFF"/>
                        </a:solidFill>
                      </wps:spPr>
                      <wps:txbx>
                        <w:txbxContent>
                          <w:p>
                            <w:pPr>
                              <w:pStyle w:val="TextBody"/>
                              <w:bidi w:val="0"/>
                              <w:spacing w:before="0" w:after="0"/>
                              <w:jc w:val="left"/>
                              <w:rPr/>
                            </w:pPr>
                            <w:r>
                              <w:rPr/>
                            </w:r>
                            <w:r>
                              <w:br w:type="page"/>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4515" w:type="dxa"/>
                        <w:jc w:val="left"/>
                        <w:tblInd w:w="0" w:type="dxa"/>
                        <w:tblLayout w:type="fixed"/>
                        <w:tblCellMar>
                          <w:top w:w="28" w:type="dxa"/>
                          <w:left w:w="28" w:type="dxa"/>
                          <w:bottom w:w="28" w:type="dxa"/>
                          <w:right w:w="28" w:type="dxa"/>
                        </w:tblCellMar>
                      </w:tblPr>
                      <w:tblGrid>
                        <w:gridCol w:w="744"/>
                        <w:gridCol w:w="653"/>
                        <w:gridCol w:w="658"/>
                        <w:gridCol w:w="185"/>
                        <w:gridCol w:w="185"/>
                        <w:gridCol w:w="185"/>
                        <w:gridCol w:w="558"/>
                        <w:gridCol w:w="558"/>
                        <w:gridCol w:w="78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ID INV-026060</w:t>
                            </w:r>
                          </w:p>
                        </w:tc>
                        <w:tc>
                          <w:tcPr>
                            <w:tcW w:w="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3</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Version: August 2022</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pPr>
      <w:r>
        <w:rPr>
          <w:rFonts w:ascii="Arial;sans-serif" w:hAnsi="Arial;sans-serif"/>
          <w:b/>
          <w:color w:val="000000"/>
          <w:sz w:val="20"/>
        </w:rPr>
        <w:t>AMENDMENT 5</w:t>
      </w:r>
      <w:r>
        <w:rPr>
          <w:rFonts w:ascii="Arial;sans-serif" w:hAnsi="Arial;sans-serif"/>
          <w:b w:val="false"/>
          <w:color w:val="000000"/>
          <w:sz w:val="20"/>
        </w:rPr>
        <w:br/>
        <w:t>to</w:t>
        <w:br/>
      </w:r>
      <w:r>
        <w:rPr>
          <w:rFonts w:ascii="Arial;sans-serif" w:hAnsi="Arial;sans-serif"/>
          <w:b/>
          <w:color w:val="000000"/>
          <w:sz w:val="20"/>
        </w:rPr>
        <w:t>GRANT AGREEMENT</w:t>
        <w:br/>
      </w:r>
      <w:r>
        <w:rPr>
          <w:rFonts w:ascii="Arial;sans-serif" w:hAnsi="Arial;sans-serif"/>
          <w:b w:val="false"/>
          <w:color w:val="000000"/>
          <w:sz w:val="20"/>
        </w:rPr>
        <w:t>Investment ID INV-026060</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AMENDMENT SUMMARY PAGE</w:t>
      </w:r>
    </w:p>
    <w:tbl>
      <w:tblPr>
        <w:tblW w:w="10205" w:type="dxa"/>
        <w:jc w:val="left"/>
        <w:tblInd w:w="0" w:type="dxa"/>
        <w:tblLayout w:type="fixed"/>
        <w:tblCellMar>
          <w:top w:w="28" w:type="dxa"/>
          <w:left w:w="28" w:type="dxa"/>
          <w:bottom w:w="28" w:type="dxa"/>
          <w:right w:w="28" w:type="dxa"/>
        </w:tblCellMar>
      </w:tblPr>
      <w:tblGrid>
        <w:gridCol w:w="753"/>
        <w:gridCol w:w="496"/>
        <w:gridCol w:w="484"/>
        <w:gridCol w:w="2550"/>
        <w:gridCol w:w="2474"/>
        <w:gridCol w:w="3448"/>
      </w:tblGrid>
      <w:tr>
        <w:trPr/>
        <w:tc>
          <w:tcPr>
            <w:tcW w:w="75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color w:val="000000"/>
                <w:sz w:val="21"/>
              </w:rPr>
            </w:pPr>
            <w:r>
              <w:rPr>
                <w:rFonts w:ascii="Arial;sans-serif" w:hAnsi="Arial;sans-serif"/>
                <w:b/>
                <w:color w:val="000000"/>
                <w:sz w:val="21"/>
              </w:rPr>
              <w:t>AMENDMENT INFORMATION</w:t>
            </w:r>
          </w:p>
        </w:tc>
      </w:tr>
      <w:tr>
        <w:trPr/>
        <w:tc>
          <w:tcPr>
            <w:tcW w:w="17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47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Grant agreement between the Gates Foundation, formerly known as the Bill &amp; Melinda Gates Foundation, and Dare Bioscience, Inc., effective June 30, 2021, as amended, and bearing Investment ID INV-026060</w:t>
            </w:r>
          </w:p>
        </w:tc>
      </w:tr>
      <w:tr>
        <w:trPr/>
        <w:tc>
          <w:tcPr>
            <w:tcW w:w="17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Amendment Purpose:</w:t>
            </w:r>
          </w:p>
        </w:tc>
        <w:tc>
          <w:tcPr>
            <w:tcW w:w="847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17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472"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July 2, 2025</w:t>
            </w:r>
          </w:p>
        </w:tc>
      </w:tr>
    </w:tbl>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tbl>
      <w:tblPr>
        <w:tblW w:w="8790" w:type="dxa"/>
        <w:jc w:val="left"/>
        <w:tblInd w:w="0" w:type="dxa"/>
        <w:tblLayout w:type="fixed"/>
        <w:tblCellMar>
          <w:top w:w="28" w:type="dxa"/>
          <w:left w:w="28" w:type="dxa"/>
          <w:bottom w:w="28" w:type="dxa"/>
          <w:right w:w="28" w:type="dxa"/>
        </w:tblCellMar>
      </w:tblPr>
      <w:tblGrid>
        <w:gridCol w:w="418"/>
        <w:gridCol w:w="368"/>
        <w:gridCol w:w="369"/>
        <w:gridCol w:w="1269"/>
        <w:gridCol w:w="1269"/>
        <w:gridCol w:w="1272"/>
        <w:gridCol w:w="250"/>
        <w:gridCol w:w="250"/>
        <w:gridCol w:w="250"/>
        <w:gridCol w:w="449"/>
        <w:gridCol w:w="449"/>
        <w:gridCol w:w="451"/>
        <w:gridCol w:w="504"/>
        <w:gridCol w:w="504"/>
        <w:gridCol w:w="71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8790"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300" w:before="0" w:after="160"/>
              <w:jc w:val="left"/>
              <w:rPr>
                <w:rFonts w:ascii="Arial;sans-serif" w:hAnsi="Arial;sans-serif"/>
                <w:b/>
                <w:color w:val="000000"/>
                <w:sz w:val="21"/>
              </w:rPr>
            </w:pPr>
            <w:r>
              <w:rPr>
                <w:rFonts w:ascii="Arial;sans-serif" w:hAnsi="Arial;sans-serif"/>
                <w:b/>
                <w:color w:val="000000"/>
                <w:sz w:val="21"/>
              </w:rPr>
              <w:t>REPORTING &amp; PAYMENT SCHEDULE</w:t>
            </w:r>
          </w:p>
        </w:tc>
      </w:tr>
      <w:tr>
        <w:trPr/>
        <w:tc>
          <w:tcPr>
            <w:tcW w:w="11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xml:space="preserve">Investment </w:t>
              <w:br/>
              <w:t>Period</w:t>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Payment Date</w:t>
            </w:r>
          </w:p>
        </w:tc>
        <w:tc>
          <w:tcPr>
            <w:tcW w:w="17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xml:space="preserve">Payment Amount </w:t>
              <w:br/>
              <w:t>(U.S.$)</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Countersigned Agreement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2021</w:t>
            </w:r>
          </w:p>
        </w:tc>
        <w:tc>
          <w:tcPr>
            <w:tcW w:w="17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$11,453,099.00</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2022</w:t>
            </w:r>
          </w:p>
        </w:tc>
        <w:tc>
          <w:tcPr>
            <w:tcW w:w="172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$7,960,608.00</w:t>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11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11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38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3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509"/>
        <w:gridCol w:w="509"/>
        <w:gridCol w:w="511"/>
        <w:gridCol w:w="474"/>
        <w:gridCol w:w="474"/>
        <w:gridCol w:w="6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 2022</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$4,436,204.00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September 2023</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$4,500,000.00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April 2024</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$1,000,000.00</w:t>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168"/>
        <w:gridCol w:w="148"/>
        <w:gridCol w:w="148"/>
        <w:gridCol w:w="150"/>
        <w:gridCol w:w="150"/>
        <w:gridCol w:w="150"/>
        <w:gridCol w:w="150"/>
        <w:gridCol w:w="150"/>
        <w:gridCol w:w="150"/>
        <w:gridCol w:w="489"/>
        <w:gridCol w:w="489"/>
        <w:gridCol w:w="491"/>
        <w:gridCol w:w="474"/>
        <w:gridCol w:w="474"/>
        <w:gridCol w:w="67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center"/>
              <w:rPr/>
            </w:pPr>
            <w:r>
              <w:rPr/>
            </w:r>
          </w:p>
        </w:tc>
        <w:tc>
          <w:tcPr>
            <w:tcW w:w="1621"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November 2024</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$2,500,000.00</w:t>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2025</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$6,000,000.00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October 2025</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$4,000,000.00</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62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62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20"/>
              </w:rPr>
              <w:t>[***]</w:t>
            </w:r>
          </w:p>
        </w:tc>
      </w:tr>
      <w:tr>
        <w:trPr/>
        <w:tc>
          <w:tcPr>
            <w:tcW w:w="4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4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62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613" w:type="dxa"/>
        <w:jc w:val="left"/>
        <w:tblInd w:w="0" w:type="dxa"/>
        <w:tblLayout w:type="fixed"/>
        <w:tblCellMar>
          <w:top w:w="28" w:type="dxa"/>
          <w:left w:w="28" w:type="dxa"/>
          <w:bottom w:w="28" w:type="dxa"/>
          <w:right w:w="28" w:type="dxa"/>
        </w:tblCellMar>
      </w:tblPr>
      <w:tblGrid>
        <w:gridCol w:w="287"/>
        <w:gridCol w:w="253"/>
        <w:gridCol w:w="253"/>
        <w:gridCol w:w="256"/>
        <w:gridCol w:w="256"/>
        <w:gridCol w:w="256"/>
        <w:gridCol w:w="256"/>
        <w:gridCol w:w="256"/>
        <w:gridCol w:w="256"/>
        <w:gridCol w:w="186"/>
        <w:gridCol w:w="186"/>
        <w:gridCol w:w="186"/>
        <w:gridCol w:w="505"/>
        <w:gridCol w:w="505"/>
        <w:gridCol w:w="71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restart"/>
            <w:tcBorders>
              <w:right w:val="single" w:sz="4" w:space="0" w:color="000000"/>
            </w:tcBorders>
            <w:tcMar>
              <w:top w:w="0" w:type="dxa"/>
              <w:left w:w="0" w:type="dxa"/>
              <w:bottom w:w="0" w:type="dxa"/>
            </w:tcMar>
            <w:vAlign w:val="center"/>
          </w:tcPr>
          <w:p>
            <w:pPr>
              <w:pStyle w:val="TableContents"/>
              <w:bidi w:val="0"/>
              <w:spacing w:before="0" w:after="0"/>
              <w:jc w:val="center"/>
              <w:rPr/>
            </w:pPr>
            <w:r>
              <w:rPr/>
            </w:r>
          </w:p>
        </w:tc>
        <w:tc>
          <w:tcPr>
            <w:tcW w:w="1726"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726"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79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c>
          <w:tcPr>
            <w:tcW w:w="55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72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2887" w:type="dxa"/>
            <w:gridSpan w:val="12"/>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Amended Total Grant Amount</w:t>
            </w:r>
          </w:p>
        </w:tc>
        <w:tc>
          <w:tcPr>
            <w:tcW w:w="17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color w:val="000000"/>
                <w:sz w:val="20"/>
              </w:rPr>
              <w:t>$48,945,928.00</w:t>
            </w:r>
          </w:p>
        </w:tc>
      </w:tr>
    </w:tbl>
    <w:p>
      <w:pPr>
        <w:pStyle w:val="TextBody"/>
        <w:bidi w:val="0"/>
        <w:spacing w:before="4" w:after="283"/>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lineRule="auto" w:line="288" w:before="85" w:after="283"/>
        <w:jc w:val="center"/>
        <w:rPr>
          <w:rFonts w:ascii="Arial;sans-serif" w:hAnsi="Arial;sans-serif"/>
          <w:b/>
          <w:color w:val="000000"/>
          <w:sz w:val="20"/>
        </w:rPr>
      </w:pPr>
      <w:r>
        <w:rPr>
          <w:rFonts w:ascii="Arial;sans-serif" w:hAnsi="Arial;sans-serif"/>
          <w:b/>
          <w:color w:val="000000"/>
          <w:sz w:val="20"/>
        </w:rPr>
        <w:t>AMENDMENT 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226" w:after="283"/>
        <w:jc w:val="center"/>
        <w:rPr>
          <w:rFonts w:ascii="Arial;sans-serif" w:hAnsi="Arial;sans-serif"/>
          <w:b/>
          <w:color w:val="000000"/>
          <w:sz w:val="20"/>
          <w:u w:val="single"/>
        </w:rPr>
      </w:pPr>
      <w:r>
        <w:rPr>
          <w:rFonts w:ascii="Arial;sans-serif" w:hAnsi="Arial;sans-serif"/>
          <w:b/>
          <w:color w:val="000000"/>
          <w:sz w:val="20"/>
          <w:u w:val="single"/>
        </w:rPr>
        <w:t>AMENDMENT SUMMARY PAGE</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729"/>
        <w:gridCol w:w="533"/>
        <w:gridCol w:w="471"/>
        <w:gridCol w:w="2519"/>
        <w:gridCol w:w="2502"/>
        <w:gridCol w:w="3451"/>
      </w:tblGrid>
      <w:tr>
        <w:trPr/>
        <w:tc>
          <w:tcPr>
            <w:tcW w:w="7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1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0"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84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Grant agreement between the Gates Foundation, formerly known as the Bill &amp; Melinda Gates Foundation, and Dare Bioscience, Inc., effective June 30, 2021, as amended, and bearing Investment ID INV-026060</w:t>
            </w:r>
          </w:p>
        </w:tc>
      </w:tr>
      <w:tr>
        <w:trPr/>
        <w:tc>
          <w:tcPr>
            <w:tcW w:w="1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84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No Cost Extension</w:t>
            </w:r>
          </w:p>
        </w:tc>
      </w:tr>
      <w:tr>
        <w:trPr/>
        <w:tc>
          <w:tcPr>
            <w:tcW w:w="17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pPr>
            <w:r>
              <w:rPr>
                <w:color w:val="000000"/>
              </w:rPr>
              <w:t>“</w:t>
            </w:r>
            <w:r>
              <w:rPr>
                <w:rFonts w:ascii="Arial;sans-serif" w:hAnsi="Arial;sans-serif"/>
                <w:b w:val="false"/>
                <w:i/>
                <w:color w:val="000000"/>
                <w:sz w:val="20"/>
              </w:rPr>
              <w:t>Amendment Date”</w:t>
            </w:r>
            <w:r>
              <w:rPr>
                <w:rFonts w:ascii="Arial;sans-serif" w:hAnsi="Arial;sans-serif"/>
                <w:b w:val="false"/>
                <w:color w:val="000000"/>
                <w:sz w:val="20"/>
              </w:rPr>
              <w:t>:</w:t>
            </w:r>
          </w:p>
        </w:tc>
        <w:tc>
          <w:tcPr>
            <w:tcW w:w="84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Date of this email</w:t>
            </w:r>
          </w:p>
        </w:tc>
      </w:tr>
      <w:tr>
        <w:trPr/>
        <w:tc>
          <w:tcPr>
            <w:tcW w:w="17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14" w:after="283"/>
              <w:jc w:val="left"/>
              <w:rPr>
                <w:rFonts w:ascii="Arial;sans-serif" w:hAnsi="Arial;sans-serif"/>
                <w:b w:val="false"/>
                <w:color w:val="000000"/>
                <w:sz w:val="20"/>
              </w:rPr>
            </w:pPr>
            <w:r>
              <w:rPr>
                <w:rFonts w:ascii="Arial;sans-serif" w:hAnsi="Arial;sans-serif"/>
                <w:b w:val="false"/>
                <w:color w:val="000000"/>
                <w:sz w:val="20"/>
              </w:rPr>
              <w:t>Amended “End Date”:</w:t>
            </w:r>
          </w:p>
        </w:tc>
        <w:tc>
          <w:tcPr>
            <w:tcW w:w="847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The term of the Agreement is extended by changing the End Date to December 31, 2027</w:t>
            </w:r>
          </w:p>
        </w:tc>
      </w:tr>
    </w:tbl>
    <w:p>
      <w:pPr>
        <w:pStyle w:val="TextBody"/>
        <w:bidi w:val="0"/>
        <w:spacing w:before="2" w:after="283"/>
        <w:jc w:val="left"/>
        <w:rPr/>
      </w:pPr>
      <w:r>
        <w:rPr/>
      </w:r>
    </w:p>
    <w:p>
      <w:pPr>
        <w:pStyle w:val="TextBody"/>
        <w:bidi w:val="0"/>
        <w:spacing w:lineRule="auto" w:line="288" w:before="0" w:after="0"/>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Amendment Date.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lineRule="auto" w:line="288" w:before="228" w:after="283"/>
        <w:jc w:val="both"/>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1" w:after="283"/>
        <w:jc w:val="left"/>
        <w:rPr/>
      </w:pPr>
      <w:r>
        <w:rPr/>
      </w:r>
    </w:p>
    <w:tbl>
      <w:tblPr>
        <w:tblW w:w="10001" w:type="dxa"/>
        <w:jc w:val="left"/>
        <w:tblInd w:w="0" w:type="dxa"/>
        <w:tblLayout w:type="fixed"/>
        <w:tblCellMar>
          <w:top w:w="28" w:type="dxa"/>
          <w:left w:w="28" w:type="dxa"/>
          <w:bottom w:w="28" w:type="dxa"/>
          <w:right w:w="28" w:type="dxa"/>
        </w:tblCellMar>
      </w:tblPr>
      <w:tblGrid>
        <w:gridCol w:w="620"/>
        <w:gridCol w:w="543"/>
        <w:gridCol w:w="547"/>
        <w:gridCol w:w="1282"/>
        <w:gridCol w:w="1282"/>
        <w:gridCol w:w="1289"/>
        <w:gridCol w:w="250"/>
        <w:gridCol w:w="250"/>
        <w:gridCol w:w="250"/>
        <w:gridCol w:w="449"/>
        <w:gridCol w:w="449"/>
        <w:gridCol w:w="451"/>
        <w:gridCol w:w="685"/>
        <w:gridCol w:w="685"/>
        <w:gridCol w:w="969"/>
      </w:tblGrid>
      <w:tr>
        <w:trPr/>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001"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ind w:left="0" w:right="0" w:hanging="202"/>
              <w:jc w:val="left"/>
              <w:rPr>
                <w:rFonts w:ascii="Arial;sans-serif" w:hAnsi="Arial;sans-serif"/>
                <w:b w:val="false"/>
                <w:i/>
                <w:color w:val="000000"/>
                <w:sz w:val="20"/>
              </w:rPr>
            </w:pPr>
            <w:r>
              <w:rPr>
                <w:rFonts w:ascii="Arial;sans-serif" w:hAnsi="Arial;sans-serif"/>
                <w:b w:val="false"/>
                <w:i/>
                <w:color w:val="000000"/>
                <w:sz w:val="20"/>
              </w:rPr>
              <w:t>Investment Period</w:t>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0" w:before="0" w:after="0"/>
              <w:ind w:left="0" w:right="0" w:firstLine="43"/>
              <w:jc w:val="left"/>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9" w:before="0" w:after="0"/>
              <w:jc w:val="center"/>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ind w:left="0" w:right="0" w:hanging="452"/>
              <w:jc w:val="left"/>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1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Countersigned Agreement</w:t>
            </w:r>
          </w:p>
        </w:tc>
        <w:tc>
          <w:tcPr>
            <w:tcW w:w="7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July 2021</w:t>
            </w:r>
          </w:p>
        </w:tc>
        <w:tc>
          <w:tcPr>
            <w:tcW w:w="2339" w:type="dxa"/>
            <w:gridSpan w:val="3"/>
            <w:tcBorders>
              <w:top w:val="single" w:sz="4" w:space="0" w:color="000000"/>
              <w:left w:val="single" w:sz="4" w:space="0" w:color="000000"/>
              <w:right w:val="single" w:sz="4" w:space="0" w:color="000000"/>
            </w:tcBorders>
            <w:tcMar>
              <w:top w:w="30" w:type="dxa"/>
              <w:left w:w="539"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$11,453,099.00</w:t>
            </w:r>
          </w:p>
        </w:tc>
      </w:tr>
      <w:tr>
        <w:trPr/>
        <w:tc>
          <w:tcPr>
            <w:tcW w:w="171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2022</w:t>
            </w:r>
          </w:p>
        </w:tc>
        <w:tc>
          <w:tcPr>
            <w:tcW w:w="2339"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$7,960,608.00</w:t>
            </w:r>
          </w:p>
        </w:tc>
      </w:tr>
      <w:tr>
        <w:trPr/>
        <w:tc>
          <w:tcPr>
            <w:tcW w:w="171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171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171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tcBorders>
            <w:tcMar>
              <w:top w:w="30" w:type="dxa"/>
              <w:left w:w="64"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1710"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171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left"/>
              <w:rPr>
                <w:rFonts w:ascii="Arial;sans-serif" w:hAnsi="Arial;sans-serif"/>
                <w:b w:val="false"/>
                <w:color w:val="000000"/>
                <w:sz w:val="19"/>
              </w:rPr>
            </w:pPr>
            <w:r>
              <w:rPr>
                <w:rFonts w:ascii="Arial;sans-serif" w:hAnsi="Arial;sans-serif"/>
                <w:b w:val="false"/>
                <w:color w:val="000000"/>
                <w:sz w:val="19"/>
              </w:rPr>
              <w:t>[***]</w:t>
            </w:r>
          </w:p>
        </w:tc>
        <w:tc>
          <w:tcPr>
            <w:tcW w:w="7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1 of 4</w:t>
                      </w:r>
                      <w:r>
                        <w:rPr>
                          <w:color w:val="000000"/>
                        </w:rPr>
                        <w:t>    </w:t>
                      </w:r>
                      <w:r>
                        <w:rPr>
                          <w:rFonts w:ascii="Arial;sans-serif" w:hAnsi="Arial;sans-serif"/>
                          <w:b w:val="false"/>
                          <w:color w:val="000000"/>
                          <w:sz w:val="16"/>
                        </w:rPr>
                        <w:t>Version: August 2022</w:t>
                      </w:r>
                    </w:p>
                  </w:txbxContent>
                </v:textbox>
                <w10:wrap type="none"/>
              </v:rect>
            </w:pict>
          </mc:Fallback>
        </mc:AlternateContent>
      </w:r>
    </w:p>
    <w:tbl>
      <w:tblPr>
        <w:tblW w:w="2153" w:type="dxa"/>
        <w:jc w:val="left"/>
        <w:tblInd w:w="0" w:type="dxa"/>
        <w:tblLayout w:type="fixed"/>
        <w:tblCellMar>
          <w:top w:w="28" w:type="dxa"/>
          <w:left w:w="28" w:type="dxa"/>
          <w:bottom w:w="28" w:type="dxa"/>
          <w:right w:w="28" w:type="dxa"/>
        </w:tblCellMar>
      </w:tblPr>
      <w:tblGrid>
        <w:gridCol w:w="185"/>
        <w:gridCol w:w="162"/>
        <w:gridCol w:w="162"/>
        <w:gridCol w:w="150"/>
        <w:gridCol w:w="150"/>
        <w:gridCol w:w="150"/>
        <w:gridCol w:w="165"/>
        <w:gridCol w:w="165"/>
        <w:gridCol w:w="165"/>
        <w:gridCol w:w="109"/>
        <w:gridCol w:w="109"/>
        <w:gridCol w:w="109"/>
        <w:gridCol w:w="109"/>
        <w:gridCol w:w="109"/>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t>
            </w:r>
          </w:p>
        </w:tc>
        <w:tc>
          <w:tcPr>
            <w:tcW w:w="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2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0"/>
        <w:jc w:val="left"/>
        <w:rPr/>
      </w:pPr>
      <w:r>
        <w:rPr/>
      </w:r>
    </w:p>
    <w:p>
      <w:pPr>
        <w:pStyle w:val="TextBody"/>
        <w:bidi w:val="0"/>
        <w:spacing w:before="4" w:after="1"/>
        <w:jc w:val="left"/>
        <w:rPr/>
      </w:pPr>
      <w:r>
        <w:rPr/>
      </w:r>
    </w:p>
    <w:tbl>
      <w:tblPr>
        <w:tblW w:w="4409" w:type="dxa"/>
        <w:jc w:val="left"/>
        <w:tblInd w:w="0" w:type="dxa"/>
        <w:tblLayout w:type="fixed"/>
        <w:tblCellMar>
          <w:top w:w="28" w:type="dxa"/>
          <w:left w:w="28" w:type="dxa"/>
          <w:bottom w:w="28" w:type="dxa"/>
          <w:right w:w="28" w:type="dxa"/>
        </w:tblCellMar>
      </w:tblPr>
      <w:tblGrid>
        <w:gridCol w:w="185"/>
        <w:gridCol w:w="162"/>
        <w:gridCol w:w="162"/>
        <w:gridCol w:w="165"/>
        <w:gridCol w:w="165"/>
        <w:gridCol w:w="165"/>
        <w:gridCol w:w="165"/>
        <w:gridCol w:w="165"/>
        <w:gridCol w:w="165"/>
        <w:gridCol w:w="509"/>
        <w:gridCol w:w="509"/>
        <w:gridCol w:w="511"/>
        <w:gridCol w:w="404"/>
        <w:gridCol w:w="404"/>
        <w:gridCol w:w="573"/>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42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42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1" w:before="0" w:after="0"/>
              <w:ind w:left="0" w:right="0" w:hanging="2076"/>
              <w:jc w:val="center"/>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November 2022</w:t>
            </w:r>
          </w:p>
        </w:tc>
        <w:tc>
          <w:tcPr>
            <w:tcW w:w="1381"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$4,436,204.00</w:t>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2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250"/>
              <w:jc w:val="center"/>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September 2023</w:t>
            </w:r>
          </w:p>
        </w:tc>
        <w:tc>
          <w:tcPr>
            <w:tcW w:w="1381"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$4,500,000.00</w:t>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168"/>
              <w:jc w:val="center"/>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598"/>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1800"/>
              <w:jc w:val="center"/>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52"/>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168"/>
              <w:jc w:val="center"/>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April 2024</w:t>
            </w:r>
          </w:p>
        </w:tc>
        <w:tc>
          <w:tcPr>
            <w:tcW w:w="1381"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$1,000,000.00</w:t>
            </w:r>
          </w:p>
        </w:tc>
      </w:tr>
      <w:tr>
        <w:trPr/>
        <w:tc>
          <w:tcPr>
            <w:tcW w:w="5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168"/>
              <w:jc w:val="center"/>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52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3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160"/>
        <w:jc w:val="left"/>
        <w:rPr/>
      </w:pPr>
      <w:r>
        <w:rPr/>
      </w:r>
    </w:p>
    <w:p>
      <w:pPr>
        <w:pStyle w:val="TextBody"/>
        <w:bidi w:val="0"/>
        <w:spacing w:before="4" w:after="1"/>
        <w:jc w:val="left"/>
        <w:rPr/>
      </w:pPr>
      <w:r>
        <w:rPr/>
      </w:r>
    </w:p>
    <w:tbl>
      <w:tblPr>
        <w:tblW w:w="4349" w:type="dxa"/>
        <w:jc w:val="left"/>
        <w:tblInd w:w="0" w:type="dxa"/>
        <w:tblLayout w:type="fixed"/>
        <w:tblCellMar>
          <w:top w:w="28" w:type="dxa"/>
          <w:left w:w="28" w:type="dxa"/>
          <w:bottom w:w="28" w:type="dxa"/>
          <w:right w:w="28" w:type="dxa"/>
        </w:tblCellMar>
      </w:tblPr>
      <w:tblGrid>
        <w:gridCol w:w="185"/>
        <w:gridCol w:w="162"/>
        <w:gridCol w:w="162"/>
        <w:gridCol w:w="165"/>
        <w:gridCol w:w="165"/>
        <w:gridCol w:w="165"/>
        <w:gridCol w:w="165"/>
        <w:gridCol w:w="165"/>
        <w:gridCol w:w="165"/>
        <w:gridCol w:w="489"/>
        <w:gridCol w:w="489"/>
        <w:gridCol w:w="491"/>
        <w:gridCol w:w="404"/>
        <w:gridCol w:w="404"/>
        <w:gridCol w:w="573"/>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restart"/>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November 2024</w:t>
            </w:r>
          </w:p>
        </w:tc>
        <w:tc>
          <w:tcPr>
            <w:tcW w:w="1381" w:type="dxa"/>
            <w:gridSpan w:val="3"/>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$2,500,000.00</w:t>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2025</w:t>
            </w:r>
          </w:p>
        </w:tc>
        <w:tc>
          <w:tcPr>
            <w:tcW w:w="1381"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$6,000,000.00</w:t>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restart"/>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2025</w:t>
            </w:r>
          </w:p>
        </w:tc>
        <w:tc>
          <w:tcPr>
            <w:tcW w:w="1381" w:type="dxa"/>
            <w:gridSpan w:val="3"/>
            <w:vMerge w:val="restart"/>
            <w:tcBorders>
              <w:top w:val="single" w:sz="4" w:space="0" w:color="000000"/>
              <w:left w:val="single" w:sz="4" w:space="0" w:color="000000"/>
              <w:right w:val="single" w:sz="4" w:space="0" w:color="000000"/>
            </w:tcBorders>
            <w:tcMar>
              <w:top w:w="30" w:type="dxa"/>
              <w:left w:w="65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$4,000,000.00</w:t>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bottom w:val="single" w:sz="4" w:space="0" w:color="000000"/>
              <w:right w:val="single" w:sz="4" w:space="0" w:color="000000"/>
            </w:tcBorders>
            <w:tcMar>
              <w:top w:w="0" w:type="dxa"/>
              <w:left w:w="0" w:type="dxa"/>
              <w:bottom w:w="3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left w:w="654"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81"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509" w:type="dxa"/>
            <w:gridSpan w:val="3"/>
            <w:tcBorders>
              <w:top w:val="single" w:sz="4" w:space="0" w:color="000000"/>
              <w:left w:val="single" w:sz="4" w:space="0" w:color="000000"/>
              <w:bottom w:val="single" w:sz="4" w:space="0" w:color="000000"/>
            </w:tcBorders>
            <w:tcMar>
              <w:top w:w="30" w:type="dxa"/>
              <w:left w:w="7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90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4" w:after="1"/>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4 of 4</w:t>
                      </w:r>
                      <w:r>
                        <w:rPr>
                          <w:color w:val="000000"/>
                        </w:rPr>
                        <w:t>    </w:t>
                      </w:r>
                      <w:r>
                        <w:rPr>
                          <w:rFonts w:ascii="Arial;sans-serif" w:hAnsi="Arial;sans-serif"/>
                          <w:b w:val="false"/>
                          <w:color w:val="000000"/>
                          <w:sz w:val="16"/>
                        </w:rPr>
                        <w:t>Version: August 2022</w:t>
                      </w:r>
                    </w:p>
                  </w:txbxContent>
                </v:textbox>
                <w10:wrap type="none"/>
              </v:rect>
            </w:pict>
          </mc:Fallback>
        </mc:AlternateContent>
      </w:r>
    </w:p>
    <w:tbl>
      <w:tblPr>
        <w:tblW w:w="4373" w:type="dxa"/>
        <w:jc w:val="left"/>
        <w:tblInd w:w="0" w:type="dxa"/>
        <w:tblLayout w:type="fixed"/>
        <w:tblCellMar>
          <w:top w:w="28" w:type="dxa"/>
          <w:left w:w="28" w:type="dxa"/>
          <w:bottom w:w="28" w:type="dxa"/>
          <w:right w:w="28" w:type="dxa"/>
        </w:tblCellMar>
      </w:tblPr>
      <w:tblGrid>
        <w:gridCol w:w="204"/>
        <w:gridCol w:w="179"/>
        <w:gridCol w:w="179"/>
        <w:gridCol w:w="182"/>
        <w:gridCol w:w="182"/>
        <w:gridCol w:w="182"/>
        <w:gridCol w:w="411"/>
        <w:gridCol w:w="411"/>
        <w:gridCol w:w="411"/>
        <w:gridCol w:w="182"/>
        <w:gridCol w:w="182"/>
        <w:gridCol w:w="182"/>
        <w:gridCol w:w="435"/>
        <w:gridCol w:w="435"/>
        <w:gridCol w:w="616"/>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vMerge w:val="restart"/>
            <w:tcBorders>
              <w:right w:val="single" w:sz="4" w:space="0" w:color="000000"/>
            </w:tcBorders>
            <w:tcMar>
              <w:top w:w="0" w:type="dxa"/>
              <w:left w:w="0" w:type="dxa"/>
              <w:bottom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48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35"/>
              <w:jc w:val="center"/>
              <w:rPr>
                <w:rFonts w:ascii="Arial;sans-serif" w:hAnsi="Arial;sans-serif"/>
                <w:b w:val="false"/>
                <w:color w:val="000000"/>
                <w:sz w:val="22"/>
              </w:rPr>
            </w:pPr>
            <w:r>
              <w:rPr>
                <w:rFonts w:ascii="Arial;sans-serif" w:hAnsi="Arial;sans-serif"/>
                <w:b w:val="false"/>
                <w:color w:val="000000"/>
                <w:sz w:val="22"/>
              </w:rPr>
              <w:t>[***]</w:t>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804"/>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vMerge w:val="continue"/>
            <w:tcBorders>
              <w:right w:val="single" w:sz="4" w:space="0" w:color="000000"/>
            </w:tcBorders>
            <w:tcMar>
              <w:top w:w="0" w:type="dxa"/>
              <w:left w:w="0" w:type="dxa"/>
              <w:bottom w:w="0" w:type="dxa"/>
            </w:tcMar>
            <w:vAlign w:val="center"/>
          </w:tcPr>
          <w:p>
            <w:pPr>
              <w:pStyle w:val="Normal"/>
              <w:bidi w:val="0"/>
              <w:jc w:val="left"/>
              <w:rPr/>
            </w:pPr>
            <w:r>
              <w:rPr/>
            </w:r>
          </w:p>
        </w:tc>
        <w:tc>
          <w:tcPr>
            <w:tcW w:w="546"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148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698"/>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449"/>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top w:w="30" w:type="dxa"/>
              <w:left w:w="7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374"/>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449"/>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0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firstLine="62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2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firstLine="306"/>
              <w:jc w:val="left"/>
              <w:rPr>
                <w:rFonts w:ascii="Arial;sans-serif" w:hAnsi="Arial;sans-serif"/>
                <w:b w:val="false"/>
                <w:color w:val="000000"/>
                <w:sz w:val="22"/>
              </w:rPr>
            </w:pPr>
            <w:r>
              <w:rPr>
                <w:rFonts w:ascii="Arial;sans-serif" w:hAnsi="Arial;sans-serif"/>
                <w:b w:val="false"/>
                <w:color w:val="000000"/>
                <w:sz w:val="22"/>
              </w:rPr>
              <w:t>[***]</w:t>
            </w:r>
          </w:p>
        </w:tc>
        <w:tc>
          <w:tcPr>
            <w:tcW w:w="5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87" w:type="dxa"/>
            <w:gridSpan w:val="12"/>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$48,945,928.00</w:t>
            </w:r>
          </w:p>
        </w:tc>
      </w:tr>
    </w:tbl>
    <w:p>
      <w:pPr>
        <w:pStyle w:val="TextBody"/>
        <w:bidi w:val="0"/>
        <w:spacing w:before="4"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provided in the Agreement, signatures are not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5 of 4</w:t>
                            </w:r>
                            <w:r>
                              <w:rPr>
                                <w:color w:val="000000"/>
                              </w:rPr>
                              <w:t>    </w:t>
                            </w:r>
                            <w:r>
                              <w:rPr>
                                <w:rFonts w:ascii="Arial;sans-serif" w:hAnsi="Arial;sans-serif"/>
                                <w:b w:val="false"/>
                                <w:color w:val="000000"/>
                                <w:sz w:val="16"/>
                              </w:rPr>
                              <w:t>Version: August 2022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6"/>
                        </w:rPr>
                        <w:t>Investment ID INV-026060</w:t>
                      </w:r>
                      <w:r>
                        <w:rPr>
                          <w:color w:val="000000"/>
                        </w:rPr>
                        <w:t>    </w:t>
                      </w:r>
                      <w:r>
                        <w:rPr>
                          <w:rFonts w:ascii="Arial;sans-serif" w:hAnsi="Arial;sans-serif"/>
                          <w:b w:val="false"/>
                          <w:color w:val="000000"/>
                          <w:sz w:val="18"/>
                        </w:rPr>
                        <w:t>5 of 4</w:t>
                      </w:r>
                      <w:r>
                        <w:rPr>
                          <w:color w:val="000000"/>
                        </w:rPr>
                        <w:t>    </w:t>
                      </w:r>
                      <w:r>
                        <w:rPr>
                          <w:rFonts w:ascii="Arial;sans-serif" w:hAnsi="Arial;sans-serif"/>
                          <w:b w:val="false"/>
                          <w:color w:val="000000"/>
                          <w:sz w:val="16"/>
                        </w:rPr>
                        <w:t>Version: August 2022</w:t>
                      </w:r>
                    </w:p>
                  </w:txbxContent>
                </v:textbox>
                <w10:wrap type="none"/>
              </v:rect>
            </w:pict>
          </mc:Fallback>
        </mc:AlternateConten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76020"/>
                <wp:effectExtent l="0" t="0" r="0" b="0"/>
                <wp:wrapNone/>
                <wp:docPr id="100" name="Frame99"/>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769" w:type="dxa"/>
                              <w:jc w:val="left"/>
                              <w:tblInd w:w="0" w:type="dxa"/>
                              <w:tblLayout w:type="fixed"/>
                              <w:tblCellMar>
                                <w:top w:w="28" w:type="dxa"/>
                                <w:left w:w="28" w:type="dxa"/>
                                <w:bottom w:w="28" w:type="dxa"/>
                                <w:right w:w="28" w:type="dxa"/>
                              </w:tblCellMar>
                            </w:tblPr>
                            <w:tblGrid>
                              <w:gridCol w:w="567"/>
                              <w:gridCol w:w="498"/>
                              <w:gridCol w:w="704"/>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1 of 5#NUM_PAGES#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769" w:type="dxa"/>
                        <w:jc w:val="left"/>
                        <w:tblInd w:w="0" w:type="dxa"/>
                        <w:tblLayout w:type="fixed"/>
                        <w:tblCellMar>
                          <w:top w:w="28" w:type="dxa"/>
                          <w:left w:w="28" w:type="dxa"/>
                          <w:bottom w:w="28" w:type="dxa"/>
                          <w:right w:w="28" w:type="dxa"/>
                        </w:tblCellMar>
                      </w:tblPr>
                      <w:tblGrid>
                        <w:gridCol w:w="567"/>
                        <w:gridCol w:w="498"/>
                        <w:gridCol w:w="704"/>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1 of 5#NUM_PAGES#</w:t>
                            </w:r>
                          </w:p>
                        </w:tc>
                      </w:tr>
                    </w:tbl>
                    <w:p>
                      <w:pPr>
                        <w:pStyle w:val="TextBody"/>
                        <w:bidi w:val="0"/>
                        <w:spacing w:before="0" w:after="283"/>
                        <w:jc w:val="left"/>
                        <w:rPr/>
                      </w:pPr>
                      <w:r>
                        <w:rPr/>
                      </w:r>
                    </w:p>
                  </w:txbxContent>
                </v:textbox>
                <w10:wrap type="none"/>
              </v:rect>
            </w:pict>
          </mc:Fallback>
        </mc:AlternateContent>
      </w:r>
    </w:p>
    <w:p>
      <w:pPr>
        <w:pStyle w:val="TextBody"/>
        <w:bidi w:val="0"/>
        <w:spacing w:before="1" w:after="283"/>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lineRule="auto" w:line="288" w:before="1" w:after="283"/>
        <w:jc w:val="center"/>
        <w:rPr>
          <w:rFonts w:ascii="Arial;sans-serif" w:hAnsi="Arial;sans-serif"/>
          <w:b/>
          <w:color w:val="000000"/>
          <w:sz w:val="20"/>
        </w:rPr>
      </w:pPr>
      <w:r>
        <w:rPr>
          <w:rFonts w:ascii="Arial;sans-serif" w:hAnsi="Arial;sans-serif"/>
          <w:b/>
          <w:color w:val="000000"/>
          <w:sz w:val="20"/>
        </w:rPr>
        <w:t>AMENDMENT 7</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tLeast" w:line="228"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tLeast" w:line="228" w:before="0" w:after="0"/>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before="2" w:after="283"/>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AMENDMENT SUMMARY &amp; SIGNATURE PAGE</w:t>
      </w:r>
    </w:p>
    <w:p>
      <w:pPr>
        <w:pStyle w:val="TextBody"/>
        <w:bidi w:val="0"/>
        <w:spacing w:before="7" w:after="283"/>
        <w:jc w:val="left"/>
        <w:rPr/>
      </w:pPr>
      <w:r>
        <w:rPr/>
      </w:r>
    </w:p>
    <w:tbl>
      <w:tblPr>
        <w:tblW w:w="10205" w:type="dxa"/>
        <w:jc w:val="left"/>
        <w:tblInd w:w="0" w:type="dxa"/>
        <w:tblLayout w:type="fixed"/>
        <w:tblCellMar>
          <w:top w:w="28" w:type="dxa"/>
          <w:left w:w="28" w:type="dxa"/>
          <w:bottom w:w="28" w:type="dxa"/>
          <w:right w:w="28" w:type="dxa"/>
        </w:tblCellMar>
      </w:tblPr>
      <w:tblGrid>
        <w:gridCol w:w="1278"/>
        <w:gridCol w:w="990"/>
        <w:gridCol w:w="919"/>
        <w:gridCol w:w="2153"/>
        <w:gridCol w:w="2064"/>
        <w:gridCol w:w="2801"/>
      </w:tblGrid>
      <w:tr>
        <w:trPr/>
        <w:tc>
          <w:tcPr>
            <w:tcW w:w="127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EBEBE"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AMENDMENT INFORMATION</w:t>
            </w:r>
          </w:p>
        </w:tc>
      </w:tr>
      <w:tr>
        <w:trPr/>
        <w:tc>
          <w:tcPr>
            <w:tcW w:w="31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0" w:after="283"/>
              <w:jc w:val="left"/>
              <w:rPr>
                <w:rFonts w:ascii="Arial;sans-serif" w:hAnsi="Arial;sans-serif"/>
                <w:b w:val="false"/>
                <w:color w:val="000000"/>
                <w:sz w:val="20"/>
              </w:rPr>
            </w:pPr>
            <w:r>
              <w:rPr>
                <w:rFonts w:ascii="Arial;sans-serif" w:hAnsi="Arial;sans-serif"/>
                <w:b w:val="false"/>
                <w:color w:val="000000"/>
                <w:sz w:val="20"/>
              </w:rPr>
              <w:t>Agreement to be Amended:</w:t>
            </w:r>
          </w:p>
        </w:tc>
        <w:tc>
          <w:tcPr>
            <w:tcW w:w="70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Grant agreement between the Gates Foundation, formerly known as the Bill &amp; Melinda Gates Foundation, and Dare Bioscience, Inc., effective June 30, 2021, as amended, and bearing Investment ID INV-026060</w:t>
            </w:r>
          </w:p>
        </w:tc>
      </w:tr>
      <w:tr>
        <w:trPr/>
        <w:tc>
          <w:tcPr>
            <w:tcW w:w="31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Purpose:</w:t>
            </w:r>
          </w:p>
        </w:tc>
        <w:tc>
          <w:tcPr>
            <w:tcW w:w="70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Payment &amp; Reporting Schedule Change</w:t>
            </w:r>
          </w:p>
        </w:tc>
      </w:tr>
      <w:tr>
        <w:trPr/>
        <w:tc>
          <w:tcPr>
            <w:tcW w:w="31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Amendment Date:</w:t>
            </w:r>
          </w:p>
        </w:tc>
        <w:tc>
          <w:tcPr>
            <w:tcW w:w="701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10" w:before="0" w:after="0"/>
              <w:jc w:val="left"/>
              <w:rPr>
                <w:rFonts w:ascii="Arial;sans-serif" w:hAnsi="Arial;sans-serif"/>
                <w:b w:val="false"/>
                <w:color w:val="000000"/>
                <w:sz w:val="20"/>
              </w:rPr>
            </w:pPr>
            <w:r>
              <w:rPr>
                <w:rFonts w:ascii="Arial;sans-serif" w:hAnsi="Arial;sans-serif"/>
                <w:b w:val="false"/>
                <w:color w:val="000000"/>
                <w:sz w:val="20"/>
              </w:rPr>
              <w:t>Date of last signature</w:t>
            </w:r>
          </w:p>
        </w:tc>
      </w:tr>
      <w:tr>
        <w:trPr/>
        <w:tc>
          <w:tcPr>
            <w:tcW w:w="31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This Amendment includes and incorporates into the Agreement by this reference:</w:t>
            </w:r>
          </w:p>
        </w:tc>
        <w:tc>
          <w:tcPr>
            <w:tcW w:w="701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30" w:after="283"/>
              <w:jc w:val="left"/>
              <w:rPr>
                <w:rFonts w:ascii="Arial;sans-serif" w:hAnsi="Arial;sans-serif"/>
                <w:b w:val="false"/>
                <w:color w:val="000000"/>
                <w:sz w:val="20"/>
              </w:rPr>
            </w:pPr>
            <w:r>
              <w:rPr>
                <w:rFonts w:ascii="Arial;sans-serif" w:hAnsi="Arial;sans-serif"/>
                <w:b w:val="false"/>
                <w:color w:val="000000"/>
                <w:sz w:val="20"/>
              </w:rPr>
              <w:t>This Amendment Summary &amp; Signature Page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Attachment A-7</w:t>
            </w:r>
          </w:p>
        </w:tc>
      </w:tr>
    </w:tbl>
    <w:p>
      <w:pPr>
        <w:pStyle w:val="TextBody"/>
        <w:bidi w:val="0"/>
        <w:spacing w:lineRule="auto" w:line="288" w:before="226" w:after="283"/>
        <w:jc w:val="both"/>
        <w:rPr/>
      </w:pPr>
      <w:r>
        <w:rPr>
          <w:rFonts w:ascii="Arial;sans-serif" w:hAnsi="Arial;sans-serif"/>
          <w:b/>
          <w:color w:val="000000"/>
          <w:sz w:val="20"/>
        </w:rPr>
        <w:t xml:space="preserve">THIS AMENDMENT </w:t>
      </w:r>
      <w:r>
        <w:rPr>
          <w:rFonts w:ascii="Arial;sans-serif" w:hAnsi="Arial;sans-serif"/>
          <w:b w:val="false"/>
          <w:color w:val="000000"/>
          <w:sz w:val="20"/>
        </w:rPr>
        <w:t>amends, and is made part of, the above-referenced Agreement and is effective as of the date of last signature. Capitalized terms not defined in this Amendment will have the meaning provided in the Agreement. Except as modified by this Amendment, all other terms and conditions of the Agreement remain in full force and effect. In the event of a conflict between the Agreement and this Amendment, the terms of this Amendment will prevail.</w:t>
      </w:r>
    </w:p>
    <w:p>
      <w:pPr>
        <w:pStyle w:val="TextBody"/>
        <w:bidi w:val="0"/>
        <w:spacing w:before="3"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Parties enter into this Amendment by having their authorized representatives sign below. Facsimile and electronic signatures will be binding for all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GATES FOUNDATION    DARE BIOSCIENCE, INC.</w:t>
      </w:r>
    </w:p>
    <w:p>
      <w:pPr>
        <w:pStyle w:val="TextBody"/>
        <w:bidi w:val="0"/>
        <w:spacing w:before="1" w:after="283"/>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u w:val="single"/>
        </w:rPr>
        <w:t xml:space="preserve">/s/ Kirsten Vogelsong                 </w:t>
      </w:r>
      <w:r>
        <w:rPr>
          <w:color w:val="000000"/>
        </w:rPr>
        <w:t xml:space="preserve">     </w:t>
      </w:r>
      <w:r>
        <w:rPr>
          <w:rFonts w:ascii="Arial;sans-serif" w:hAnsi="Arial;sans-serif"/>
          <w:b w:val="false"/>
          <w:color w:val="000000"/>
          <w:sz w:val="20"/>
          <w:u w:val="single"/>
        </w:rPr>
        <w:t>/s/ Sabrina Johnson                    </w:t>
      </w:r>
    </w:p>
    <w:p>
      <w:pPr>
        <w:pStyle w:val="TextBody"/>
        <w:bidi w:val="0"/>
        <w:spacing w:lineRule="atLeast" w:line="206" w:before="0" w:after="0"/>
        <w:jc w:val="left"/>
        <w:rPr>
          <w:rFonts w:ascii="Arial;sans-serif" w:hAnsi="Arial;sans-serif"/>
          <w:b w:val="false"/>
          <w:color w:val="000000"/>
          <w:sz w:val="20"/>
        </w:rPr>
      </w:pPr>
      <w:r>
        <w:rPr>
          <w:rFonts w:ascii="Arial;sans-serif" w:hAnsi="Arial;sans-serif"/>
          <w:b w:val="false"/>
          <w:color w:val="000000"/>
          <w:sz w:val="20"/>
        </w:rPr>
        <w:t>By:</w:t>
      </w:r>
    </w:p>
    <w:p>
      <w:pPr>
        <w:pStyle w:val="TextBody"/>
        <w:bidi w:val="0"/>
        <w:spacing w:before="31" w:after="283"/>
        <w:jc w:val="left"/>
        <w:rPr/>
      </w:pPr>
      <w:r>
        <w:rPr/>
      </w:r>
    </w:p>
    <w:p>
      <w:pPr>
        <w:pStyle w:val="TextBody"/>
        <w:bidi w:val="0"/>
        <w:spacing w:lineRule="auto" w:line="288" w:before="98" w:after="283"/>
        <w:jc w:val="left"/>
        <w:rPr>
          <w:rFonts w:ascii="Arial;sans-serif" w:hAnsi="Arial;sans-serif"/>
          <w:b w:val="false"/>
          <w:color w:val="000000"/>
          <w:sz w:val="20"/>
        </w:rPr>
      </w:pPr>
      <w:r>
        <w:rPr>
          <w:rFonts w:ascii="Arial;sans-serif" w:hAnsi="Arial;sans-serif"/>
          <w:b w:val="false"/>
          <w:color w:val="000000"/>
          <w:sz w:val="20"/>
        </w:rPr>
        <w:t>Title:</w:t>
      </w:r>
    </w:p>
    <w:p>
      <w:pPr>
        <w:pStyle w:val="TextBody"/>
        <w:bidi w:val="0"/>
        <w:spacing w:before="193"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Kirsten Vogelsong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Senior Program Officer</w:t>
      </w:r>
    </w:p>
    <w:p>
      <w:pPr>
        <w:pStyle w:val="TextBody"/>
        <w:bidi w:val="0"/>
        <w:spacing w:before="98" w:after="283"/>
        <w:jc w:val="left"/>
        <w:rPr/>
      </w:pPr>
      <w:r>
        <w:rPr/>
      </w:r>
    </w:p>
    <w:p>
      <w:pPr>
        <w:pStyle w:val="TextBody"/>
        <w:bidi w:val="0"/>
        <w:spacing w:lineRule="atLeast" w:line="206" w:before="0" w:after="0"/>
        <w:jc w:val="left"/>
        <w:rPr>
          <w:rFonts w:ascii="Arial;sans-serif" w:hAnsi="Arial;sans-serif"/>
          <w:b w:val="false"/>
          <w:color w:val="000000"/>
          <w:sz w:val="20"/>
        </w:rPr>
      </w:pPr>
      <w:r>
        <w:rPr>
          <w:rFonts w:ascii="Arial;sans-serif" w:hAnsi="Arial;sans-serif"/>
          <w:b w:val="false"/>
          <w:color w:val="000000"/>
          <w:sz w:val="20"/>
        </w:rPr>
        <w:t>By:</w:t>
      </w:r>
    </w:p>
    <w:p>
      <w:pPr>
        <w:pStyle w:val="TextBody"/>
        <w:bidi w:val="0"/>
        <w:spacing w:before="31"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w:t>
      </w:r>
    </w:p>
    <w:p>
      <w:pPr>
        <w:pStyle w:val="TextBody"/>
        <w:bidi w:val="0"/>
        <w:spacing w:before="193"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Sabrina Johnson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7" w:before="116" w:after="283"/>
        <w:jc w:val="left"/>
        <w:rPr/>
      </w:pPr>
      <w:r>
        <w:rPr>
          <w:rFonts w:ascii="Arial;sans-serif" w:hAnsi="Arial;sans-serif"/>
          <w:b w:val="false"/>
          <w:color w:val="000000"/>
          <w:sz w:val="18"/>
          <w:u w:val="single"/>
        </w:rPr>
        <w:t>June 3, 2026    </w:t>
      </w:r>
      <w:r>
        <w:rPr>
          <w:color w:val="000000"/>
        </w:rPr>
        <w:t>    </w:t>
      </w:r>
      <w:r>
        <w:rPr>
          <w:color w:val="000000"/>
          <w:u w:val="single"/>
        </w:rPr>
        <w:t xml:space="preserve"> </w:t>
      </w:r>
      <w:r>
        <w:rPr>
          <w:rFonts w:ascii="Arial;sans-serif" w:hAnsi="Arial;sans-serif"/>
          <w:b w:val="false"/>
          <w:color w:val="000000"/>
          <w:sz w:val="18"/>
          <w:u w:val="single"/>
        </w:rPr>
        <w:t>June 5,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51280"/>
                <wp:effectExtent l="0" t="0" r="0" b="0"/>
                <wp:wrapNone/>
                <wp:docPr id="101" name="Frame100"/>
                <a:graphic xmlns:a="http://schemas.openxmlformats.org/drawingml/2006/main">
                  <a:graphicData uri="http://schemas.microsoft.com/office/word/2010/wordprocessingShape">
                    <wps:wsp>
                      <wps:cNvSpPr txBox="1"/>
                      <wps:spPr>
                        <a:xfrm>
                          <a:off x="0" y="0"/>
                          <a:ext cx="6480175" cy="1351280"/>
                        </a:xfrm>
                        <a:prstGeom prst="rect"/>
                        <a:solidFill>
                          <a:srgbClr val="FFFFFF"/>
                        </a:solidFill>
                      </wps:spPr>
                      <wps:txbx>
                        <w:txbxContent>
                          <w:p>
                            <w:pPr>
                              <w:pStyle w:val="TextBody"/>
                              <w:bidi w:val="0"/>
                              <w:spacing w:before="0" w:after="0"/>
                              <w:jc w:val="left"/>
                              <w:rPr/>
                            </w:pPr>
                            <w:r>
                              <w:rPr/>
                            </w:r>
                            <w:r>
                              <w:br w:type="page"/>
                            </w:r>
                          </w:p>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569" w:type="dxa"/>
                              <w:jc w:val="left"/>
                              <w:tblInd w:w="0" w:type="dxa"/>
                              <w:tblLayout w:type="fixed"/>
                              <w:tblCellMar>
                                <w:top w:w="28" w:type="dxa"/>
                                <w:left w:w="28" w:type="dxa"/>
                                <w:bottom w:w="28" w:type="dxa"/>
                                <w:right w:w="28" w:type="dxa"/>
                              </w:tblCellMar>
                            </w:tblPr>
                            <w:tblGrid>
                              <w:gridCol w:w="182"/>
                              <w:gridCol w:w="160"/>
                              <w:gridCol w:w="227"/>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1 of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569" w:type="dxa"/>
                        <w:jc w:val="left"/>
                        <w:tblInd w:w="0" w:type="dxa"/>
                        <w:tblLayout w:type="fixed"/>
                        <w:tblCellMar>
                          <w:top w:w="28" w:type="dxa"/>
                          <w:left w:w="28" w:type="dxa"/>
                          <w:bottom w:w="28" w:type="dxa"/>
                          <w:right w:w="28" w:type="dxa"/>
                        </w:tblCellMar>
                      </w:tblPr>
                      <w:tblGrid>
                        <w:gridCol w:w="182"/>
                        <w:gridCol w:w="160"/>
                        <w:gridCol w:w="227"/>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1 of 5</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AMENDMENT 7</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w:t>
      </w:r>
    </w:p>
    <w:p>
      <w:pPr>
        <w:pStyle w:val="TextBody"/>
        <w:bidi w:val="0"/>
        <w:spacing w:lineRule="auto" w:line="288" w:before="1" w:after="283"/>
        <w:jc w:val="center"/>
        <w:rPr>
          <w:rFonts w:ascii="Arial;sans-serif" w:hAnsi="Arial;sans-serif"/>
          <w:b/>
          <w:color w:val="000000"/>
          <w:sz w:val="20"/>
        </w:rPr>
      </w:pPr>
      <w:r>
        <w:rPr>
          <w:rFonts w:ascii="Arial;sans-serif" w:hAnsi="Arial;sans-serif"/>
          <w:b/>
          <w:color w:val="000000"/>
          <w:sz w:val="20"/>
        </w:rPr>
        <w:t>GRANT AGREEMENT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bidi w:val="0"/>
        <w:spacing w:lineRule="auto" w:line="288" w:before="198" w:after="283"/>
        <w:jc w:val="center"/>
        <w:rPr>
          <w:rFonts w:ascii="Arial;sans-serif" w:hAnsi="Arial;sans-serif"/>
          <w:b/>
          <w:color w:val="000000"/>
          <w:sz w:val="20"/>
          <w:u w:val="single"/>
        </w:rPr>
      </w:pPr>
      <w:r>
        <w:rPr>
          <w:rFonts w:ascii="Arial;sans-serif" w:hAnsi="Arial;sans-serif"/>
          <w:b/>
          <w:color w:val="000000"/>
          <w:sz w:val="20"/>
          <w:u w:val="single"/>
        </w:rPr>
        <w:t>ATTACHMENT A - 7</w:t>
      </w:r>
    </w:p>
    <w:p>
      <w:pPr>
        <w:pStyle w:val="TextBody"/>
        <w:bidi w:val="0"/>
        <w:spacing w:lineRule="auto" w:line="288" w:before="202" w:after="283"/>
        <w:jc w:val="left"/>
        <w:rPr>
          <w:rFonts w:ascii="Arial;sans-serif" w:hAnsi="Arial;sans-serif"/>
          <w:b w:val="false"/>
          <w:color w:val="000000"/>
          <w:sz w:val="20"/>
        </w:rPr>
      </w:pPr>
      <w:r>
        <w:rPr>
          <w:rFonts w:ascii="Arial;sans-serif" w:hAnsi="Arial;sans-serif"/>
          <w:b w:val="false"/>
          <w:color w:val="000000"/>
          <w:sz w:val="20"/>
        </w:rPr>
        <w:t>The Parties agree to amend the Agreement as provided below.</w:t>
      </w:r>
    </w:p>
    <w:p>
      <w:pPr>
        <w:pStyle w:val="TextBody"/>
        <w:bidi w:val="0"/>
        <w:spacing w:lineRule="auto" w:line="288" w:before="197" w:after="283"/>
        <w:jc w:val="left"/>
        <w:rPr>
          <w:rFonts w:ascii="Arial;sans-serif" w:hAnsi="Arial;sans-serif"/>
          <w:b/>
          <w:color w:val="000000"/>
          <w:sz w:val="20"/>
        </w:rPr>
      </w:pPr>
      <w:r>
        <w:rPr>
          <w:rFonts w:ascii="Arial;sans-serif" w:hAnsi="Arial;sans-serif"/>
          <w:b/>
          <w:color w:val="000000"/>
          <w:sz w:val="20"/>
        </w:rPr>
        <w:t>REPORTING &amp; PAYMENT SCHEDULE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Amendment notifies You that the reporting and/or payment schedule for Your grant has changed. Your Reporting &amp; Payment Schedule is deleted and replaced with the following:</w:t>
      </w:r>
    </w:p>
    <w:p>
      <w:pPr>
        <w:pStyle w:val="TextBody"/>
        <w:bidi w:val="0"/>
        <w:spacing w:before="2" w:after="1"/>
        <w:jc w:val="left"/>
        <w:rPr/>
      </w:pPr>
      <w:r>
        <w:rPr/>
      </w:r>
    </w:p>
    <w:tbl>
      <w:tblPr>
        <w:tblW w:w="9960" w:type="dxa"/>
        <w:jc w:val="right"/>
        <w:tblInd w:w="0" w:type="dxa"/>
        <w:tblLayout w:type="fixed"/>
        <w:tblCellMar>
          <w:top w:w="28" w:type="dxa"/>
          <w:left w:w="28" w:type="dxa"/>
          <w:bottom w:w="28" w:type="dxa"/>
          <w:right w:w="28" w:type="dxa"/>
        </w:tblCellMar>
      </w:tblPr>
      <w:tblGrid>
        <w:gridCol w:w="619"/>
        <w:gridCol w:w="544"/>
        <w:gridCol w:w="546"/>
        <w:gridCol w:w="1271"/>
        <w:gridCol w:w="1271"/>
        <w:gridCol w:w="1271"/>
        <w:gridCol w:w="250"/>
        <w:gridCol w:w="250"/>
        <w:gridCol w:w="250"/>
        <w:gridCol w:w="449"/>
        <w:gridCol w:w="449"/>
        <w:gridCol w:w="451"/>
        <w:gridCol w:w="683"/>
        <w:gridCol w:w="683"/>
        <w:gridCol w:w="97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9960" w:type="dxa"/>
            <w:gridSpan w:val="15"/>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tLeast" w:line="210" w:before="0" w:after="0"/>
              <w:jc w:val="left"/>
              <w:rPr>
                <w:rFonts w:ascii="Arial;sans-serif" w:hAnsi="Arial;sans-serif"/>
                <w:b/>
                <w:color w:val="000000"/>
                <w:sz w:val="20"/>
              </w:rPr>
            </w:pPr>
            <w:r>
              <w:rPr>
                <w:rFonts w:ascii="Arial;sans-serif" w:hAnsi="Arial;sans-serif"/>
                <w:b/>
                <w:color w:val="000000"/>
                <w:sz w:val="20"/>
              </w:rPr>
              <w:t>REPORTING &amp; PAYMENT SCHEDULE</w:t>
            </w:r>
          </w:p>
        </w:tc>
      </w:tr>
      <w:tr>
        <w:trPr/>
        <w:tc>
          <w:tcPr>
            <w:tcW w:w="170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30" w:before="0" w:after="0"/>
              <w:jc w:val="center"/>
              <w:rPr>
                <w:rFonts w:ascii="Arial;sans-serif" w:hAnsi="Arial;sans-serif"/>
                <w:b w:val="false"/>
                <w:i/>
                <w:color w:val="000000"/>
                <w:sz w:val="20"/>
              </w:rPr>
            </w:pPr>
            <w:r>
              <w:rPr>
                <w:rFonts w:ascii="Arial;sans-serif" w:hAnsi="Arial;sans-serif"/>
                <w:b w:val="false"/>
                <w:i/>
                <w:color w:val="000000"/>
                <w:sz w:val="20"/>
              </w:rPr>
              <w:t>Investment Period</w:t>
            </w:r>
          </w:p>
        </w:tc>
        <w:tc>
          <w:tcPr>
            <w:tcW w:w="381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30" w:before="0" w:after="0"/>
              <w:ind w:left="0" w:right="0" w:firstLine="2"/>
              <w:jc w:val="center"/>
              <w:rPr>
                <w:rFonts w:ascii="Arial;sans-serif" w:hAnsi="Arial;sans-serif"/>
                <w:b w:val="false"/>
                <w:i/>
                <w:color w:val="000000"/>
                <w:sz w:val="20"/>
              </w:rPr>
            </w:pPr>
            <w:r>
              <w:rPr>
                <w:rFonts w:ascii="Arial;sans-serif" w:hAnsi="Arial;sans-serif"/>
                <w:b w:val="false"/>
                <w:i/>
                <w:color w:val="000000"/>
                <w:sz w:val="20"/>
              </w:rPr>
              <w:t>Target, Milestone, or Reporting Deliverable</w:t>
            </w:r>
          </w:p>
        </w:tc>
        <w:tc>
          <w:tcPr>
            <w:tcW w:w="7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29" w:before="0" w:after="0"/>
              <w:jc w:val="center"/>
              <w:rPr>
                <w:rFonts w:ascii="Arial;sans-serif" w:hAnsi="Arial;sans-serif"/>
                <w:b w:val="false"/>
                <w:i/>
                <w:color w:val="000000"/>
                <w:sz w:val="20"/>
              </w:rPr>
            </w:pPr>
            <w:r>
              <w:rPr>
                <w:rFonts w:ascii="Arial;sans-serif" w:hAnsi="Arial;sans-serif"/>
                <w:b w:val="false"/>
                <w:i/>
                <w:color w:val="000000"/>
                <w:sz w:val="20"/>
              </w:rPr>
              <w:t>Due By</w:t>
            </w:r>
          </w:p>
        </w:tc>
        <w:tc>
          <w:tcPr>
            <w:tcW w:w="13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29" w:before="0" w:after="0"/>
              <w:jc w:val="center"/>
              <w:rPr>
                <w:rFonts w:ascii="Arial;sans-serif" w:hAnsi="Arial;sans-serif"/>
                <w:b w:val="false"/>
                <w:i/>
                <w:color w:val="000000"/>
                <w:sz w:val="20"/>
              </w:rPr>
            </w:pPr>
            <w:r>
              <w:rPr>
                <w:rFonts w:ascii="Arial;sans-serif" w:hAnsi="Arial;sans-serif"/>
                <w:b w:val="false"/>
                <w:i/>
                <w:color w:val="000000"/>
                <w:sz w:val="20"/>
              </w:rPr>
              <w:t>Payment Date</w:t>
            </w:r>
          </w:p>
        </w:tc>
        <w:tc>
          <w:tcPr>
            <w:tcW w:w="23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tLeast" w:line="230" w:before="0" w:after="0"/>
              <w:jc w:val="center"/>
              <w:rPr>
                <w:rFonts w:ascii="Arial;sans-serif" w:hAnsi="Arial;sans-serif"/>
                <w:b w:val="false"/>
                <w:i/>
                <w:color w:val="000000"/>
                <w:sz w:val="20"/>
              </w:rPr>
            </w:pPr>
            <w:r>
              <w:rPr>
                <w:rFonts w:ascii="Arial;sans-serif" w:hAnsi="Arial;sans-serif"/>
                <w:b w:val="false"/>
                <w:i/>
                <w:color w:val="000000"/>
                <w:sz w:val="20"/>
              </w:rPr>
              <w:t>Payment Amount (U.S.$)</w:t>
            </w:r>
          </w:p>
        </w:tc>
      </w:tr>
      <w:tr>
        <w:trPr/>
        <w:tc>
          <w:tcPr>
            <w:tcW w:w="17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ind w:left="0" w:right="0" w:firstLine="2"/>
              <w:jc w:val="left"/>
              <w:rPr>
                <w:rFonts w:ascii="Arial;sans-serif" w:hAnsi="Arial;sans-serif"/>
                <w:b w:val="false"/>
                <w:i/>
                <w:color w:val="000000"/>
                <w:sz w:val="20"/>
              </w:rPr>
            </w:pPr>
            <w:r>
              <w:rPr>
                <w:rFonts w:ascii="Arial;sans-serif" w:hAnsi="Arial;sans-serif"/>
                <w:b w:val="false"/>
                <w:i/>
                <w:color w:val="000000"/>
                <w:sz w:val="20"/>
              </w:rPr>
              <w:t>Countersigned Agreement</w:t>
            </w:r>
          </w:p>
        </w:tc>
        <w:tc>
          <w:tcPr>
            <w:tcW w:w="7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PAID</w:t>
            </w:r>
          </w:p>
        </w:tc>
        <w:tc>
          <w:tcPr>
            <w:tcW w:w="23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$11,453,099.00</w:t>
            </w:r>
          </w:p>
        </w:tc>
      </w:tr>
      <w:tr>
        <w:trPr/>
        <w:tc>
          <w:tcPr>
            <w:tcW w:w="17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restart"/>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restart"/>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PAID</w:t>
            </w:r>
          </w:p>
        </w:tc>
        <w:tc>
          <w:tcPr>
            <w:tcW w:w="2339" w:type="dxa"/>
            <w:gridSpan w:val="3"/>
            <w:vMerge w:val="restart"/>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$7,960,608.00</w:t>
            </w:r>
          </w:p>
        </w:tc>
      </w:tr>
      <w:tr>
        <w:trPr/>
        <w:tc>
          <w:tcPr>
            <w:tcW w:w="17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jc w:val="left"/>
              <w:rPr>
                <w:rFonts w:ascii="Arial;sans-serif" w:hAnsi="Arial;sans-serif"/>
                <w:b w:val="false"/>
                <w:color w:val="000000"/>
                <w:sz w:val="21"/>
              </w:rPr>
            </w:pPr>
            <w:r>
              <w:rPr>
                <w:rFonts w:ascii="Arial;sans-serif" w:hAnsi="Arial;sans-serif"/>
                <w:b w:val="false"/>
                <w:color w:val="000000"/>
                <w:sz w:val="21"/>
              </w:rPr>
              <w:t>[***]</w:t>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restart"/>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Normal"/>
              <w:bidi w:val="0"/>
              <w:jc w:val="left"/>
              <w:rPr/>
            </w:pPr>
            <w:r>
              <w:rPr/>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Normal"/>
              <w:bidi w:val="0"/>
              <w:jc w:val="left"/>
              <w:rPr/>
            </w:pPr>
            <w:r>
              <w:rPr/>
            </w:r>
          </w:p>
        </w:tc>
        <w:tc>
          <w:tcPr>
            <w:tcW w:w="1349"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2339"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7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Normal"/>
              <w:bidi w:val="0"/>
              <w:jc w:val="left"/>
              <w:rPr/>
            </w:pPr>
            <w:r>
              <w:rPr/>
            </w:r>
          </w:p>
        </w:tc>
        <w:tc>
          <w:tcPr>
            <w:tcW w:w="13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170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Normal"/>
              <w:bidi w:val="0"/>
              <w:jc w:val="left"/>
              <w:rPr/>
            </w:pPr>
            <w:r>
              <w:rPr/>
            </w:r>
          </w:p>
        </w:tc>
        <w:tc>
          <w:tcPr>
            <w:tcW w:w="13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1709" w:type="dxa"/>
            <w:gridSpan w:val="3"/>
            <w:vMerge w:val="restart"/>
            <w:tcBorders>
              <w:left w:val="single" w:sz="4" w:space="0" w:color="000000"/>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1709" w:type="dxa"/>
            <w:gridSpan w:val="3"/>
            <w:vMerge w:val="continue"/>
            <w:tcBorders>
              <w:left w:val="single" w:sz="4" w:space="0" w:color="000000"/>
            </w:tcBorders>
            <w:shd w:fill="FFFFFF" w:val="clear"/>
            <w:tcMar>
              <w:top w:w="0" w:type="dxa"/>
              <w:bottom w:w="0" w:type="dxa"/>
              <w:right w:w="0" w:type="dxa"/>
            </w:tcMar>
            <w:vAlign w:val="center"/>
          </w:tcPr>
          <w:p>
            <w:pPr>
              <w:pStyle w:val="Normal"/>
              <w:bidi w:val="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1709" w:type="dxa"/>
            <w:gridSpan w:val="3"/>
            <w:vMerge w:val="continue"/>
            <w:tcBorders>
              <w:left w:val="single" w:sz="4" w:space="0" w:color="000000"/>
            </w:tcBorders>
            <w:shd w:fill="FFFFFF" w:val="clear"/>
            <w:tcMar>
              <w:top w:w="0" w:type="dxa"/>
              <w:bottom w:w="0" w:type="dxa"/>
              <w:right w:w="0" w:type="dxa"/>
            </w:tcMar>
            <w:vAlign w:val="center"/>
          </w:tcPr>
          <w:p>
            <w:pPr>
              <w:pStyle w:val="Normal"/>
              <w:bidi w:val="0"/>
              <w:jc w:val="left"/>
              <w:rPr/>
            </w:pPr>
            <w:r>
              <w:rPr/>
            </w:r>
          </w:p>
        </w:tc>
        <w:tc>
          <w:tcPr>
            <w:tcW w:w="381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73"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170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0"/>
              <w:jc w:val="left"/>
              <w:rPr/>
            </w:pPr>
            <w:r>
              <w:rPr/>
            </w:r>
          </w:p>
        </w:tc>
        <w:tc>
          <w:tcPr>
            <w:tcW w:w="381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90"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7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PAID</w:t>
            </w:r>
          </w:p>
        </w:tc>
        <w:tc>
          <w:tcPr>
            <w:tcW w:w="23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$4,436,204.00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76020"/>
                <wp:effectExtent l="0" t="0" r="0" b="0"/>
                <wp:wrapNone/>
                <wp:docPr id="102" name="Frame101"/>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2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2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left"/>
        <w:rPr/>
      </w:pPr>
      <w:r>
        <w:rPr/>
      </w:r>
    </w:p>
    <w:tbl>
      <w:tblPr>
        <w:tblW w:w="3497" w:type="dxa"/>
        <w:jc w:val="right"/>
        <w:tblInd w:w="0" w:type="dxa"/>
        <w:tblLayout w:type="fixed"/>
        <w:tblCellMar>
          <w:top w:w="28" w:type="dxa"/>
          <w:left w:w="28" w:type="dxa"/>
          <w:bottom w:w="28" w:type="dxa"/>
          <w:right w:w="28" w:type="dxa"/>
        </w:tblCellMar>
      </w:tblPr>
      <w:tblGrid>
        <w:gridCol w:w="201"/>
        <w:gridCol w:w="177"/>
        <w:gridCol w:w="177"/>
        <w:gridCol w:w="165"/>
        <w:gridCol w:w="165"/>
        <w:gridCol w:w="165"/>
        <w:gridCol w:w="165"/>
        <w:gridCol w:w="165"/>
        <w:gridCol w:w="165"/>
        <w:gridCol w:w="190"/>
        <w:gridCol w:w="190"/>
        <w:gridCol w:w="191"/>
        <w:gridCol w:w="404"/>
        <w:gridCol w:w="404"/>
        <w:gridCol w:w="57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restart"/>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PAID</w:t>
            </w:r>
          </w:p>
        </w:tc>
        <w:tc>
          <w:tcPr>
            <w:tcW w:w="1381" w:type="dxa"/>
            <w:gridSpan w:val="3"/>
            <w:vMerge w:val="restart"/>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$4,500,000.00</w:t>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right w:val="single" w:sz="4"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restart"/>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PAID</w:t>
            </w:r>
          </w:p>
        </w:tc>
        <w:tc>
          <w:tcPr>
            <w:tcW w:w="1381" w:type="dxa"/>
            <w:gridSpan w:val="3"/>
            <w:vMerge w:val="restart"/>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$1,000,000.00</w:t>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bottom w:val="single" w:sz="4" w:space="0" w:color="000000"/>
            </w:tcBorders>
            <w:shd w:fill="FFFFFF" w:val="clear"/>
            <w:tcMar>
              <w:top w:w="30" w:type="dxa"/>
              <w:left w:w="5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0"/>
              <w:jc w:val="righ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76020"/>
                <wp:effectExtent l="0" t="0" r="0" b="0"/>
                <wp:wrapNone/>
                <wp:docPr id="103" name="Frame102"/>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3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3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497" w:type="dxa"/>
        <w:jc w:val="right"/>
        <w:tblInd w:w="0" w:type="dxa"/>
        <w:tblLayout w:type="fixed"/>
        <w:tblCellMar>
          <w:top w:w="28" w:type="dxa"/>
          <w:left w:w="28" w:type="dxa"/>
          <w:bottom w:w="28" w:type="dxa"/>
          <w:right w:w="28" w:type="dxa"/>
        </w:tblCellMar>
      </w:tblPr>
      <w:tblGrid>
        <w:gridCol w:w="201"/>
        <w:gridCol w:w="177"/>
        <w:gridCol w:w="177"/>
        <w:gridCol w:w="165"/>
        <w:gridCol w:w="165"/>
        <w:gridCol w:w="165"/>
        <w:gridCol w:w="165"/>
        <w:gridCol w:w="165"/>
        <w:gridCol w:w="165"/>
        <w:gridCol w:w="190"/>
        <w:gridCol w:w="190"/>
        <w:gridCol w:w="191"/>
        <w:gridCol w:w="404"/>
        <w:gridCol w:w="404"/>
        <w:gridCol w:w="57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PAID</w:t>
            </w:r>
          </w:p>
        </w:tc>
        <w:tc>
          <w:tcPr>
            <w:tcW w:w="138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$2,500,000.00</w:t>
            </w:r>
          </w:p>
        </w:tc>
      </w:tr>
      <w:tr>
        <w:trPr/>
        <w:tc>
          <w:tcPr>
            <w:tcW w:w="55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bottom w:val="single" w:sz="4" w:space="0" w:color="000000"/>
            </w:tcBorders>
            <w:shd w:fill="FFFFFF" w:val="clear"/>
            <w:tcMar>
              <w:top w:w="30" w:type="dxa"/>
              <w:left w:w="5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192" w:after="283"/>
              <w:jc w:val="center"/>
              <w:rPr>
                <w:rFonts w:ascii="Arial;sans-serif" w:hAnsi="Arial;sans-serif"/>
                <w:b w:val="false"/>
                <w:i/>
                <w:color w:val="000000"/>
                <w:sz w:val="20"/>
              </w:rPr>
            </w:pPr>
            <w:r>
              <w:rPr>
                <w:rFonts w:ascii="Arial;sans-serif" w:hAnsi="Arial;sans-serif"/>
                <w:b w:val="false"/>
                <w:i/>
                <w:color w:val="000000"/>
                <w:sz w:val="20"/>
              </w:rPr>
              <w:t>PAID</w:t>
            </w:r>
          </w:p>
        </w:tc>
        <w:tc>
          <w:tcPr>
            <w:tcW w:w="138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$6,000,000.00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76020"/>
                <wp:effectExtent l="0" t="0" r="0" b="0"/>
                <wp:wrapNone/>
                <wp:docPr id="104" name="Frame103"/>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4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4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left"/>
        <w:rPr/>
      </w:pPr>
      <w:r>
        <w:rPr/>
      </w:r>
    </w:p>
    <w:tbl>
      <w:tblPr>
        <w:tblW w:w="3497" w:type="dxa"/>
        <w:jc w:val="left"/>
        <w:tblInd w:w="0" w:type="dxa"/>
        <w:tblLayout w:type="fixed"/>
        <w:tblCellMar>
          <w:top w:w="28" w:type="dxa"/>
          <w:left w:w="28" w:type="dxa"/>
          <w:bottom w:w="28" w:type="dxa"/>
          <w:right w:w="28" w:type="dxa"/>
        </w:tblCellMar>
      </w:tblPr>
      <w:tblGrid>
        <w:gridCol w:w="201"/>
        <w:gridCol w:w="177"/>
        <w:gridCol w:w="177"/>
        <w:gridCol w:w="165"/>
        <w:gridCol w:w="165"/>
        <w:gridCol w:w="165"/>
        <w:gridCol w:w="165"/>
        <w:gridCol w:w="165"/>
        <w:gridCol w:w="165"/>
        <w:gridCol w:w="190"/>
        <w:gridCol w:w="190"/>
        <w:gridCol w:w="191"/>
        <w:gridCol w:w="404"/>
        <w:gridCol w:w="404"/>
        <w:gridCol w:w="57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top w:val="single" w:sz="4" w:space="0" w:color="F1F1F1"/>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571" w:type="dxa"/>
            <w:gridSpan w:val="3"/>
            <w:vMerge w:val="restart"/>
            <w:tcBorders>
              <w:top w:val="single" w:sz="4" w:space="0" w:color="F1F1F1"/>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4" w:space="0" w:color="F1F1F1"/>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top w:val="single" w:sz="4" w:space="0" w:color="F1F1F1"/>
              <w:right w:val="single" w:sz="4" w:space="0" w:color="000000"/>
            </w:tcBorders>
            <w:shd w:fill="FFFFFF" w:val="clear"/>
            <w:tcMar>
              <w:left w:w="0" w:type="dxa"/>
              <w:bottom w:w="0" w:type="dxa"/>
            </w:tcMar>
            <w:vAlign w:val="center"/>
          </w:tcPr>
          <w:p>
            <w:pPr>
              <w:pStyle w:val="Normal"/>
              <w:bidi w:val="0"/>
              <w:jc w:val="left"/>
              <w:rPr/>
            </w:pPr>
            <w:r>
              <w:rPr/>
            </w:r>
          </w:p>
        </w:tc>
        <w:tc>
          <w:tcPr>
            <w:tcW w:w="571" w:type="dxa"/>
            <w:gridSpan w:val="3"/>
            <w:vMerge w:val="continue"/>
            <w:tcBorders>
              <w:top w:val="single" w:sz="4" w:space="0" w:color="F1F1F1"/>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1381" w:type="dxa"/>
            <w:gridSpan w:val="3"/>
            <w:vMerge w:val="continue"/>
            <w:tcBorders>
              <w:top w:val="single" w:sz="4" w:space="0" w:color="F1F1F1"/>
              <w:left w:val="single" w:sz="4" w:space="0" w:color="000000"/>
              <w:right w:val="single" w:sz="4" w:space="0" w:color="000000"/>
            </w:tcBorders>
            <w:shd w:fill="FFFFFF" w:val="clear"/>
            <w:tcMar>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continue"/>
            <w:tcBorders>
              <w:top w:val="single" w:sz="4" w:space="0" w:color="F1F1F1"/>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1381" w:type="dxa"/>
            <w:gridSpan w:val="3"/>
            <w:vMerge w:val="continue"/>
            <w:tcBorders>
              <w:top w:val="single" w:sz="4" w:space="0" w:color="F1F1F1"/>
              <w:left w:val="single" w:sz="4" w:space="0" w:color="000000"/>
              <w:right w:val="single" w:sz="4" w:space="0" w:color="000000"/>
            </w:tcBorders>
            <w:shd w:fill="FFFFFF" w:val="clear"/>
            <w:tcMar>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restart"/>
            <w:tcBorders>
              <w:right w:val="single" w:sz="4" w:space="0" w:color="000000"/>
            </w:tcBorders>
            <w:shd w:fill="FFFFFF" w:val="clear"/>
            <w:tcMar>
              <w:top w:w="0" w:type="dxa"/>
              <w:left w:w="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PAID</w:t>
            </w:r>
          </w:p>
        </w:tc>
        <w:tc>
          <w:tcPr>
            <w:tcW w:w="1381" w:type="dxa"/>
            <w:gridSpan w:val="3"/>
            <w:vMerge w:val="restart"/>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$4,000,000.00</w:t>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tcBorders>
            <w:shd w:fill="FFFFFF" w:val="clear"/>
            <w:tcMar>
              <w:top w:w="30" w:type="dxa"/>
              <w:left w:w="5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138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w:t>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bottom w:val="single" w:sz="4" w:space="0" w:color="000000"/>
            </w:tcBorders>
            <w:shd w:fill="FFFFFF" w:val="clear"/>
            <w:tcMar>
              <w:top w:w="0" w:type="dxa"/>
              <w:left w:w="0" w:type="dxa"/>
              <w:bottom w:w="30" w:type="dxa"/>
              <w:right w:w="0" w:type="dxa"/>
            </w:tcMar>
            <w:vAlign w:val="center"/>
          </w:tcPr>
          <w:p>
            <w:pPr>
              <w:pStyle w:val="Normal"/>
              <w:bidi w:val="0"/>
              <w:jc w:val="left"/>
              <w:rPr/>
            </w:pPr>
            <w:r>
              <w:rPr/>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right w:val="single" w:sz="4" w:space="0" w:color="000000"/>
            </w:tcBorders>
            <w:shd w:fill="FFFFFF" w:val="clear"/>
            <w:tcMar>
              <w:top w:w="0" w:type="dxa"/>
              <w:left w:w="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right"/>
              <w:rPr/>
            </w:pPr>
            <w:r>
              <w:rPr/>
            </w:r>
          </w:p>
        </w:tc>
      </w:tr>
      <w:tr>
        <w:trPr/>
        <w:tc>
          <w:tcPr>
            <w:tcW w:w="555"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ind w:left="0" w:right="0" w:firstLine="90"/>
              <w:jc w:val="left"/>
              <w:rPr/>
            </w:pPr>
            <w:r>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restart"/>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1381" w:type="dxa"/>
            <w:gridSpan w:val="3"/>
            <w:vMerge w:val="restart"/>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w:t>
            </w:r>
          </w:p>
        </w:tc>
      </w:tr>
      <w:tr>
        <w:trPr/>
        <w:tc>
          <w:tcPr>
            <w:tcW w:w="55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right w:val="single" w:sz="4" w:space="0" w:color="000000"/>
            </w:tcBorders>
            <w:shd w:fill="FFFFFF" w:val="clear"/>
            <w:tcMar>
              <w:top w:w="0" w:type="dxa"/>
              <w:left w:w="0" w:type="dxa"/>
              <w:bottom w:w="0" w:type="dxa"/>
            </w:tcMar>
            <w:vAlign w:val="center"/>
          </w:tcPr>
          <w:p>
            <w:pPr>
              <w:pStyle w:val="Normal"/>
              <w:bidi w:val="0"/>
              <w:jc w:val="left"/>
              <w:rPr/>
            </w:pPr>
            <w:r>
              <w:rPr/>
            </w:r>
          </w:p>
        </w:tc>
        <w:tc>
          <w:tcPr>
            <w:tcW w:w="571" w:type="dxa"/>
            <w:gridSpan w:val="3"/>
            <w:vMerge w:val="continue"/>
            <w:tcBorders>
              <w:left w:val="single" w:sz="4" w:space="0" w:color="000000"/>
              <w:right w:val="single" w:sz="4" w:space="0" w:color="000000"/>
            </w:tcBorders>
            <w:shd w:fill="FFFFFF" w:val="clear"/>
            <w:tcMar>
              <w:top w:w="0" w:type="dxa"/>
              <w:bottom w:w="0" w:type="dxa"/>
            </w:tcMar>
            <w:vAlign w:val="center"/>
          </w:tcPr>
          <w:p>
            <w:pPr>
              <w:pStyle w:val="Normal"/>
              <w:bidi w:val="0"/>
              <w:jc w:val="left"/>
              <w:rPr/>
            </w:pPr>
            <w:r>
              <w:rPr/>
            </w:r>
          </w:p>
        </w:tc>
        <w:tc>
          <w:tcPr>
            <w:tcW w:w="1381" w:type="dxa"/>
            <w:gridSpan w:val="3"/>
            <w:vMerge w:val="continue"/>
            <w:tcBorders>
              <w:top w:val="single" w:sz="4" w:space="0" w:color="000000"/>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55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tLeast" w:line="211" w:before="0" w:after="0"/>
              <w:ind w:left="0" w:right="0" w:firstLine="90"/>
              <w:jc w:val="left"/>
              <w:rPr>
                <w:rFonts w:ascii="Arial;sans-serif" w:hAnsi="Arial;sans-serif"/>
                <w:b w:val="false"/>
                <w:color w:val="000000"/>
                <w:sz w:val="21"/>
              </w:rPr>
            </w:pPr>
            <w:r>
              <w:rPr>
                <w:rFonts w:ascii="Arial;sans-serif" w:hAnsi="Arial;sans-serif"/>
                <w:b w:val="false"/>
                <w:color w:val="000000"/>
                <w:sz w:val="21"/>
              </w:rPr>
              <w:t>[***]</w:t>
            </w:r>
          </w:p>
        </w:tc>
        <w:tc>
          <w:tcPr>
            <w:tcW w:w="495" w:type="dxa"/>
            <w:gridSpan w:val="3"/>
            <w:tcBorders>
              <w:top w:val="single" w:sz="4" w:space="0" w:color="000000"/>
              <w:left w:val="single" w:sz="4" w:space="0" w:color="000000"/>
              <w:bottom w:val="single" w:sz="4" w:space="0" w:color="000000"/>
            </w:tcBorders>
            <w:shd w:fill="FFFFFF" w:val="clear"/>
            <w:tcMar>
              <w:top w:w="30" w:type="dxa"/>
              <w:left w:w="5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57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76020"/>
                <wp:effectExtent l="0" t="0" r="0" b="0"/>
                <wp:wrapNone/>
                <wp:docPr id="105" name="Frame104"/>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5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5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031" w:type="dxa"/>
        <w:jc w:val="left"/>
        <w:tblInd w:w="0" w:type="dxa"/>
        <w:tblLayout w:type="fixed"/>
        <w:tblCellMar>
          <w:top w:w="28" w:type="dxa"/>
          <w:left w:w="28" w:type="dxa"/>
          <w:bottom w:w="28" w:type="dxa"/>
          <w:right w:w="28" w:type="dxa"/>
        </w:tblCellMar>
      </w:tblPr>
      <w:tblGrid>
        <w:gridCol w:w="124"/>
        <w:gridCol w:w="109"/>
        <w:gridCol w:w="109"/>
        <w:gridCol w:w="165"/>
        <w:gridCol w:w="165"/>
        <w:gridCol w:w="165"/>
        <w:gridCol w:w="165"/>
        <w:gridCol w:w="165"/>
        <w:gridCol w:w="16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restart"/>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right w:val="single" w:sz="4" w:space="0" w:color="000000"/>
            </w:tcBorders>
            <w:shd w:fill="FFFFFF" w:val="clear"/>
            <w:tcMar>
              <w:top w:w="30" w:type="dxa"/>
              <w:left w:w="59" w:type="dxa"/>
              <w:bottom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vMerge w:val="continue"/>
            <w:tcBorders>
              <w:top w:val="single" w:sz="4"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000000"/>
              <w:left w:val="single" w:sz="4" w:space="0" w:color="000000"/>
              <w:bottom w:val="single" w:sz="4" w:space="0" w:color="000000"/>
            </w:tcBorders>
            <w:shd w:fill="FFFFFF" w:val="clear"/>
            <w:tcMar>
              <w:top w:w="30" w:type="dxa"/>
              <w:left w:w="5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4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76020"/>
                <wp:effectExtent l="0" t="0" r="0" b="0"/>
                <wp:wrapNone/>
                <wp:docPr id="106" name="Frame105"/>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6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6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40" w:after="283"/>
        <w:jc w:val="left"/>
        <w:rPr/>
      </w:pPr>
      <w:r>
        <w:rPr/>
      </w:r>
    </w:p>
    <w:tbl>
      <w:tblPr>
        <w:tblW w:w="4872" w:type="dxa"/>
        <w:jc w:val="left"/>
        <w:tblInd w:w="0" w:type="dxa"/>
        <w:tblLayout w:type="fixed"/>
        <w:tblCellMar>
          <w:top w:w="28" w:type="dxa"/>
          <w:left w:w="28" w:type="dxa"/>
          <w:bottom w:w="28" w:type="dxa"/>
          <w:right w:w="28" w:type="dxa"/>
        </w:tblCellMar>
      </w:tblPr>
      <w:tblGrid>
        <w:gridCol w:w="185"/>
        <w:gridCol w:w="162"/>
        <w:gridCol w:w="162"/>
        <w:gridCol w:w="362"/>
        <w:gridCol w:w="362"/>
        <w:gridCol w:w="362"/>
        <w:gridCol w:w="360"/>
        <w:gridCol w:w="360"/>
        <w:gridCol w:w="360"/>
        <w:gridCol w:w="237"/>
        <w:gridCol w:w="237"/>
        <w:gridCol w:w="237"/>
        <w:gridCol w:w="435"/>
        <w:gridCol w:w="435"/>
        <w:gridCol w:w="616"/>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0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108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r>
          </w:p>
        </w:tc>
        <w:tc>
          <w:tcPr>
            <w:tcW w:w="71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48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5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0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48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50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0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48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50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tc>
        <w:tc>
          <w:tcPr>
            <w:tcW w:w="10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firstLine="2"/>
              <w:jc w:val="left"/>
              <w:rPr>
                <w:rFonts w:ascii="Arial;sans-serif" w:hAnsi="Arial;sans-serif"/>
                <w:b w:val="false"/>
                <w:color w:val="000000"/>
                <w:sz w:val="22"/>
              </w:rPr>
            </w:pPr>
            <w:r>
              <w:rPr>
                <w:rFonts w:ascii="Arial;sans-serif" w:hAnsi="Arial;sans-serif"/>
                <w:b w:val="false"/>
                <w:color w:val="000000"/>
                <w:sz w:val="22"/>
              </w:rPr>
              <w:t>[***]</w:t>
            </w:r>
          </w:p>
        </w:tc>
        <w:tc>
          <w:tcPr>
            <w:tcW w:w="10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tc>
        <w:tc>
          <w:tcPr>
            <w:tcW w:w="71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0"/>
              <w:jc w:val="left"/>
              <w:rPr/>
            </w:pPr>
            <w:r>
              <w:rPr/>
            </w:r>
          </w:p>
        </w:tc>
        <w:tc>
          <w:tcPr>
            <w:tcW w:w="148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left"/>
              <w:rPr/>
            </w:pPr>
            <w:r>
              <w:rPr/>
            </w:r>
          </w:p>
        </w:tc>
      </w:tr>
      <w:tr>
        <w:trPr/>
        <w:tc>
          <w:tcPr>
            <w:tcW w:w="509"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0"/>
              <w:jc w:val="right"/>
              <w:rPr/>
            </w:pPr>
            <w:r>
              <w:rPr/>
            </w:r>
          </w:p>
        </w:tc>
        <w:tc>
          <w:tcPr>
            <w:tcW w:w="2877" w:type="dxa"/>
            <w:gridSpan w:val="9"/>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tLeast" w:line="210" w:before="0" w:after="0"/>
              <w:jc w:val="right"/>
              <w:rPr>
                <w:rFonts w:ascii="Arial;sans-serif" w:hAnsi="Arial;sans-serif"/>
                <w:b/>
                <w:color w:val="000000"/>
                <w:sz w:val="20"/>
              </w:rPr>
            </w:pPr>
            <w:r>
              <w:rPr>
                <w:rFonts w:ascii="Arial;sans-serif" w:hAnsi="Arial;sans-serif"/>
                <w:b/>
                <w:color w:val="000000"/>
                <w:sz w:val="20"/>
              </w:rPr>
              <w:t>Amended Total Grant Amount</w:t>
            </w:r>
          </w:p>
        </w:tc>
        <w:tc>
          <w:tcPr>
            <w:tcW w:w="14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10" w:before="0" w:after="0"/>
              <w:jc w:val="right"/>
              <w:rPr>
                <w:rFonts w:ascii="Arial;sans-serif" w:hAnsi="Arial;sans-serif"/>
                <w:b/>
                <w:color w:val="000000"/>
                <w:sz w:val="20"/>
              </w:rPr>
            </w:pPr>
            <w:r>
              <w:rPr>
                <w:rFonts w:ascii="Arial;sans-serif" w:hAnsi="Arial;sans-serif"/>
                <w:b/>
                <w:color w:val="000000"/>
                <w:sz w:val="20"/>
              </w:rPr>
              <w:t>$48,945,928.00</w:t>
            </w:r>
          </w:p>
        </w:tc>
      </w:tr>
    </w:tbl>
    <w:p>
      <w:pPr>
        <w:pStyle w:val="TextBody"/>
        <w:bidi w:val="0"/>
        <w:spacing w:lineRule="auto" w:line="288" w:before="227" w:after="283"/>
        <w:jc w:val="left"/>
        <w:rPr>
          <w:rFonts w:ascii="Arial;sans-serif" w:hAnsi="Arial;sans-serif"/>
          <w:b/>
          <w:color w:val="000000"/>
          <w:sz w:val="20"/>
        </w:rPr>
      </w:pPr>
      <w:r>
        <w:rPr>
          <w:rFonts w:ascii="Arial;sans-serif" w:hAnsi="Arial;sans-serif"/>
          <w:b/>
          <w:color w:val="000000"/>
          <w:sz w:val="20"/>
        </w:rPr>
        <w:t>COUNTERPARTS AND ELECTRONIC SIGNATURES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may be prohibited by applicable law or regulation, this Amendment may be signed in counterparts, by facsimile, PDF, or other electronic means, each of which will be deemed an original and all of which when taken together will constitute one agreement. Facsimile and electronic signatures will be binding for all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76020"/>
                <wp:effectExtent l="0" t="0" r="0" b="0"/>
                <wp:wrapNone/>
                <wp:docPr id="107" name="Frame106"/>
                <a:graphic xmlns:a="http://schemas.openxmlformats.org/drawingml/2006/main">
                  <a:graphicData uri="http://schemas.microsoft.com/office/word/2010/wordprocessingShape">
                    <wps:wsp>
                      <wps:cNvSpPr txBox="1"/>
                      <wps:spPr>
                        <a:xfrm>
                          <a:off x="0" y="0"/>
                          <a:ext cx="6480175" cy="1176020"/>
                        </a:xfrm>
                        <a:prstGeom prst="rect"/>
                        <a:solidFill>
                          <a:srgbClr val="FFFFFF"/>
                        </a:solidFill>
                      </wps:spPr>
                      <wps:txb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7 of 5 5#NUM_PAGES#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6pt;mso-wrap-distance-left:0pt;mso-wrap-distance-right:0pt;mso-wrap-distance-top:0pt;mso-wrap-distance-bottom:0pt;margin-top:0pt;mso-position-vertical:top;mso-position-vertical-relative:text;margin-left:0pt;mso-position-horizontal:left;mso-position-horizontal-relative:text">
                <v:textbox>
                  <w:txbxContent>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INV-026060-AMD-7</w:t>
                            </w:r>
                          </w:p>
                        </w:tc>
                      </w:tr>
                    </w:tbl>
                    <w:tbl>
                      <w:tblPr>
                        <w:tblW w:w="1904" w:type="dxa"/>
                        <w:jc w:val="left"/>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00" w:before="13" w:after="160"/>
                              <w:jc w:val="left"/>
                              <w:rPr>
                                <w:rFonts w:ascii="Arial;sans-serif" w:hAnsi="Arial;sans-serif"/>
                                <w:b w:val="false"/>
                                <w:color w:val="000000"/>
                                <w:sz w:val="16"/>
                              </w:rPr>
                            </w:pPr>
                            <w:r>
                              <w:rPr>
                                <w:rFonts w:ascii="Arial;sans-serif" w:hAnsi="Arial;sans-serif"/>
                                <w:b w:val="false"/>
                                <w:color w:val="000000"/>
                                <w:sz w:val="16"/>
                              </w:rPr>
                              <w:t>7 of 5 5#NUM_PAGES#</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13, 2026 </w:t>
      </w:r>
    </w:p>
    <w:tbl>
      <w:tblPr>
        <w:tblW w:w="5069" w:type="dxa"/>
        <w:jc w:val="right"/>
        <w:tblInd w:w="0" w:type="dxa"/>
        <w:tblLayout w:type="fixed"/>
        <w:tblCellMar>
          <w:top w:w="28" w:type="dxa"/>
          <w:left w:w="28" w:type="dxa"/>
          <w:bottom w:w="28" w:type="dxa"/>
          <w:right w:w="28" w:type="dxa"/>
        </w:tblCellMar>
      </w:tblPr>
      <w:tblGrid>
        <w:gridCol w:w="1621"/>
        <w:gridCol w:w="1422"/>
        <w:gridCol w:w="2026"/>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June 30, 2026,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August 13, 2026 </w:t>
      </w:r>
    </w:p>
    <w:p>
      <w:pPr>
        <w:pStyle w:val="TextBody"/>
        <w:bidi w:val="0"/>
        <w:spacing w:lineRule="auto" w:line="288" w:before="0" w:after="0"/>
        <w:jc w:val="left"/>
        <w:rPr>
          <w:color w:val="000000"/>
        </w:rPr>
      </w:pPr>
      <w:r>
        <w:rPr>
          <w:color w:val="000000"/>
        </w:rPr>
        <w:t> </w:t>
      </w:r>
    </w:p>
    <w:tbl>
      <w:tblPr>
        <w:tblW w:w="5039" w:type="dxa"/>
        <w:jc w:val="right"/>
        <w:tblInd w:w="0" w:type="dxa"/>
        <w:tblLayout w:type="fixed"/>
        <w:tblCellMar>
          <w:top w:w="28" w:type="dxa"/>
          <w:left w:w="28" w:type="dxa"/>
          <w:bottom w:w="28" w:type="dxa"/>
          <w:right w:w="28" w:type="dxa"/>
        </w:tblCellMar>
      </w:tblPr>
      <w:tblGrid>
        <w:gridCol w:w="1611"/>
        <w:gridCol w:w="1414"/>
        <w:gridCol w:w="2014"/>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0191426000032/ex101_amendmentno22022sip.htm" TargetMode="External"/><Relationship Id="rId4" Type="http://schemas.openxmlformats.org/officeDocument/2006/relationships/hyperlink" Target="https://www.sec.gov/Archives/edgar/data/1401914/000140191426000032/ex101_amendmentno22022sip.htm" TargetMode="External"/><Relationship Id="rId5" Type="http://schemas.openxmlformats.org/officeDocument/2006/relationships/hyperlink" Target="https://www.sec.gov/Archives/edgar/data/1401914/000140191426000032/ex101_amendmentno22022sip.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42087</Words>
  <Characters>234551</Characters>
  <CharactersWithSpaces>274292</CharactersWithSpaces>
  <Paragraphs>3636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