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CERULEAN PHARMA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20-4139823</w:t>
            </w:r>
          </w:p>
        </w:tc>
      </w:tr>
      <w:tr>
        <w:trPr>
          <w:trHeight w:val="149"/>
        </w:trPr>
        <w:tc>
          <w:tcPr>
            <w:tcW w:w="6080" w:type="dxa"/>
            <w:vAlign w:val="bottom"/>
          </w:tcPr>
          <w:p>
            <w:pPr>
              <w:jc w:val="center"/>
              <w:ind w:right="35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3"/>
              </w:rPr>
              <w:t>840 Memorial Drive</w:t>
            </w:r>
          </w:p>
        </w:tc>
        <w:tc>
          <w:tcPr>
            <w:tcW w:w="1480" w:type="dxa"/>
            <w:vAlign w:val="bottom"/>
          </w:tcPr>
          <w:p>
            <w:pPr>
              <w:spacing w:after="0"/>
              <w:rPr>
                <w:sz w:val="24"/>
                <w:szCs w:val="24"/>
                <w:color w:val="auto"/>
              </w:rPr>
            </w:pPr>
          </w:p>
        </w:tc>
      </w:tr>
      <w:tr>
        <w:trPr>
          <w:trHeight w:val="225"/>
        </w:trPr>
        <w:tc>
          <w:tcPr>
            <w:tcW w:w="6080" w:type="dxa"/>
            <w:vAlign w:val="bottom"/>
          </w:tcPr>
          <w:p>
            <w:pPr>
              <w:jc w:val="center"/>
              <w:ind w:right="3539"/>
              <w:spacing w:after="0"/>
              <w:rPr>
                <w:sz w:val="20"/>
                <w:szCs w:val="20"/>
                <w:color w:val="auto"/>
              </w:rPr>
            </w:pPr>
            <w:r>
              <w:rPr>
                <w:rFonts w:ascii="Arial" w:cs="Arial" w:eastAsia="Arial" w:hAnsi="Arial"/>
                <w:sz w:val="18"/>
                <w:szCs w:val="18"/>
                <w:b w:val="1"/>
                <w:bCs w:val="1"/>
                <w:color w:val="auto"/>
                <w:w w:val="95"/>
              </w:rPr>
              <w:t>Cambridge, 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080" w:type="dxa"/>
            <w:vAlign w:val="bottom"/>
          </w:tcPr>
          <w:p>
            <w:pPr>
              <w:jc w:val="center"/>
              <w:ind w:right="35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80" w:type="dxa"/>
            <w:vAlign w:val="bottom"/>
          </w:tcPr>
          <w:p>
            <w:pPr>
              <w:jc w:val="right"/>
              <w:ind w:right="1379"/>
              <w:spacing w:after="0"/>
              <w:rPr>
                <w:sz w:val="20"/>
                <w:szCs w:val="20"/>
                <w:color w:val="auto"/>
              </w:rPr>
            </w:pPr>
            <w:r>
              <w:rPr>
                <w:rFonts w:ascii="Arial" w:cs="Arial" w:eastAsia="Arial" w:hAnsi="Arial"/>
                <w:sz w:val="18"/>
                <w:szCs w:val="18"/>
                <w:b w:val="1"/>
                <w:bCs w:val="1"/>
                <w:color w:val="auto"/>
              </w:rPr>
              <w:t>(617) 551-9600</w:t>
            </w:r>
          </w:p>
        </w:tc>
        <w:tc>
          <w:tcPr>
            <w:tcW w:w="1480" w:type="dxa"/>
            <w:vAlign w:val="bottom"/>
          </w:tcPr>
          <w:p>
            <w:pPr>
              <w:spacing w:after="0"/>
              <w:rPr>
                <w:sz w:val="24"/>
                <w:szCs w:val="24"/>
                <w:color w:val="auto"/>
              </w:rPr>
            </w:pPr>
          </w:p>
        </w:tc>
      </w:tr>
      <w:tr>
        <w:trPr>
          <w:trHeight w:val="186"/>
        </w:trPr>
        <w:tc>
          <w:tcPr>
            <w:tcW w:w="6080" w:type="dxa"/>
            <w:vAlign w:val="bottom"/>
          </w:tcPr>
          <w:p>
            <w:pPr>
              <w:jc w:val="center"/>
              <w:ind w:left="19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70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70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6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80" w:type="dxa"/>
            <w:vAlign w:val="bottom"/>
            <w:gridSpan w:val="2"/>
          </w:tcPr>
          <w:p>
            <w:pPr>
              <w:ind w:left="460"/>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2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80" w:type="dxa"/>
            <w:vAlign w:val="bottom"/>
            <w:gridSpan w:val="2"/>
          </w:tcPr>
          <w:p>
            <w:pPr>
              <w:ind w:left="460"/>
              <w:spacing w:after="0"/>
              <w:rPr>
                <w:sz w:val="20"/>
                <w:szCs w:val="20"/>
                <w:color w:val="auto"/>
              </w:rPr>
            </w:pPr>
            <w:r>
              <w:rPr>
                <w:rFonts w:ascii="Arial" w:cs="Arial" w:eastAsia="Arial" w:hAnsi="Arial"/>
                <w:sz w:val="18"/>
                <w:szCs w:val="18"/>
                <w:color w:val="auto"/>
                <w:w w:val="90"/>
              </w:rPr>
              <w:t>Number of shares of the registrant’s Common Stock, $ 0.0001 par value, outstanding on May 19, 2014: 20,123,013</w:t>
            </w: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70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49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CERULEAN PHARMA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00" w:type="dxa"/>
            <w:vAlign w:val="bottom"/>
            <w:gridSpan w:val="10"/>
            <w:vMerge w:val="restart"/>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9"/>
            <w:vMerge w:val="continue"/>
          </w:tcPr>
          <w:p>
            <w:pPr>
              <w:spacing w:after="0"/>
              <w:rPr>
                <w:sz w:val="13"/>
                <w:szCs w:val="13"/>
                <w:color w:val="auto"/>
              </w:rPr>
            </w:pPr>
          </w:p>
        </w:tc>
        <w:tc>
          <w:tcPr>
            <w:tcW w:w="7700" w:type="dxa"/>
            <w:vAlign w:val="bottom"/>
            <w:gridSpan w:val="10"/>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2014 and December 31, 2013 (unaudited)</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Months Ended March 31, 2014 and 2013 and the period from</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November 28, 2005 (date of incorporation) to March 31, 2014 (unaudited)</w:t>
              </w:r>
            </w:hyperlink>
          </w:p>
        </w:tc>
        <w:tc>
          <w:tcPr>
            <w:tcW w:w="3540" w:type="dxa"/>
            <w:vAlign w:val="bottom"/>
            <w:tcBorders>
              <w:top w:val="single" w:sz="8" w:color="0000EE"/>
            </w:tcBorders>
            <w:gridSpan w:val="3"/>
          </w:tcPr>
          <w:p>
            <w:pPr>
              <w:spacing w:after="0"/>
              <w:rPr>
                <w:sz w:val="17"/>
                <w:szCs w:val="17"/>
                <w:color w:val="auto"/>
              </w:rPr>
            </w:pPr>
          </w:p>
        </w:tc>
        <w:tc>
          <w:tcPr>
            <w:tcW w:w="68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for the Three Months Ended March 31, 2014 and 2013 and the period from</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November 28, 2005 (date of incorporation) to March 31, 2014 (unaudited)</w:t>
              </w:r>
            </w:hyperlink>
          </w:p>
        </w:tc>
        <w:tc>
          <w:tcPr>
            <w:tcW w:w="3620" w:type="dxa"/>
            <w:vAlign w:val="bottom"/>
            <w:tcBorders>
              <w:top w:val="single" w:sz="8" w:color="0000EE"/>
            </w:tcBorders>
            <w:gridSpan w:val="5"/>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780" w:type="dxa"/>
            <w:vAlign w:val="bottom"/>
            <w:gridSpan w:val="18"/>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Quantitative and Qualitative Disclosures About Market Risk</w:t>
              </w:r>
            </w:hyperlink>
          </w:p>
        </w:tc>
        <w:tc>
          <w:tcPr>
            <w:tcW w:w="296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Controls and Procedures</w:t>
              </w:r>
            </w:hyperlink>
          </w:p>
        </w:tc>
        <w:tc>
          <w:tcPr>
            <w:tcW w:w="512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800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780" w:type="dxa"/>
            <w:vAlign w:val="bottom"/>
            <w:gridSpan w:val="18"/>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780" w:type="dxa"/>
            <w:vAlign w:val="bottom"/>
            <w:gridSpan w:val="18"/>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58">
              <w:r>
                <w:rPr>
                  <w:rFonts w:ascii="Arial" w:cs="Arial" w:eastAsia="Arial" w:hAnsi="Arial"/>
                  <w:sz w:val="18"/>
                  <w:szCs w:val="18"/>
                  <w:b w:val="1"/>
                  <w:bCs w:val="1"/>
                  <w:color w:val="0000EE"/>
                  <w:w w:val="88"/>
                </w:rPr>
                <w:t>Exhibits</w:t>
              </w:r>
            </w:hyperlink>
          </w:p>
        </w:tc>
        <w:tc>
          <w:tcPr>
            <w:tcW w:w="3920" w:type="dxa"/>
            <w:vAlign w:val="bottom"/>
            <w:tcBorders>
              <w:top w:val="single" w:sz="8" w:color="0000EE"/>
            </w:tcBorders>
            <w:gridSpan w:val="7"/>
          </w:tcPr>
          <w:p>
            <w:pPr>
              <w:spacing w:after="0"/>
              <w:rPr>
                <w:sz w:val="24"/>
                <w:szCs w:val="24"/>
                <w:color w:val="auto"/>
              </w:rPr>
            </w:pPr>
          </w:p>
        </w:tc>
        <w:tc>
          <w:tcPr>
            <w:tcW w:w="522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8"/>
                <w:szCs w:val="18"/>
                <w:b w:val="1"/>
                <w:bCs w:val="1"/>
                <w:color w:val="0000EE"/>
                <w:w w:val="85"/>
              </w:rPr>
            </w:pPr>
            <w:hyperlink w:anchor="page59">
              <w:r>
                <w:rPr>
                  <w:rFonts w:ascii="Arial" w:cs="Arial" w:eastAsia="Arial" w:hAnsi="Arial"/>
                  <w:sz w:val="18"/>
                  <w:szCs w:val="18"/>
                  <w:b w:val="1"/>
                  <w:bCs w:val="1"/>
                  <w:color w:val="0000EE"/>
                  <w:w w:val="85"/>
                </w:rPr>
                <w:t>Signatures</w:t>
              </w:r>
            </w:hyperlink>
          </w:p>
        </w:tc>
        <w:tc>
          <w:tcPr>
            <w:tcW w:w="896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380" w:type="dxa"/>
            <w:vAlign w:val="bottom"/>
          </w:tcPr>
          <w:p>
            <w:pPr>
              <w:ind w:left="282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20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740" w:type="dxa"/>
            <w:vAlign w:val="bottom"/>
            <w:gridSpan w:val="4"/>
          </w:tcPr>
          <w:p>
            <w:pPr>
              <w:spacing w:after="0"/>
              <w:rPr>
                <w:sz w:val="20"/>
                <w:szCs w:val="20"/>
                <w:color w:val="auto"/>
              </w:rPr>
            </w:pPr>
            <w:r>
              <w:rPr>
                <w:rFonts w:ascii="Arial" w:cs="Arial" w:eastAsia="Arial" w:hAnsi="Arial"/>
                <w:sz w:val="18"/>
                <w:szCs w:val="18"/>
                <w:b w:val="1"/>
                <w:bCs w:val="1"/>
                <w:color w:val="auto"/>
              </w:rPr>
              <w:t>CERULEAN PHARMA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40" w:type="dxa"/>
            <w:vAlign w:val="bottom"/>
            <w:gridSpan w:val="4"/>
          </w:tcPr>
          <w:p>
            <w:pPr>
              <w:spacing w:after="0"/>
              <w:rPr>
                <w:sz w:val="20"/>
                <w:szCs w:val="20"/>
                <w:color w:val="auto"/>
              </w:rPr>
            </w:pPr>
            <w:r>
              <w:rPr>
                <w:rFonts w:ascii="Arial" w:cs="Arial" w:eastAsia="Arial" w:hAnsi="Arial"/>
                <w:sz w:val="18"/>
                <w:szCs w:val="18"/>
                <w:b w:val="1"/>
                <w:bCs w:val="1"/>
                <w:color w:val="auto"/>
              </w:rPr>
              <w:t>(A Development Stage Company)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40" w:type="dxa"/>
            <w:vAlign w:val="bottom"/>
            <w:gridSpan w:val="4"/>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340"/>
              <w:spacing w:after="0"/>
              <w:rPr>
                <w:sz w:val="20"/>
                <w:szCs w:val="20"/>
                <w:color w:val="auto"/>
              </w:rPr>
            </w:pPr>
            <w:r>
              <w:rPr>
                <w:rFonts w:ascii="Arial" w:cs="Arial" w:eastAsia="Arial" w:hAnsi="Arial"/>
                <w:sz w:val="18"/>
                <w:szCs w:val="18"/>
                <w:color w:val="auto"/>
              </w:rPr>
              <w:t>Accounts receivable, 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223,000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340"/>
              <w:spacing w:after="0"/>
              <w:rPr>
                <w:sz w:val="20"/>
                <w:szCs w:val="20"/>
                <w:color w:val="auto"/>
              </w:rPr>
            </w:pPr>
            <w:r>
              <w:rPr>
                <w:rFonts w:ascii="Arial" w:cs="Arial" w:eastAsia="Arial" w:hAnsi="Arial"/>
                <w:sz w:val="18"/>
                <w:szCs w:val="18"/>
                <w:color w:val="auto"/>
              </w:rPr>
              <w:t>Current portion of loan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3,203,000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Convertible promissory notes payable to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2,160,000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24,180,000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15,146,000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340"/>
              <w:spacing w:after="0"/>
              <w:rPr>
                <w:sz w:val="20"/>
                <w:szCs w:val="20"/>
                <w:color w:val="auto"/>
              </w:rPr>
            </w:pPr>
            <w:r>
              <w:rPr>
                <w:rFonts w:ascii="Arial" w:cs="Arial" w:eastAsia="Arial" w:hAnsi="Arial"/>
                <w:sz w:val="18"/>
                <w:szCs w:val="18"/>
                <w:color w:val="auto"/>
              </w:rPr>
              <w:t>Loan payable —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2,297,000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340"/>
              <w:spacing w:after="0"/>
              <w:rPr>
                <w:sz w:val="20"/>
                <w:szCs w:val="20"/>
                <w:color w:val="auto"/>
              </w:rPr>
            </w:pPr>
            <w:r>
              <w:rPr>
                <w:rFonts w:ascii="Arial" w:cs="Arial" w:eastAsia="Arial" w:hAnsi="Arial"/>
                <w:sz w:val="18"/>
                <w:szCs w:val="18"/>
                <w:color w:val="auto"/>
              </w:rPr>
              <w:t>Noncurrent accrued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452,000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3,187,000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81,525,000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81,525,000</w:t>
            </w:r>
          </w:p>
        </w:tc>
        <w:tc>
          <w:tcPr>
            <w:tcW w:w="0" w:type="dxa"/>
            <w:vAlign w:val="bottom"/>
          </w:tcPr>
          <w:p>
            <w:pPr>
              <w:spacing w:after="0"/>
              <w:rPr>
                <w:sz w:val="1"/>
                <w:szCs w:val="1"/>
                <w:color w:val="auto"/>
              </w:rPr>
            </w:pPr>
          </w:p>
        </w:tc>
      </w:tr>
      <w:tr>
        <w:trPr>
          <w:trHeight w:val="223"/>
        </w:trPr>
        <w:tc>
          <w:tcPr>
            <w:tcW w:w="8740" w:type="dxa"/>
            <w:vAlign w:val="bottom"/>
            <w:gridSpan w:val="4"/>
          </w:tcPr>
          <w:p>
            <w:pPr>
              <w:spacing w:after="0"/>
              <w:rPr>
                <w:sz w:val="20"/>
                <w:szCs w:val="20"/>
                <w:color w:val="auto"/>
              </w:rPr>
            </w:pPr>
            <w:r>
              <w:rPr>
                <w:rFonts w:ascii="Arial" w:cs="Arial" w:eastAsia="Arial" w:hAnsi="Arial"/>
                <w:sz w:val="18"/>
                <w:szCs w:val="18"/>
                <w:color w:val="auto"/>
              </w:rPr>
              <w:t>Commitments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Common stock, $0.0001 par value; 132,000,000 shares and designated, 793,561 and 785,531 shares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and outstanding at March 31, 2014 and December 31, 2013,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4,315,000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340"/>
              <w:spacing w:after="0"/>
              <w:rPr>
                <w:sz w:val="20"/>
                <w:szCs w:val="20"/>
                <w:color w:val="auto"/>
              </w:rPr>
            </w:pPr>
            <w:r>
              <w:rPr>
                <w:rFonts w:ascii="Arial" w:cs="Arial" w:eastAsia="Arial" w:hAnsi="Arial"/>
                <w:sz w:val="18"/>
                <w:szCs w:val="18"/>
                <w:color w:val="auto"/>
              </w:rPr>
              <w:t>Deficit accumulated during the development stage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w w:val="89"/>
              </w:rPr>
              <w:t>(101,353,000)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(98,439,000)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7"/>
              </w:rPr>
              <w:t>(97,038,000)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(94,299,000)</w:t>
            </w: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11,854,000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CERULEAN PHARMA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32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November 28, 2005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320" w:type="dxa"/>
            <w:vAlign w:val="bottom"/>
            <w:gridSpan w:val="5"/>
            <w:vMerge w:val="restart"/>
          </w:tcPr>
          <w:p>
            <w:pPr>
              <w:jc w:val="right"/>
              <w:ind w:right="100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(Date of Incorporation)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to 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1,495,000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3,479,000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1,972,000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33,080,000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3,005,000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5,451,000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101,617,000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(461,000)</w:t>
            </w: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(2,856,000)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value of preferred stock warrant liability</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Total other income (expense) — net</w:t>
            </w:r>
          </w:p>
        </w:tc>
        <w:tc>
          <w:tcPr>
            <w:tcW w:w="1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(2,914,000)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(5,572,000)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Accretion of redeemable convertible preferred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(694,000)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(2,914,000)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(5,572,000)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(102,047,000)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(167.93)</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786,986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CERULEAN PHARMA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November 28, 2005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gridSpan w:val="7"/>
            <w:vMerge w:val="restart"/>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15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(Date of Incorporation)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to March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(2,914,000)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(5,572,000)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(101,353,000)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6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153,000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research and development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700"/>
              <w:spacing w:after="0"/>
              <w:rPr>
                <w:sz w:val="20"/>
                <w:szCs w:val="20"/>
                <w:color w:val="auto"/>
              </w:rPr>
            </w:pPr>
            <w:r>
              <w:rPr>
                <w:rFonts w:ascii="Arial" w:cs="Arial" w:eastAsia="Arial" w:hAnsi="Arial"/>
                <w:sz w:val="18"/>
                <w:szCs w:val="18"/>
                <w:color w:val="auto"/>
              </w:rPr>
              <w:t>Noncash rent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carrying value of preferred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700"/>
              <w:spacing w:after="0"/>
              <w:rPr>
                <w:sz w:val="20"/>
                <w:szCs w:val="20"/>
                <w:color w:val="auto"/>
              </w:rPr>
            </w:pPr>
            <w:r>
              <w:rPr>
                <w:rFonts w:ascii="Arial" w:cs="Arial" w:eastAsia="Arial" w:hAnsi="Arial"/>
                <w:sz w:val="18"/>
                <w:szCs w:val="18"/>
                <w:color w:val="auto"/>
              </w:rPr>
              <w:t>Noncash 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163,000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60"/>
              <w:spacing w:after="0"/>
              <w:rPr>
                <w:sz w:val="20"/>
                <w:szCs w:val="20"/>
                <w:color w:val="auto"/>
              </w:rPr>
            </w:pPr>
            <w:r>
              <w:rPr>
                <w:rFonts w:ascii="Arial" w:cs="Arial" w:eastAsia="Arial" w:hAnsi="Arial"/>
                <w:sz w:val="18"/>
                <w:szCs w:val="18"/>
                <w:color w:val="auto"/>
              </w:rPr>
              <w:t>Accounts receivable,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(1,019,000)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(781,000)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(3,666,000)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(4,602,000)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(94,318,000)</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Payments on capital lease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8,500,000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24,324,000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loans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Payments on loans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(812,000)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(748,000)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(1,065,000)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Proceeds from sale of redeemable convertible preferred stock — net of issuance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105,123,000</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2,980,000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(5,336,000)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5,488,000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16,707,000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 —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8,468,000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11,371,000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2,226,000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w w:val="96"/>
              </w:rPr>
              <w:t>Conversion of accrued interest and convertible notes payable to Seed Redeemable Convertible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Preferred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340"/>
              <w:spacing w:after="0"/>
              <w:rPr>
                <w:sz w:val="20"/>
                <w:szCs w:val="20"/>
                <w:color w:val="auto"/>
              </w:rPr>
            </w:pPr>
            <w:r>
              <w:rPr>
                <w:rFonts w:ascii="Arial" w:cs="Arial" w:eastAsia="Arial" w:hAnsi="Arial"/>
                <w:sz w:val="18"/>
                <w:szCs w:val="18"/>
                <w:color w:val="auto"/>
                <w:w w:val="92"/>
              </w:rPr>
              <w:t>Conversion of accrued interest and convertible notes payable to Series C Redeemable Convertible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Preferred Stock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6,676,000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acquired under capital lease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34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preferred stock warrants issued in connection with debt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182,000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1,143,000</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 Interest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CERULEAN PHARMA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OPERATIONS</w:t>
      </w:r>
    </w:p>
    <w:p>
      <w:pPr>
        <w:spacing w:after="0" w:line="117" w:lineRule="exact"/>
        <w:rPr>
          <w:rFonts w:ascii="Arial" w:cs="Arial" w:eastAsia="Arial" w:hAnsi="Arial"/>
          <w:sz w:val="18"/>
          <w:szCs w:val="18"/>
          <w:b w:val="1"/>
          <w:bCs w:val="1"/>
          <w:color w:val="auto"/>
        </w:rPr>
      </w:pPr>
    </w:p>
    <w:p>
      <w:pPr>
        <w:ind w:left="460" w:right="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color w:val="auto"/>
        </w:rPr>
        <w:t>— Cerulean Pharma Inc. (the “Company”) was incorporated on November 28, 2005 as a Delaware corporation and is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Cambridge, Massachusetts. The Company was formed to develop novel, nanotechnology-based therapeutics in the areas of oncology and other diseases. During 2013, the Company formed a wholly-owned subsidiary, Cerulean Pharma Australia Pty Ltd as an Australian-based proprietary limited company. The activity in the subsidiary to date has been insignificant.</w:t>
      </w:r>
    </w:p>
    <w:p>
      <w:pPr>
        <w:spacing w:after="0" w:line="71" w:lineRule="exact"/>
        <w:rPr>
          <w:rFonts w:ascii="Arial" w:cs="Arial" w:eastAsia="Arial" w:hAnsi="Arial"/>
          <w:sz w:val="18"/>
          <w:szCs w:val="18"/>
          <w:b w:val="1"/>
          <w:bCs w:val="1"/>
          <w:color w:val="auto"/>
        </w:rPr>
      </w:pPr>
    </w:p>
    <w:p>
      <w:pPr>
        <w:ind w:left="460"/>
        <w:spacing w:after="0" w:line="292"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 </w:t>
      </w:r>
      <w:r>
        <w:rPr>
          <w:rFonts w:ascii="Arial" w:cs="Arial" w:eastAsia="Arial" w:hAnsi="Arial"/>
          <w:sz w:val="16"/>
          <w:szCs w:val="16"/>
          <w:color w:val="auto"/>
        </w:rPr>
        <w:t>The consolidated financial statements include the accounts of the Company and its wholly-owned subsidiary. All intercompany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consolidated financial statements should be read in conjunction with the financial statements as of and for the year ended December 31, 2013 and notes thereto, included in the Company’s prospectus filed with the SEC pursuant to Rule 424(b)(4) on April 14, 2014 (the “Prospectus”).</w:t>
      </w:r>
    </w:p>
    <w:p>
      <w:pPr>
        <w:spacing w:after="0" w:line="57" w:lineRule="exact"/>
        <w:rPr>
          <w:rFonts w:ascii="Arial" w:cs="Arial" w:eastAsia="Arial" w:hAnsi="Arial"/>
          <w:sz w:val="18"/>
          <w:szCs w:val="18"/>
          <w:b w:val="1"/>
          <w:bCs w:val="1"/>
          <w:color w:val="auto"/>
        </w:rPr>
      </w:pPr>
    </w:p>
    <w:p>
      <w:pPr>
        <w:ind w:left="4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consolidated financial statements have been prepared on the same basis as the audited consolidated financial statements. In the opinion of the Company’s management, the accompanying unaudited interim consolidated financial statements contain all adjustments which are necessary to present fairly the Company’s financial position as of March 31, 2014 and the results of its operations and cash flows for the three months ended March 31, 2014 and 2013 and the period from November 28, 2005 (date of incorporation) to March 31, 2014. Such adjustments are of a normal and recurring nature. The results for the three months ended March 31, 2014 are not indicative of the results for the year ending December 31, 2014, or for any future period.</w:t>
      </w:r>
    </w:p>
    <w:p>
      <w:pPr>
        <w:spacing w:after="0" w:line="85"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April 15, 2014, the Company completed the sale of 8,500,000 shares of its common stock in its initial public offering (the “IPO”), at a price to the public of $7.00 per share, resulting in net proceeds to the Company of $53.2 million after deducting underwriting discounts and commissions and offering expenses payable by the Company. On May 7, 2014, the Company completed the sale of an additional 1,069,715 shares of common stock at a price to the public of $7.00 per share under a partial exercise by the underwriters of their option to purchase additional shares of common stock, resulting in net proceeds to the Company of $7.0 million after deducting underwriting discounts and commissions.</w:t>
      </w:r>
    </w:p>
    <w:p>
      <w:pPr>
        <w:spacing w:after="0" w:line="64" w:lineRule="exact"/>
        <w:rPr>
          <w:rFonts w:ascii="Arial" w:cs="Arial" w:eastAsia="Arial" w:hAnsi="Arial"/>
          <w:sz w:val="18"/>
          <w:szCs w:val="18"/>
          <w:b w:val="1"/>
          <w:bCs w:val="1"/>
          <w:color w:val="auto"/>
        </w:rPr>
      </w:pPr>
    </w:p>
    <w:p>
      <w:pPr>
        <w:ind w:left="46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preparation for the IPO, the Company’s board of directors and stockholders approved a 1-for-14.5074 reverse stock split of the Company’s common stock effective March 31, 2014. All share and per share amounts in the consolidated financial statements contained herein and notes thereto have been retroactively adjusted, where necessary, to give effect to this reverse stock split. 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 in shares outstanding in April 2014 is expected to impact the year-over-year comparability of the Company’s net loss per share calculations over the next year.</w:t>
      </w:r>
    </w:p>
    <w:p>
      <w:pPr>
        <w:spacing w:after="0" w:line="56"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material changes to the significant accounting policies previously disclosed in the Company’s Prospectus.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weighted-average number of common shares outstanding for the period. During periods in which the Company earns net income, the Company would allocate participating securities a proportional share of net income determined by dividing total weighted average participating securities by the sum of the total weighted average common shares and participating securities (the “two-class method”). The Company’s preferred stock participates in dividends declared by the Company and are therefore considered to be participating securities. Participating securities have the effect of diluting both basic and diluted earnings per share during periods in which the Company earns net income. During periods in which the Company incurs a net loss, the Company allocates no portion of the loss to participating securities because they have no contractual obligation to share in the losses of the Company. The Company computes diluted loss per common share after giving consideration to the dilutive effect of stock options, warrants and unvested restricted stock that are outstanding to the period, except where the inclusion of such nonparticipating securities would be antidilutive.</w:t>
      </w:r>
    </w:p>
    <w:p>
      <w:pPr>
        <w:spacing w:after="0" w:line="58"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reported a net loss for all periods presented and, therefore diluted net loss per common share is the same as basic net loss per common share.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(2,914,000)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(5,572,000)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Accretion of preferred stock issuance costs to redemption value</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(2,914,000)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(5,572,000)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 basic and 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786,986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per share attributable to common stockholders — 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following potentially dilutive securities that were outstanding, prior to the use of the two-class method, have been excluded from the computation of diluted weighted-average shares outstanding, because the inclusion of such securities would have an antidilutive impact due to the losses reported (in common stock equivalent shares):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6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66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1,208,077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1,142,838</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128,663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128,663</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6,826,004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6,992,694</w:t>
            </w:r>
          </w:p>
        </w:tc>
        <w:tc>
          <w:tcPr>
            <w:tcW w:w="100" w:type="dxa"/>
            <w:vAlign w:val="bottom"/>
            <w:shd w:val="clear" w:color="auto" w:fill="CCEEFF"/>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2,894,099</w:t>
            </w:r>
          </w:p>
        </w:tc>
        <w:tc>
          <w:tcPr>
            <w:tcW w:w="3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350"/>
        </w:trPr>
        <w:tc>
          <w:tcPr>
            <w:tcW w:w="6660" w:type="dxa"/>
            <w:vAlign w:val="bottom"/>
          </w:tcPr>
          <w:p>
            <w:pPr>
              <w:ind w:left="428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756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00" w:type="dxa"/>
            <w:vAlign w:val="bottom"/>
          </w:tcPr>
          <w:p>
            <w:pPr>
              <w:spacing w:after="0"/>
              <w:rPr>
                <w:sz w:val="24"/>
                <w:szCs w:val="24"/>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March 31,</w:t>
            </w:r>
          </w:p>
        </w:tc>
        <w:tc>
          <w:tcPr>
            <w:tcW w:w="136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Accrued clinical trial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contract manufacturing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618,000</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7560" w:type="dxa"/>
            <w:vAlign w:val="bottom"/>
            <w:gridSpan w:val="2"/>
          </w:tcPr>
          <w:p>
            <w:pPr>
              <w:ind w:left="108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1,493,000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2,274,000</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PAYABLE TO SHAREHOLDERS</w:t>
      </w:r>
    </w:p>
    <w:p>
      <w:pPr>
        <w:spacing w:after="0" w:line="121"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2014, the Company issued convertible promissory notes in the aggregate amount of $6,000,000 to existing investors and a convertible promissory note in the amount of $2,500,000 to a new investor. All the notes have a stated interest rate of 7%, and are payable within 30 days of written demand by the holders of at least 60% of the aggregate principal amount outstanding under the notes after February 26, 2015. Outstanding principal and unpaid accrued interest due under the notes were automatically converted into shares of the Company’s common stock upon the closing of the Company’s IPO on April 15, 2014, at a conversion price equal to 77.5% of the IPO price. The Company will record a non-cash charge in the second quarter of 2014, equal to the difference between the fair value of the shares into which the notes converted and the carrying amount of the notes.</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2007 Stock Incentive Plan</w:t>
      </w:r>
    </w:p>
    <w:p>
      <w:pPr>
        <w:spacing w:after="0" w:line="117"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recorded aggregate stock-based compensation expense related to the issuance of stock option awards in the following line items in the accompanying consolidated statement of operations: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70"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directors in exchange for board services during the three months ended March 31, 2014 and 2013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0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9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 years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920" w:type="dxa"/>
            <w:vAlign w:val="bottom"/>
            <w:gridSpan w:val="3"/>
          </w:tcPr>
          <w:p>
            <w:pPr>
              <w:jc w:val="right"/>
              <w:ind w:right="480"/>
              <w:spacing w:after="0"/>
              <w:rPr>
                <w:sz w:val="20"/>
                <w:szCs w:val="20"/>
                <w:color w:val="auto"/>
              </w:rPr>
            </w:pPr>
            <w:r>
              <w:rPr>
                <w:rFonts w:ascii="Arial" w:cs="Arial" w:eastAsia="Arial" w:hAnsi="Arial"/>
                <w:sz w:val="18"/>
                <w:szCs w:val="18"/>
                <w:color w:val="auto"/>
              </w:rPr>
              <w:t>1.83%-2.00%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40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0" w:type="dxa"/>
            <w:vAlign w:val="bottom"/>
          </w:tcPr>
          <w:p>
            <w:pPr>
              <w:jc w:val="right"/>
              <w:ind w:right="191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 summary of stock option activity for employee, directors and nonemployee awards under the 2007 Stock Incentive Plan (the “2007 Plan”) during the three months ended March 31, 2014 is presented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9"/>
              </w:rPr>
              <w:t>Number of</w:t>
            </w: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Contractual</w:t>
            </w:r>
          </w:p>
        </w:tc>
        <w:tc>
          <w:tcPr>
            <w:tcW w:w="5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Life (Years)</w:t>
            </w:r>
          </w:p>
        </w:tc>
        <w:tc>
          <w:tcPr>
            <w:tcW w:w="5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January 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1,062,694</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$7,028,000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159,610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10.59</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(6,197)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5.76</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 March 31, 2014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1,208,077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$3,169,000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Options expected to vest — March 31, 2014</w:t>
            </w:r>
          </w:p>
        </w:tc>
        <w:tc>
          <w:tcPr>
            <w:tcW w:w="134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5.62</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360" w:type="dxa"/>
            <w:vAlign w:val="bottom"/>
            <w:gridSpan w:val="2"/>
            <w:vMerge w:val="restart"/>
          </w:tcPr>
          <w:p>
            <w:pPr>
              <w:jc w:val="center"/>
              <w:ind w:left="450"/>
              <w:spacing w:after="0"/>
              <w:rPr>
                <w:sz w:val="20"/>
                <w:szCs w:val="20"/>
                <w:color w:val="auto"/>
              </w:rPr>
            </w:pPr>
            <w:r>
              <w:rPr>
                <w:rFonts w:ascii="Arial" w:cs="Arial" w:eastAsia="Arial" w:hAnsi="Arial"/>
                <w:sz w:val="18"/>
                <w:szCs w:val="18"/>
                <w:color w:val="auto"/>
                <w:w w:val="90"/>
              </w:rPr>
              <w:t>$1,267,000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543,449</w:t>
            </w:r>
          </w:p>
        </w:tc>
        <w:tc>
          <w:tcPr>
            <w:tcW w:w="5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 March 31, 2014</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637,169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$1,839,000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weighted-average per share grant date fair value of options granted during the three months ended March 31, 2014 and 2013 was $5.95 and $2.67, respectively.</w:t>
      </w:r>
    </w:p>
    <w:p>
      <w:pPr>
        <w:spacing w:after="0" w:line="6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Company has recorded stock-based compensation expense related to nonemployee awards of $12,000, and $9,000 for the three months ended March 31, 2014 and 2013, respectively. The compensation expense related to the nonemployee awards is included in the total stock-based compensation each year and is subject to re-measurement until the options vest. The Black-Scholes assumptions used to estimate fair value for the three months ended March 31, 2014 and 2013, respectively, were as follows: risk-free rate of 2.11% to 2.63% and 1.11% to 1.49%, estimated volatility of 56% to 59% and 76% to 79%, remaining contractual life of 8 and 7 years and no expected dividends, respectively. The Company did not grant any nonemployee stock option grants for the three months ended March 31, 2014 and 2013, except for a performance award grant in 2013, to the board chairman for non-board related services.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117"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In March 2014, the Company’s board of directors adopted and its stockholders approved the 2014 Stock Incentive Plan (the “2014 Plan”), which became effective upon the closing of the IPO. The 2014 Plan provides for the grant of incentive stock options, nonstatutory stock options, stock appreciation rights, restricted stock, restricted stock units and other stock-based awards. Upon effectiveness of the 2014 Plan, the number of shares of the Company’s common stock that were reserved for issuance under the 2014 Plan was equal to the sum of (1) 2,400,000 shares plus (2) the number of shares (up to 1,221,651 shares) equal to the sum of the number of shares of the Company’s common stock then available for grant under the 2007 Plan and the number of shares of the Company’s common stock subject to outstanding awards under the 2007 Plan that expire, terminate or are otherwise surrendered, cancelled, forfeited or repurchased by the Company at their original issuance price pursuant to a contractual repurchase right (subject, in the case of incentive stock options, to any limitation of the Internal Revenue Code) plus (3) an annual increase to be added on the first day of each fiscal year, beginning with the fiscal year ending December 31, 2015 and continuing until, and including, the fiscal year ending December 31, 2024, equal to the least of (A) 1,000,000 shares of the Company’s common stock (B) 4% of the number of shares of the Company’s common stock outstanding on the first day of the fiscal year, or (C) an amount determined by the Company’s board of directors.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In March 2014, the Company’s board of directors adopted and its stockholders approved the 2014 employee stock purchase plan (the “2014 ESPP”), which became effective upon the closing of the IPO. The 2014 ESPP will be administered by the Company’s board of directors or by a committee appointed by the Company’s board of directors. The 2014 ESPP initially provides participating employees with the opportunity to purchase up to an aggregate 500,000 of shares of the Company’s common stock. The number of shares of the Company’s common stock reserved for issuance under the 2014 ESPP will automatically increase on the first day of each fiscal year, commencing on January 1, 2015 and ending January 1, 2024, in an amount equal to the least of (i) 600,000 shares of the Company’s common stock, (ii) 1% of the total number of shares of the Company’s common stock outstanding on the first day of the applicable year, or (iii) an amount determined by the Company’s board of directors.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jc w:val="both"/>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 term nature of the debt and because the debt bears interest at the prevailing market rate for instruments with similar characteristics.</w:t>
      </w:r>
    </w:p>
    <w:p>
      <w:pPr>
        <w:spacing w:after="0" w:line="63" w:lineRule="exact"/>
        <w:rPr>
          <w:rFonts w:ascii="Arial" w:cs="Arial" w:eastAsia="Arial" w:hAnsi="Arial"/>
          <w:sz w:val="18"/>
          <w:szCs w:val="18"/>
          <w:b w:val="1"/>
          <w:bCs w:val="1"/>
          <w:color w:val="auto"/>
        </w:rPr>
      </w:pPr>
    </w:p>
    <w:p>
      <w:pPr>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38"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that are accessible at the market date for identical unrestricted assets or liabilities.</w:t>
      </w:r>
    </w:p>
    <w:p>
      <w:pPr>
        <w:spacing w:after="0" w:line="117"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128"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summary of the financial assets and liabilities that are measured on a recurring basis at fair value as of March 31, 2014 and December 31, 2013,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4"/>
              </w:rPr>
              <w:t>Fair Value Measurements Using</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Assets</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1)</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2014</w:t>
            </w:r>
          </w:p>
        </w:tc>
        <w:tc>
          <w:tcPr>
            <w:tcW w:w="1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Money market funds</w:t>
            </w:r>
          </w:p>
        </w:tc>
        <w:tc>
          <w:tcPr>
            <w:tcW w:w="2820" w:type="dxa"/>
            <w:vAlign w:val="bottom"/>
            <w:gridSpan w:val="3"/>
          </w:tcPr>
          <w:p>
            <w:pPr>
              <w:jc w:val="right"/>
              <w:ind w:right="600"/>
              <w:spacing w:after="0"/>
              <w:rPr>
                <w:sz w:val="20"/>
                <w:szCs w:val="20"/>
                <w:color w:val="auto"/>
              </w:rPr>
            </w:pPr>
            <w:r>
              <w:rPr>
                <w:rFonts w:ascii="Arial" w:cs="Arial" w:eastAsia="Arial" w:hAnsi="Arial"/>
                <w:sz w:val="18"/>
                <w:szCs w:val="18"/>
                <w:color w:val="auto"/>
              </w:rPr>
              <w:t>$7,883,000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$7,883,000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liability</w:t>
            </w:r>
          </w:p>
        </w:tc>
        <w:tc>
          <w:tcPr>
            <w:tcW w:w="2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424,000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December 31, 2013</w:t>
            </w: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$5,233,000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0"/>
              </w:rPr>
              <w:t>$5,233,000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2820" w:type="dxa"/>
            <w:vAlign w:val="bottom"/>
            <w:gridSpan w:val="3"/>
          </w:tcPr>
          <w:p>
            <w:pPr>
              <w:jc w:val="right"/>
              <w:ind w:right="600"/>
              <w:spacing w:after="0"/>
              <w:rPr>
                <w:sz w:val="20"/>
                <w:szCs w:val="20"/>
                <w:color w:val="auto"/>
              </w:rPr>
            </w:pPr>
            <w:r>
              <w:rPr>
                <w:rFonts w:ascii="Arial" w:cs="Arial" w:eastAsia="Arial" w:hAnsi="Arial"/>
                <w:sz w:val="18"/>
                <w:szCs w:val="18"/>
                <w:color w:val="auto"/>
              </w:rPr>
              <w:t>928,000</w:t>
            </w:r>
          </w:p>
        </w:tc>
        <w:tc>
          <w:tcPr>
            <w:tcW w:w="100" w:type="dxa"/>
            <w:vAlign w:val="bottom"/>
          </w:tcPr>
          <w:p>
            <w:pPr>
              <w:spacing w:after="0"/>
              <w:rPr>
                <w:sz w:val="20"/>
                <w:szCs w:val="20"/>
                <w:color w:val="auto"/>
              </w:rPr>
            </w:pPr>
          </w:p>
        </w:tc>
        <w:tc>
          <w:tcPr>
            <w:tcW w:w="15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928,000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convertible notes payable and loan agreements are Level 2 measurements in the fair value hierarchy.</w:t>
      </w:r>
    </w:p>
    <w:p>
      <w:pPr>
        <w:spacing w:after="0" w:line="117"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transfers between levels have occurred during the periods presented.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reconciliation of the Company’s liabilities measured at fair value on a recurring basis using unobservable inputs (Level 3) is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Preferred Stock Warrant</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2"/>
                <w:szCs w:val="12"/>
                <w:color w:val="auto"/>
              </w:rPr>
            </w:pPr>
          </w:p>
        </w:tc>
        <w:tc>
          <w:tcPr>
            <w:tcW w:w="114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Series C</w:t>
            </w:r>
          </w:p>
        </w:tc>
        <w:tc>
          <w:tcPr>
            <w:tcW w:w="80" w:type="dxa"/>
            <w:vAlign w:val="bottom"/>
          </w:tcPr>
          <w:p>
            <w:pPr>
              <w:spacing w:after="0"/>
              <w:rPr>
                <w:sz w:val="12"/>
                <w:szCs w:val="12"/>
                <w:color w:val="auto"/>
              </w:rPr>
            </w:pPr>
          </w:p>
        </w:tc>
        <w:tc>
          <w:tcPr>
            <w:tcW w:w="114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Series D</w:t>
            </w:r>
          </w:p>
        </w:tc>
        <w:tc>
          <w:tcPr>
            <w:tcW w:w="80" w:type="dxa"/>
            <w:vAlign w:val="bottom"/>
          </w:tcPr>
          <w:p>
            <w:pPr>
              <w:spacing w:after="0"/>
              <w:rPr>
                <w:sz w:val="12"/>
                <w:szCs w:val="12"/>
                <w:color w:val="auto"/>
              </w:rPr>
            </w:pPr>
          </w:p>
        </w:tc>
        <w:tc>
          <w:tcPr>
            <w:tcW w:w="76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$ 7,000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$ 500,000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$ 623,000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Decrease in fair value recorded in other income</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(3,000)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(116,000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(112,000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$ 4,000</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$ 384,000</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$ 511,000</w:t>
            </w: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899,000</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Preferred Stock Warrant</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2"/>
                <w:szCs w:val="12"/>
                <w:color w:val="auto"/>
              </w:rPr>
            </w:pPr>
          </w:p>
        </w:tc>
        <w:tc>
          <w:tcPr>
            <w:tcW w:w="11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Series C</w:t>
            </w:r>
          </w:p>
        </w:tc>
        <w:tc>
          <w:tcPr>
            <w:tcW w:w="80" w:type="dxa"/>
            <w:vAlign w:val="bottom"/>
          </w:tcPr>
          <w:p>
            <w:pPr>
              <w:spacing w:after="0"/>
              <w:rPr>
                <w:sz w:val="12"/>
                <w:szCs w:val="12"/>
                <w:color w:val="auto"/>
              </w:rPr>
            </w:pPr>
          </w:p>
        </w:tc>
        <w:tc>
          <w:tcPr>
            <w:tcW w:w="11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Series D</w:t>
            </w:r>
          </w:p>
        </w:tc>
        <w:tc>
          <w:tcPr>
            <w:tcW w:w="80" w:type="dxa"/>
            <w:vAlign w:val="bottom"/>
          </w:tcPr>
          <w:p>
            <w:pPr>
              <w:spacing w:after="0"/>
              <w:rPr>
                <w:sz w:val="12"/>
                <w:szCs w:val="12"/>
                <w:color w:val="auto"/>
              </w:rPr>
            </w:pPr>
          </w:p>
        </w:tc>
        <w:tc>
          <w:tcPr>
            <w:tcW w:w="76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$ 4,000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$ 386,000</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$ 538,000</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$ 928,000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Decrease in fair value recorded in other income</w:t>
            </w:r>
          </w:p>
        </w:tc>
        <w:tc>
          <w:tcPr>
            <w:tcW w:w="80" w:type="dxa"/>
            <w:vAlign w:val="bottom"/>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(2,000)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(229,000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(273,000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$ 2,000</w:t>
            </w:r>
          </w:p>
        </w:tc>
        <w:tc>
          <w:tcPr>
            <w:tcW w:w="4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w w:val="99"/>
              </w:rPr>
              <w:t>$ 157,000</w:t>
            </w:r>
          </w:p>
        </w:tc>
        <w:tc>
          <w:tcPr>
            <w:tcW w:w="12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w w:val="99"/>
              </w:rPr>
              <w:t>$ 265,000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$ 424,000</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warrants were valued using the Black-Scholes option-pricing model. The following assumptions were used in the Black-Scholes option pricing model to determine the fair value of the preferred stock warrant liability:</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4-8 years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gridSpan w:val="2"/>
          </w:tcPr>
          <w:p>
            <w:pPr>
              <w:jc w:val="center"/>
              <w:ind w:left="2190"/>
              <w:spacing w:after="0"/>
              <w:rPr>
                <w:sz w:val="20"/>
                <w:szCs w:val="20"/>
                <w:color w:val="auto"/>
              </w:rPr>
            </w:pPr>
            <w:r>
              <w:rPr>
                <w:rFonts w:ascii="Arial" w:cs="Arial" w:eastAsia="Arial" w:hAnsi="Arial"/>
                <w:sz w:val="18"/>
                <w:szCs w:val="18"/>
                <w:color w:val="auto"/>
                <w:w w:val="92"/>
              </w:rPr>
              <w:t>2.23%-2.72%</w:t>
            </w:r>
          </w:p>
        </w:tc>
        <w:tc>
          <w:tcPr>
            <w:tcW w:w="144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2.29%-2.90%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8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2"/>
              </w:rPr>
              <w:t>64%-65%</w:t>
            </w:r>
          </w:p>
        </w:tc>
        <w:tc>
          <w:tcPr>
            <w:tcW w:w="14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64%-65%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preferred stock warrant liability was reclassified into additional paid-in capital at the fair value in connection with the IPO on April 15, 2014.</w:t>
      </w:r>
    </w:p>
    <w:p>
      <w:pPr>
        <w:spacing w:after="0" w:line="37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did not record a federal or state income tax benefit for the Company’s losses for the three months ended March 31, 2014 and 2013 due to the Company’s conclusion that the valuation allowance is required.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February 2014, the Company issued convertible promissory notes to existing investors, as described in Note 5.</w:t>
      </w:r>
    </w:p>
    <w:p>
      <w:pPr>
        <w:spacing w:after="0" w:line="117"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April 2013, the Company entered into a laboratory, equipment sharing, services and license agreement with an entity affiliated with one of the Company’s directors. Fees recorded offsetting research and development expenses under this agreement and paid in the three months ended March 31, 2014 were $44,500. This agreement was terminated on April 1, 2014. On April 1, 2014, the Company sold used equipment to this entity and received proceeds for sale of equipment of $30,000 from such sale.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a clinical-stage oncology-focused company applying our proprietary dynamic tumor targeting platform to develop differentiated therapies. Our nanopharmaceutical product candidates consist of proprietary polymers that are covalently linked to anti-cancer therapeutics, or payloads. We believe these nanopharmaceuticals dynamically target tumors by exploiting the leakiness of new blood vessels in tumors as an entry portal into tumor tissue, followed by active uptake into tumor cells and the sustained release of the anti-cancer payload inside the tumor cells.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devoted substantially all of our resources to our drug discovery and development efforts, including conducting clinical trials for our product candidates, protecting our intellectual property and the general and administrative support of these operations. To date, we have generated no revenue from product sales. We expect that it will be several years before we commercialize a product candidate, if ever. Through March 31, 2014, we have funded our operations primarily through $84.2 million in proceeds from the sale of shares of our convertible preferred stock, $10.0 million in proceeds from borrowings under our loan and security agreement with Lighthouse Capital Partners VI, L.P., or Lighthouse Capital, and $17.3 million in proceeds from our sale of convertible promissory notes.</w:t>
      </w:r>
    </w:p>
    <w:p>
      <w:pPr>
        <w:spacing w:after="0" w:line="19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have never been profitable and have incurred significant operating losses since our incorporation. As of March 31, 2014, we had an accumulated deficit of $101.4 million. We incurred net losses of approximately $2.9 million for the three months ended March 31, 2014 and $5.6 million for the three months ended March 31, 2013.</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to continue to incur significant and increasing expenses and operating losses for the foreseeable future, as we attempt to advance our product candidates from discovery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April 15, 2014 we completed the sale of 8,500,000 shares of common stock in our initial public offering or IPO at a price to the public of $7.00 per share. On May 7, 2014 we completed the sale of an additional 1,069,715 shares of common stock at a price to the public of $7.00 per share, pursuant to a partial exercise by the underwriters of their option to purchase additional shares of common stock. Estimated net proceeds from our IPO were determined as follows: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(including over-allotment)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$66,988,000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(3,934,000)</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Estimated total offering costs (including costs paid as of March 31, 2014)</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(2,914,000)</w:t>
            </w: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Offering costs paid as of March 31, 2014</w:t>
            </w:r>
          </w:p>
        </w:tc>
        <w:tc>
          <w:tcPr>
            <w:tcW w:w="7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Estimated net proceeds to be received subsequent to March 31, 2014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61,459,000</w:t>
            </w:r>
          </w:p>
        </w:tc>
        <w:tc>
          <w:tcPr>
            <w:tcW w:w="120" w:type="dxa"/>
            <w:vAlign w:val="bottom"/>
            <w:shd w:val="clear" w:color="auto" w:fill="CCEEFF"/>
          </w:tcPr>
          <w:p>
            <w:pPr>
              <w:spacing w:after="0"/>
              <w:rPr>
                <w:sz w:val="18"/>
                <w:szCs w:val="18"/>
                <w:color w:val="auto"/>
              </w:rPr>
            </w:pPr>
          </w:p>
        </w:tc>
      </w:tr>
      <w:tr>
        <w:trPr>
          <w:trHeight w:val="372"/>
        </w:trPr>
        <w:tc>
          <w:tcPr>
            <w:tcW w:w="6020" w:type="dxa"/>
            <w:vAlign w:val="bottom"/>
            <w:gridSpan w:val="2"/>
          </w:tcPr>
          <w:p>
            <w:pPr>
              <w:jc w:val="right"/>
              <w:ind w:right="197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addition, each of the following occurred in the second quarter of 2014 in connection with the completion of our IPO on April 15, 2014:</w:t>
      </w:r>
    </w:p>
    <w:p>
      <w:pPr>
        <w:spacing w:after="0" w:line="131"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6,826,004 shares of our common stock;</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conversion of $17.8 million of outstanding principal and accrued interest on convertible notes into 2,902,233 share of our common stock; and</w:t>
      </w:r>
    </w:p>
    <w:p>
      <w:pPr>
        <w:spacing w:after="0" w:line="142" w:lineRule="exact"/>
        <w:rPr>
          <w:rFonts w:ascii="Arial" w:cs="Arial" w:eastAsia="Arial" w:hAnsi="Arial"/>
          <w:sz w:val="17"/>
          <w:szCs w:val="17"/>
          <w:color w:val="auto"/>
        </w:rPr>
      </w:pPr>
    </w:p>
    <w:p>
      <w:pPr>
        <w:ind w:left="440" w:right="1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warrants to purchase 1,857,226 shares of convertible preferred stock warrants to purchase 128,663 shares of our common stock and our reclassification of the $0.4 million warrant liability to additional paid-in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To date, our only revenue has consisted of a government tax credit that we received in 2010 and payments in 2011, 2012, 2013, and 2014 from four material transfer agreements and a research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Research and development expense consists of costs incurred in connection with the discovery and development of our nanopharmaceutical platform and our product candidates. These expenses consist primarily of:</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investigative sites that conduct our clinical trials and consultants that conduct a portion of our preclinical studies;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relating to scientific consultants and advisors;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acquiring and manufacturing clinical trial materials;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of fixed assets and other allocated expenses, including direct and allocated expenses for rent and maintenance of facilities and equipment;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 supplies, reagents, active pharmaceutical ingredients and other direct and indirect costs in support of our preclinical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fees related to in-licensed products and technology;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non-clinical activities and regulatory approvals.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research and development costs as incurred.</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multiple clinical trials of CRLX101, initiate and continue clinical testing of CRLX301 and advance our earlier-stage research and development projects.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Expenses incurred prior to the acquisition of our cyclodextrin polymer containing nanopharmaceutical, or CDP, technology in mid-2009 have been reflected as the cost to develop our proprietary nanopharmaceutical platform in the period from November 28, 2005 (the date of our incorporation) to March 31, 2014, as these expenses were incurred prior to the establishment of the CRLX101 and CRLX301 programs. Below is an unaudited summary of our research and development expenses for the three months ended March 31, 2014 and 2013 and the period from the date of our incorporation through March 31, 2014 (in thousands).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81"/>
        </w:trPr>
        <w:tc>
          <w:tcPr>
            <w:tcW w:w="5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40" w:type="dxa"/>
            <w:vAlign w:val="bottom"/>
            <w:gridSpan w:val="6"/>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November 28, 2005</w:t>
            </w:r>
          </w:p>
        </w:tc>
        <w:tc>
          <w:tcPr>
            <w:tcW w:w="0" w:type="dxa"/>
            <w:vAlign w:val="bottom"/>
          </w:tcPr>
          <w:p>
            <w:pPr>
              <w:spacing w:after="0"/>
              <w:rPr>
                <w:sz w:val="1"/>
                <w:szCs w:val="1"/>
                <w:color w:val="auto"/>
              </w:rPr>
            </w:pPr>
          </w:p>
        </w:tc>
      </w:tr>
      <w:tr>
        <w:trPr>
          <w:trHeight w:val="68"/>
        </w:trPr>
        <w:tc>
          <w:tcPr>
            <w:tcW w:w="5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vMerge w:val="restart"/>
          </w:tcPr>
          <w:p>
            <w:pPr>
              <w:jc w:val="right"/>
              <w:ind w:right="65"/>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(Date of Incorporation)</w:t>
            </w: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 March 31, 2014</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CRLX101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CRLX301</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Nanopharmaceutical platform</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Overhead</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3,479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68,537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research and development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CRLX101</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supporting a Phase 1b/2 investigator-sponsored trial, (or an “IST”), of CRLX101 in combination with Avastin® (bevacizumab), in patients with relapsed renal cell carcinoma, and we intend to commence a randomized, Phase 2 clinical trial of CRLX101 in combination with Avastin in this indication in the second half of 2014. We are supporting a Phase 2 IST of CRLX101 as monotherapy in patients with relapsed ovarian cancer and a Phase 2 IST of CRLX101 in combination with Avastin in patients with relapsed platinum-resistant ovarian cancer. Assuming positive results from the IST in relapsed ovarian cancer of CRLX101 in combination with Avastin, we expect to initiate, in 2015, a pivotal randomized clinical trial of CRLX101 in combination with Avastin in this indication. We are supporting a Phase 1b/2 IST of CRLX101 in combination with chemoradiotherapy, consisting of Xeloda and radiotherapy, in patients with neoadjuvant rectal cancer, and, assuming favorable results from this trial, we expect to commence a randomized, Phase 2 clinical trial of CRLX101 in combination with chemoradiotherapy in this indication in 2015.</w:t>
      </w:r>
    </w:p>
    <w:p>
      <w:pPr>
        <w:spacing w:after="0" w:line="17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Under our license agreement with Calando Pharmaceuticals, Inc., or (“Calando”), pursuant to which we obtained rights to CRLX101, or the CRLX101 Agreement, we will be required to make regulatory and commercial milestone payments in an aggregate amount of up to $32.8 million to Calando upon the achievement of specified regulatory and commercial milestones.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CRLX301</w:t>
      </w:r>
    </w:p>
    <w:p>
      <w:pPr>
        <w:spacing w:after="0" w:line="11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are currently conducting preclinical studies of CRLX301 and intend to commence clinical trials by the end of 2014. We cannot accurately predict future research and development expenses for our CRLX301 program because such costs are dependent on a number of variables, including, among others, the cost and design of any additional clinical trials, the duration of the regulatory process and the results of the planned Phase 1 clinical trials and any future trials.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license agreement with Calando pursuant to which we obtained rights to Calando’s cyclodextrin system for purposes of conjugating or complexing certain other therapeutic agents to the system, or the (“Platform Agreement”), we will be required to pay a $250,000 clinical development milestone to Calando when we initiate our Phase 1 clinical trial of CRLX301. We intend to initiate the Phase 1 clinical trial and pay this milestone by the end of 2014. We may also be required to make regulatory and commercial milestone payments in an aggregate amount of up to $17.8 million to Calando upon the achievement of specified regulatory and commercial milestones. Further, under the Platform Agreement, if we, or one of our affiliates, sell CRLX301, we are required to pay tiered royalty payments ranging from low- to mid-single digits, as a percentage of worldwide net sales, depending on whether there is patent protection for CRLX301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 double digits.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Nanopharmaceutical Pipeline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expect that the expenses related to our nanopharmaceutical pipeline will continue to increase as we seek to identify additional targets for preclinical research and add personnel to these projects. We cannot accurately predict future research and development expenses for our nanopharmaceutical pipeline because such costs are dependent on a number of variables, including the success of preclinical studies on any such nanopharmaceuticals.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successful development of any of our product candidates is highly uncertain. As such, at this time, we cannot reasonably predict with certainty the duration and costs of the current or future clinical trials of any of our product candidates or if, when or to what extent we will generate revenues from any commercialization and sale of any of our product candidates that obtain marketing approval. We may never succeed in achieving regulatory approval for any of our product candidates. The duration, costs and timing of clinical trials and development of our product candidates will depend on a variety of factors, including:</w:t>
      </w:r>
    </w:p>
    <w:p>
      <w:pPr>
        <w:spacing w:after="0" w:line="9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and rate of progress of our ongoing as well as any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other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from ongoing as well as any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and the terms and success of those partnerships, if any, including the timing and amount of payments that we might receive from potential strategic partners;</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manufacture, market, commercialize and achieve market acceptance for any of our product candidates that we are developing or may develop in the future;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of preparing, filing and prosecuting patent applications and maintaining, enforcing and defending intellectual property-related claims.</w:t>
      </w:r>
    </w:p>
    <w:p>
      <w:pPr>
        <w:spacing w:after="0" w:line="24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Any change in the outcome of any of these variables with respect to the development of a product candidate could mean a significant change in the cost and timing associated with the development of that product candidate. For example, if the U. S. Food and Drug Administration, or the FDA or a comparable non-U.S.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7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a result of the uncertainties discussed above, we are unable to determine when, or to what extent, we will generate revenues from the commercialization and sale of any of our product candidates. We anticipate that we will make determinations as to which additional programs to pursue and how much funding to direct to each program on an ongoing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basis in response to the scientific and clinical success of each product candidate, as well as our ongoing assessment of the product candidate’s commercial potential. We will need to raise additional capital in the future in order to complete the development and commercialization of CRLX101 and CRLX301 and to fund the development of our other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anticipate that our general and administrative expenses will increase in the future for, among others, the following reasons:</w:t>
      </w:r>
    </w:p>
    <w:p>
      <w:pPr>
        <w:spacing w:after="0" w:line="131" w:lineRule="exact"/>
        <w:rPr>
          <w:sz w:val="20"/>
          <w:szCs w:val="20"/>
          <w:color w:val="auto"/>
        </w:rPr>
      </w:pPr>
    </w:p>
    <w:p>
      <w:pPr>
        <w:ind w:left="900" w:right="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to incur increased general and administrative expenses to support our research and development activities, which we expect to expand as we continue to pursue the development of our product candidates;</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our general and administrative expenses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begin to incur expenses related to sales and marketing of our product candidates in anticipation of commercial launch before we receive regulatory approval of a product candidate.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consists of interest earned on our cash and cash equivalents. The primary objective of our investment policy is capital preservation.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Interest expense consists primarily of interest, amortization of debt discount and amortization of deferred financing costs associated with our debt facility with Lighthouse Capital and interest expense on our convertible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preferred stock warrant liability is associated with warrants to purchase shares of our preferred stock issued to lenders and investors. The change in fair value consists of the calculated change in value based upon the fair value of the underlying security at the end of each reporting period as calculated using the Black-Scholes option-pricing model. The preferred stock warrants were automatically adjusted on the date of the closing of the IPO, April 15, 2014 to provide for the issuance of shares of common stock upon their exercise. The preferred stock warrant liability has been eliminated as of April 15,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2014 and 2013 (Unaudited)</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three months ended March 31, 2014 and 2013, together with the changes in those items in dollars and as a percentage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Dollar</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(462)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2,493</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165</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2,658</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March 31, 2014 was $47,000 compared to no revenue for the three months ended March 31, 2013.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revenue in 2014 in connection with two material transfer agreements. Pursuant to the agreements, we received payments in exchange for providing research services utilizing our proprietary technology for research purposes.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The following table summarizes our research and development expense by program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and 2013, together with the change in spending by program in dollars and as a percentage (in thousands, except percentages):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w:t>
            </w: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CRLX101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CRLX301</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(689)</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9"/>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Nanopharmaceutical platform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Overhead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(1,984)</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Research and development expense for the three months ended March 31, 2014 was $1.5 million compared to $3.5 million for the three months ended March 31, 2013, a decrease of $2.0 million, or 57%. The decrease was reflected across all programs. The $0.8 million decrease in CRLX101 expense was primarily the result of winding down our Phase 2 clinical trial of CRLX101 as monotherapy in patients with advanced small cell lung cancer, or the NSCLC clinical trial, which was substantially completed in March 2013. Clinical trial expense decreased $0.3 million, contract manufacturing expense for clinical trial material decreased by $0.4 million and preclinical expense decreased by $0.1 million. The decrease in spending on the CRLX301 program in the three months ended March 31, 2014 from the three months ended March 31, 2013 was the result of our completion of development activities, such as investigational new drug, or IND, enabling studies and process development, early in 2013. We intend to advance CRLX301 into a Phase 1 clinical trial by the end of 2014. Expenses associated with our nanopharmaceutical platform decreased $0.4 million, mainly as a result of reduced staff in new discovery research as our primary emphasis shifted to the development of our existing product candidates. The $0.1 million decrease in overhead expense was due mainly to a reduction in retainer-based advisory agreements and reduced depreciation expense.</w:t>
      </w:r>
    </w:p>
    <w:p>
      <w:pPr>
        <w:spacing w:after="0" w:line="169"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for the three months ended March 31, 2014 was $1.5 million compared to $2.0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March 31, 2013, a decrease of $0.5 million, or 25%. The decrease was the result of a $0.6 million decrease in outside corporate and intellectual property legal expense, offset by a $0.1 million increase in personnel costs and consulting expense.</w:t>
      </w:r>
    </w:p>
    <w:p>
      <w:pPr>
        <w:spacing w:after="0" w:line="16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March 31, 2014 was $44,000 net income compared to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net expense for the three months ended March 31, 2013, a decrease of expense of $0.1 million. The decrease in net expense primarily resulted from the adjustment to the fair value of our outstanding preferred stock warrant liability of $0.2 million. This adjustment was offset by an increase in recorded interest expense of $0.1 million. We recorded $0.2 million interest expense on our convertible promissory notes in 2014, which were not outstanding as of March 31, 2013 and we paid $0.1 million less in interest expense in 2014 compared with 2013, related to the loan and security agreement with Lighthouse Capital.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From our incorporation through March 31, 2014, we have raised an aggregate of $111.5 million to fund our operations, of which $84.2 million was from the sale of preferred stock, $10.0 million was from borrowings under our loan and security agreement with Lighthouse Capital and $17.3 million was from the sale of convertible promissory notes. As of March 31, 2014, we had cash and cash equivalents of approximately $8.5 million. As discussed above, our IPO, including the exercise of the over-allotment option and related transactions resulted in net proceeds of $61.5 million subsequent to March 31,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2011, we entered into a loan and security agreement, or the (“loan agreement”), with Lighthouse Capital. The loan agreement permitted us to borrow up to an aggregate principal amount of $10.0 million. We borrowed $5.0 million in March 2012 and an additional $5.0 million in August 2012. The loan agreement is secured by substantially all of our assets other than our intellectual property. We have also granted Lighthouse Capital a negative pledge with respect to our intellectual property, which, among other things, prohibits us from selling, transferring, assigning, mortgaging, pledging, leasing, granting a security interest in or otherwise encumbering our intellectual property. The loan agreement includes restrictive covenants that may restrict our ability to obtain further debt or equity financing. The aggregate principal amount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 the loan agreement accrues interest at an annual rate of 8.25% and is payable over 36 monthly payments beginning on December 1, 2012, with a one-time final payment of 6% of the original principal amount due on December 1, 2015. As of March 31, 2014, there was $5.9 million in principal amount outstanding under the loan agreement.</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2013, we issued and sold convertible promissory notes, or our 2013 convertible notes, in an aggregate principal amount of $8.8 million to certain of our stockholders. Our 2013 convertible notes bear interest at an annual rate of 7%. In connection with the completion of our IPO on April 15, 2014, all principal and accrued interest under our 2013 convertible notes converted into an aggregate of 1,319,302 shares of our common stock, at the IPO price of $7.00 per share.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2014, we issued and sold convertible promissory notes, or our 2014 convertible notes, in an aggregate principal amount of $8.5 million to certain of our stockholders and one additional purchaser. The 2014 convertible notes bear interest at an annual rate of 7%. In connection with the completion our IPO on April 15, 2014, all principal and accrued interest under our 2014 convertible notes converted into an aggregate of 1,582,931 shares of our common stock, at 77.5% of the IPO per share price, or $5.43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Our primary uses of capital are, and we expect will continue to be, compensation and related expenses, third-party clinical research and development services, contract manufacturing services, laboratory and related supplies, clinical trial costs, legal and other regulatory expenses and general overhead costs.</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the net proceeds from our IPO, together with approximately $8.5 million of cash and cash equivalents as of March 31, 2014, will fund our operating expenses, debt service and capital expenditure requirements for at least the next twelve months, which we expect will enable us to fund our planned randomized Phase 2 clinical trial of CRLX101 in combination with Avastin in relapsed renal cell carcinoma, to support the ongoing CRLX101 ISTs and to fund our planned Phase 1 clinical trial of CRLX301. We have based these estimates on assumptions that may prove to be wrong, and we may exhaust our capital resources sooner than we currently expect. If we achieve positive results from our ISTs in relapsed ovarian cancer and/or neoadjuvant rectal cancer, sufficient to initiate randomized Phase 2 clinical trials, we will need to raise additional capital to complete those clinical trials . In addition, the process of testing product candidates in clinical trials is costly, and the timing of progress in clinical trials is uncertain. Because our drug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8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CRLX101;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and results of our clinical trials of CRLX301;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manufacture sufficient supply of our product candidates and costs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drug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we pursue;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and achieve milestones under those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period set forth below (in thousands):</w:t>
      </w:r>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November 28, 2005</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Incorporation)</w:t>
            </w:r>
          </w:p>
        </w:tc>
        <w:tc>
          <w:tcPr>
            <w:tcW w:w="0" w:type="dxa"/>
            <w:vAlign w:val="bottom"/>
          </w:tcPr>
          <w:p>
            <w:pPr>
              <w:spacing w:after="0"/>
              <w:rPr>
                <w:sz w:val="1"/>
                <w:szCs w:val="1"/>
                <w:color w:val="auto"/>
              </w:rPr>
            </w:pPr>
          </w:p>
        </w:tc>
      </w:tr>
      <w:tr>
        <w:trPr>
          <w:trHeight w:val="158"/>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to March 31,</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6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net use of cash in all periods resulted primarily from our net losses adjusted for non-cash charges and changes in components of working capital.</w:t>
      </w:r>
    </w:p>
    <w:p>
      <w:pPr>
        <w:spacing w:after="0" w:line="2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was $3.7 million for the three months ended March 31, 2014 compared with $4.6 million for the three months ended March 31, 2013, a decrease of $0.9 million. The decrease primarily resulted from a $2.0 million decrease in research and development expense and $0.5 million decrease in general and administrative expense. These decreases were offset by an increase of $1.6 million resulting from net changes in the components of working capital primarily associated with a decrease in accrued expenses in the amount of $0.8 million, a decrease in the preferred stock warrant liability in the amount of $0.5 million and an increase in prepaid deferred financing costs associated with the IPO and the issue of convertible notes in the amount of $0.4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investing activities was $4,000 for the three months ended March 31, 2014 compared to $2,000 for the three months ended March 31,</w:t>
      </w:r>
    </w:p>
    <w:p>
      <w:pPr>
        <w:spacing w:after="0" w:line="4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2013. The increase was primarily the result of additional research laboratory equipment and employee computers purchased in the three months ended March 31, 2014 compared to similar purchases in the three months ended March 31,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Net cash provided by financing activities was $6.7 million during the three months ended March 31, 2014 compared to net cash used in financing activities of $0.7 million during the three months ended March 31, 2013. During the three months ended March 31, 2014, we sold $8.5 million in convertible promissory notes, repaid indebtedness under the loan agreement with Lighthouse Capital in the amount of $0.8 million and we paid $1.1 million of deferred financing costs related to the IPO and the convertible note issuance. In comparison, we repaid indebtedness under the loan agreement with Lighthouse Capital in the amount of $0.7 million, in the three months ended March 31, 2013.</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During the three months ended March 31, 2014, there were no material changes to our contractual obligations and commitments outside the ordinary course of business from those disclosed in our prospectus filed with the SEC pursuant to Rule 424(b)(4) on April 14,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time to time, new pronouncements are issued by the Financial Accounting Standards Board or other standard setting bodies that may have an impact on our accounting and reporting. We believe that such recently issued accounting pronouncements and other authoritative guidance for which the effective date is in the future either will not have an impact on our accounting or reporting or that such impact will not be material to our financial position, results of operations, and cash flows when implemented.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March 31, 2014, we had cash and cash equivalents of approximately $8.5 million, consisting primarily of investments in United States Treasuries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and principal financial officer, to allow timely decisions regarding required disclosure.</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March 31, 2014.</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2014, that has materially affected, or is reasonably likely to materially affect, our internal control over financial reporting.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Our business is subject to numerous risks. We caution you that the following important factors, among others, could cause our actual results to differ materially from those expressed in forward-looking statements made by us or on our behalf in filings with the SEC, press releases, communications with investors and oral statements. Any or all of our forward-looking statements in this Quarterly Report on Form 10-Q and in any other public statements we make may turn out to be wrong. They can be affected by inaccurate assumptions we might make or by known or unknown risks and uncertainties. Many factors mentioned in the discussion below will be important in determining future results. Consequently, no forward-looking statement can be relied upon. Actual future results may differ materially from those anticipated in our forward-looking statements. We undertake no obligation to update any forward-looking statements, whether as a result of new information, future events or otherwise. You are advised, however, to consult any further disclosure we make in our reports filed with the SEC.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Since incorporation, we have incurred significant operating losses. Our net loss was approximately $2.9 million and $5.6 million for the three months ended March 31, 2014 and March 31, 2013, respectively. As of March 31, 2014, we had an accumulated deficit of $101.4 million. We do not know whether or when we will become profitable. We have not generated any revenues to date from product sales and have financed our operations primarily through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84" w:lineRule="exact"/>
        <w:rPr>
          <w:sz w:val="20"/>
          <w:szCs w:val="20"/>
          <w:color w:val="auto"/>
        </w:rPr>
      </w:pPr>
    </w:p>
    <w:p>
      <w:pPr>
        <w:ind w:left="440" w:right="40" w:hanging="324"/>
        <w:spacing w:after="0" w:line="25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the following planned clinical trials of CRLX101, our most advanced product candidate: a Phase 2 clinical trial in combination with Avastin (bevacizumab) in patients with relapsed renal cell carcinoma; a pivotal clinical trial in combination with Avastin in patients with relapsed platinum-resistant ovarian cancer; and a Phase 2 clinical trial in combination with chemoradiotherapy in patients with rectal cancer who are being treated through the administration of therapeutic agents prior to surgery. We refer to this form of treatment as neoadjuvant therapy, and we refer to patients who receive neoadjuvant therapy as patients with neoadjuvant rectal cancer;</w:t>
      </w:r>
    </w:p>
    <w:p>
      <w:pPr>
        <w:spacing w:after="0" w:line="93" w:lineRule="exact"/>
        <w:rPr>
          <w:rFonts w:ascii="Arial" w:cs="Arial" w:eastAsia="Arial" w:hAnsi="Arial"/>
          <w:sz w:val="18"/>
          <w:szCs w:val="18"/>
          <w:color w:val="auto"/>
        </w:rPr>
      </w:pPr>
    </w:p>
    <w:p>
      <w:pPr>
        <w:ind w:left="440" w:right="48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support ongoing investigator-sponsored clinical trials, or ISTs, of CRLX101 in relapsed renal cell carcinoma, relapsed ovarian cancer, neoadjuvant rectal cancer, gastric cancer and small cell lung cancer;</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our planned Phase 1 clinical trial of CRLX301, our second most advanced product candidate;</w:t>
      </w:r>
    </w:p>
    <w:p>
      <w:pPr>
        <w:spacing w:after="0" w:line="130" w:lineRule="exact"/>
        <w:rPr>
          <w:rFonts w:ascii="Arial" w:cs="Arial" w:eastAsia="Arial" w:hAnsi="Arial"/>
          <w:sz w:val="18"/>
          <w:szCs w:val="18"/>
          <w:color w:val="auto"/>
        </w:rPr>
      </w:pPr>
    </w:p>
    <w:p>
      <w:pPr>
        <w:ind w:left="440" w:right="32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additional product candidates utilizing our Dynamic Tumor Targeting Platform with small and large molecule payloads;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future, establish a sales, marketing and distribution infrastructure and scale up external manufacturing capabilities to commercialize any products for which we may obtain regulatory approval;</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30"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although we successfully completed and received the net proceeds from our recently completed initial public offering, or our IPO, given our planned expenditures for the next several years, including, without limitation, expenditures in connection with our clinical trials of CRLX101, our independent registered public accounting firm may conclude, in connection with the preparation of our financial statements for fiscal year 2014 or any other subsequent period that there is substantial doubt regarding our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pharmaceutical products.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initiate three planned clinical trials of CRLX101, continue to support ISTs of CRLX101, prepare for and initiate a Phase 1 clinical trial of CRLX301 and continue research and development and initiate additional clinical trials of, and seek regulatory approval for, these and other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nanopharmaceuticals for commercial sale will require expensive and specialized facilities, processes and materials.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plan to use the net proceeds from our IPO primarily to fund our ongoing research and development efforts. We will be required to expend significant funds in order to advance development of CRLX101, CRLX301 and our other potential product candidates. The net proceeds from our IPO and our existing cash and cash equivalents will not be sufficient to fund all of the efforts that we plan to undertake, such as our planned Phase 2 trial of CRLX101 in neoadjuvant rectal cancer and pivotal clinical trial of CRLX101 in ovarian cancer, or to fund completion of clinical development of any of our product candidates. Accordingly, we will be required to obtain further funding through public or private equity offerings, debt financings, collaborations or licensing arrangements or other sources. Adequate and additional funding may not be available to us on acceptable terms or at all. If we elect to obtain any additional debt financing, our ability to do so may be limited by covenants we have made under our loan and security agreement with Lighthouse Capital Partners VI, L.P., or Lighthouse Capital, and our pledge to Lighthouse Capital of substantially all of our assets, other than our intellectual property, as collateral. We have also granted Lighthouse Capital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believe that the net proceeds from our IPO, together with our existing cash and cash equivalents as of March 31, 2014, and the proceeds from the convertible notes we issued in 2014, will enable us to fund our operating expenses, debt service and capital expenditure requirements for at least the next 18 months. We have based this estimate on assumptions that may prove to be wrong, and we could use our capital resources sooner than we currently expect. Our future capital requirements will depend on many factors, including:</w:t>
      </w:r>
    </w:p>
    <w:p>
      <w:pPr>
        <w:spacing w:after="0" w:line="92"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development requirements of the product candidates we pursue;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timing, results and costs of researching and developing our product candidates, and conducting preclinical and clinical trials;</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440" w:right="26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130"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medicines and technology;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headcount growth and associated costs;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public or private equity offerings, debt financings and/or license and development agreements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collaboration partners. We do not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and any future indebtedness could adversely affect our ability to operate our business.</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March 31, 2014, we had $5.9 million of outstanding borrowings under our loan and security agreement with Lighthouse Capital, which we are required to repay in monthly installments through November 2015. We do not intend to use the net proceeds of our IPO to prepay any of these borrowings. We could in the future incur additional indebtedness beyond our borrowings from Lighthouse Capital.</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outstanding indebtedness combined with our other financial obligations and contractual commitments, including any additional indebtedness beyond our borrowings from Lighthouse Capital, could have significant adverse consequences, including:</w:t>
      </w:r>
    </w:p>
    <w:p>
      <w:pPr>
        <w:spacing w:after="0" w:line="76" w:lineRule="exact"/>
        <w:rPr>
          <w:sz w:val="20"/>
          <w:szCs w:val="20"/>
          <w:color w:val="auto"/>
        </w:rPr>
      </w:pPr>
    </w:p>
    <w:p>
      <w:pPr>
        <w:ind w:left="440" w:right="420" w:hanging="324"/>
        <w:spacing w:after="0" w:line="34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market conditions;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subjecting us to restrictive covenants that may reduce our ability to take certain corporate actions or obtain further debt or equity financing;</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compete;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better debt servicing options.</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Failure to make payments or comply with other covenants under our existing debt instruments could result in an event of default and acceleration of amounts due. If an event of default occurs and Lighthouse Capital accelerates the amounts due, we may not be able to make accelerated payments, and Lighthouse Capital could seek to enforce security interests in the collateral securing such indebtedness, which includes substantially all of our assets other than our intellectual property.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drugs and with radiotherapy. While the results of preclinical studies and early-stage clinical trials have suggested that certain of our product candidates may have such utility, we have not yet succeeded and may not succeed in demonstrating efficacy and safety for any of our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nanopharmaceuticals,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product candidates, if any, than we expect.</w:t>
      </w:r>
    </w:p>
    <w:p>
      <w:pPr>
        <w:spacing w:after="0" w:line="16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are particularly dependent on the success of our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This Phase 2 clinical trial failed to meet its primary endpoint of improvement in overall survival of the CRLX101-treated group as compared to the control arm of the study, which was best supportive care.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successful completion of clinical trials, the success of CRLX101 will also depend on several other factors, including the following:</w:t>
      </w:r>
    </w:p>
    <w:p>
      <w:pPr>
        <w:spacing w:after="0" w:line="154"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the FDA or other applicable regulatory authorities;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future collaborators for CRLX101, if any;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supply arrangements with third party raw materials suppliers and manufacturers;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arrangements with third party manufacturers to obtain finished drug products that are appropriately packaged for sale;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of commercial sales if and when approved;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of CRLX101 following any marketing approval;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 acceptance, if and when approved, by patients, the medical community and third party payors;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pricing sufficient to realize a meaningful return on our investment;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therapies.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We are currently focusing the clinical development of CRLX101 on combinations with Avastin in relapsed renal cell carcinoma and relapsed ovarian cancer and with Xeloda and radiotherapy in neoadjuvant rectal cancer and may focus on additional combinations in the future. If the FDA revokes its approval of, or if safety, efficacy, manufacturing or supply issues arise with, Avastin, Xeloda, or any other therapeutic that we use in combination with CRLX101 in the future, we may be unable to market CRLX101 or may experience significant regulatory delays or supply shortages, and our business could be materially harmed.</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There are ongoing ISTs evaluating CRLX101 (1) in combination with Avastin in patients with relapsed renal cell carcinoma, (2) in combination with Avastin in patients with relapsed ovarian cancer and (3) in combination with Xeloda (capecitabine) and radiotherapy in patients with neoadjuvant rectal cancer, and we expect to commence company-sponsored trials of CRLX101 in combination with Avastin and Xeloda and radiotherapy, as applicable, in these indications. Avastin is currently approved to treat various cancers, and the combination of Xeloda and radiotherapy is currently the standard of care in neoadjuvant rectal cancer in the United States. However, we did not develop or obtain regulatory approval for, and we do not manufacture or sell, Avastin or Xeloda. We may also seek to develop our product candidates in combination with other therapeutics in the future.</w:t>
      </w:r>
    </w:p>
    <w:p>
      <w:pPr>
        <w:spacing w:after="0" w:line="17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the FDA revokes its approval of either Avastin or Xeloda, we will not be able to market CRLX101 in combination with such revoked therapeutic. If safety or efficacy issues arise with Avastin or Xeloda or any other therapeutics that we seek to combine with our product candidates in the future, we may experience significant regulatory delays, and the FDA may require us to redesign or terminate the applicable clinical trials. If Xeloda and radiotherapy is replaced as the standard of care for treatment of neoadjuvant rectal cancer, the results, if any, of the ongoing IST or our planned company-sponsored clinical trial in neoadjuvant rectal cancer may be less meaningful, and the FDA may require us to conduct additional clinical trials of CRLX101 prior to any regulatory approval in this indication. In addition, if manufacturing, cost or other issues result in a supply shortage of Avastin, Xeloda or any other combination therapeutics, we may not be able to complete clinical development of CRLX101 on our current timeline or at all.</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Even if CRLX101 were to receive regulatory approval and be commercialized for use in combination with Avastin or Xeloda or another therapeutic, we would continue to be subject to the risk that the FDA could revoke its approval of Avastin or Xeloda, that safety, efficacy, manufacturing, cost or supply issues could arise with one of these therapeutic agents, or that Xeloda and radiotherapy may be replaced as the standard of care in patients with neoadjuvant rectal cancer. This could result in CRLX101 being removed from the market or being less successful commercially.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hypothesis regarding the role of HIF in cancer cells proves incorrect, it may adversely affect our ability to commercialize and market CRLX101.</w:t>
      </w:r>
    </w:p>
    <w:p>
      <w:pPr>
        <w:spacing w:after="0" w:line="24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believe that the anti-cancer activity shown by CRLX101 in preclinical tumor models is due in part to its inhibition of HIF, and we have prioritized the clinical development of CRLX101, among other criteria, on HIF-driven tumor types. While HIF-1a has become a target of increasing interest in cancer research and recent research suggests that HIF-1a is a master regulator for many cancer cell survival pathways, the science underlying HIF-1a is based on recent discoveries and not fully understood. Moreover, the exact role of HIF-2a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6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One of our product candidates is in clinical development, all of our other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demonstrate efficacy in a clinical trial or across a broad population of patients, the occurrence of severe or medically or commercially unacceptable adverse events,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7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non-small cell lung cancer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renal cell carcinoma; a two-part Phase 2 open-label IST in patients with relapsed ovarian cancer, consisting of a single-arm trial of CRLX101 as monotherapy and a single-arm combination trial of CRLX101 and Avastin; and a Phase 1b/2 open-label IST of CRLX101 in combination with chemoradiotherapy in patients with neoadjuvant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design of a clinical trial can determine whether its results will support approval of a product, and flaws in the design of a clinical trial may not become apparent until the clinical trial is well advanced or completed. We have limited experience in designing clinical trials and may be unable to design and execute a clinical trial to support marketing approval. For example, we believe that sphincter preservation is a clinically meaningful endpoint for the treatment of neoadjuvant rectal cancer, but there can be no assurance that the FDA will agree.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92"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intend to conduct, and may in the future conduct, clinical trials for certain of our product candidates at sites outside the United States, and the FDA may not accept data from trials conducted in such locations.</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conducted, and may in the future choose to conduct, one or more of our clinical trials outside the United States. For example, we intend to conduct the Phase 1 portion of a Phase 1/2a clinical trial of CRLX301 in patients with advanced solid tumor malignancies at two cancer centers in Australia commencing by late 2014.</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whom we intend to seek approval in the United States. In addition, while these clinical trials are subject to the applicable local laws, FDA acceptance of the data will be dependent upon its determination that the trials also complied with all applicable U.S. laws and regulations. Since we currently do not have an active IND in the United States for CRLX301, unless we are able to obtain an active IND, we would be unable to conduct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clinical trials in the United States. There can be no assurance that the FDA will accept data from trials conducted outside of the United States and no assurance that we will be successful in obtaining an IND for CRLX301. If the FDA does not accept the data from our Phase1/2a clinical trial of CRLX301 in Australia or any future trial that we determine to conduct outside the United States, it would likely result in the need for additional trials, which would be costly and time-consuming and delay or permanently halt our development of CRLX301 or any future product candidates.</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76"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fluctuations;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such as in our Phase 2 clinical trial of CRLX101 as monotherapy in patients with non-small cell lung cancer, or (4) there are unacceptable safety concerns associated with our product candidates, we, in addition to incurring additional costs, may:</w:t>
      </w:r>
    </w:p>
    <w:p>
      <w:pPr>
        <w:spacing w:after="0" w:line="99"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intended or desired;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marketing approval of our product candidates, including:</w:t>
      </w:r>
    </w:p>
    <w:p>
      <w:pPr>
        <w:spacing w:after="0" w:line="76" w:lineRule="exact"/>
        <w:rPr>
          <w:sz w:val="20"/>
          <w:szCs w:val="20"/>
          <w:color w:val="auto"/>
        </w:rPr>
      </w:pPr>
    </w:p>
    <w:p>
      <w:pPr>
        <w:ind w:left="440" w:right="640" w:hanging="324"/>
        <w:spacing w:after="0" w:line="342"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unfavorable or inconclusive results, such as with our Phase 2 clinical trial of CRLX101 as monotherapy for patients with advanced non-small cell lung cancer who had progressed through one or two prior regimens of chemotherapy;</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20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75" w:lineRule="exact"/>
        <w:rPr>
          <w:rFonts w:ascii="Arial" w:cs="Arial" w:eastAsia="Arial" w:hAnsi="Arial"/>
          <w:sz w:val="18"/>
          <w:szCs w:val="18"/>
          <w:color w:val="auto"/>
        </w:rPr>
      </w:pPr>
    </w:p>
    <w:p>
      <w:pPr>
        <w:ind w:left="440" w:right="140" w:hanging="324"/>
        <w:spacing w:after="0" w:line="308"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51" w:lineRule="exact"/>
        <w:rPr>
          <w:rFonts w:ascii="Arial" w:cs="Arial" w:eastAsia="Arial" w:hAnsi="Arial"/>
          <w:sz w:val="17"/>
          <w:szCs w:val="17"/>
          <w:color w:val="auto"/>
        </w:rPr>
      </w:pPr>
    </w:p>
    <w:p>
      <w:pPr>
        <w:ind w:left="44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440" w:right="28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75"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75" w:lineRule="exact"/>
        <w:rPr>
          <w:rFonts w:ascii="Arial" w:cs="Arial" w:eastAsia="Arial" w:hAnsi="Arial"/>
          <w:sz w:val="18"/>
          <w:szCs w:val="18"/>
          <w:color w:val="auto"/>
        </w:rPr>
      </w:pPr>
    </w:p>
    <w:p>
      <w:pPr>
        <w:ind w:left="440" w:right="40" w:hanging="324"/>
        <w:spacing w:after="0" w:line="308"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patients who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51" w:lineRule="exact"/>
        <w:rPr>
          <w:rFonts w:ascii="Arial" w:cs="Arial" w:eastAsia="Arial" w:hAnsi="Arial"/>
          <w:sz w:val="17"/>
          <w:szCs w:val="17"/>
          <w:color w:val="auto"/>
        </w:rPr>
      </w:pPr>
    </w:p>
    <w:p>
      <w:pPr>
        <w:ind w:left="440" w:right="260" w:hanging="324"/>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we may have to suspend or terminate clinical trials of our product candidates for various reasons, including a finding that the participants are being exposed to unacceptable health risks, undesirable side effects or other unexpected characteristics of a product candidate;</w:t>
      </w:r>
    </w:p>
    <w:p>
      <w:pPr>
        <w:spacing w:after="0" w:line="86" w:lineRule="exact"/>
        <w:rPr>
          <w:rFonts w:ascii="Arial" w:cs="Arial" w:eastAsia="Arial" w:hAnsi="Arial"/>
          <w:sz w:val="18"/>
          <w:szCs w:val="18"/>
          <w:color w:val="auto"/>
        </w:rPr>
      </w:pPr>
    </w:p>
    <w:p>
      <w:pPr>
        <w:ind w:left="440" w:right="120" w:hanging="324"/>
        <w:spacing w:after="0" w:line="259"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undesirable side effects or other unexpected characteristics of the product candidate or findings of undesirable effects caused by a chemically or mechanistically similar drug or drug candidate;</w:t>
      </w:r>
    </w:p>
    <w:p>
      <w:pPr>
        <w:spacing w:after="0" w:line="92"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non-U.S. regulatory authorities may disagree with our clinical trial design or our interpretation of data from preclinical studies and clinical trials;</w:t>
      </w:r>
    </w:p>
    <w:p>
      <w:pPr>
        <w:spacing w:after="0" w:line="75" w:lineRule="exact"/>
        <w:rPr>
          <w:rFonts w:ascii="Arial" w:cs="Arial" w:eastAsia="Arial" w:hAnsi="Arial"/>
          <w:sz w:val="18"/>
          <w:szCs w:val="18"/>
          <w:color w:val="auto"/>
        </w:rPr>
      </w:pPr>
    </w:p>
    <w:p>
      <w:pPr>
        <w:ind w:left="440" w:right="10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75" w:lineRule="exact"/>
        <w:rPr>
          <w:rFonts w:ascii="Arial" w:cs="Arial" w:eastAsia="Arial" w:hAnsi="Arial"/>
          <w:sz w:val="18"/>
          <w:szCs w:val="18"/>
          <w:color w:val="auto"/>
        </w:rPr>
      </w:pPr>
    </w:p>
    <w:p>
      <w:pPr>
        <w:ind w:left="440" w:right="700" w:hanging="324"/>
        <w:spacing w:after="0" w:line="342"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29" w:lineRule="exact"/>
        <w:rPr>
          <w:rFonts w:ascii="Arial" w:cs="Arial" w:eastAsia="Arial" w:hAnsi="Arial"/>
          <w:sz w:val="16"/>
          <w:szCs w:val="16"/>
          <w:color w:val="auto"/>
        </w:rPr>
      </w:pPr>
    </w:p>
    <w:p>
      <w:pPr>
        <w:ind w:left="440" w:right="400" w:hanging="324"/>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8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spacing w:after="0" w:line="87"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30" w:lineRule="exact"/>
        <w:rPr>
          <w:rFonts w:ascii="Arial" w:cs="Arial" w:eastAsia="Arial" w:hAnsi="Arial"/>
          <w:sz w:val="18"/>
          <w:szCs w:val="18"/>
          <w:color w:val="auto"/>
        </w:rPr>
      </w:pPr>
    </w:p>
    <w:p>
      <w:pPr>
        <w:ind w:left="440" w:right="120" w:hanging="324"/>
        <w:spacing w:after="0" w:line="27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93"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b w:val="1"/>
          <w:bCs w:val="1"/>
          <w:i w:val="1"/>
          <w:iCs w:val="1"/>
          <w:color w:val="auto"/>
        </w:rPr>
        <w:t>We may request priority review by the FDA for CRLX101 and may also do so for our other product candidates in the future. The FDA may not grant priority review for CRLX101 or any of our other product candidates. Moreover, even if the FDA designated such products for priority review, that designation may not lead to a faster regulatory review or approval process and, in any event, would not assure FDA approval.</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be eligible for priority review designation for our product candidates, including CRLX101, if the FDA determines such product candidates offer major advances in treatment or provide a treatment where no adequate therapy exists. A priority review designation means that the goal for the FDA to review an application is six months, rather than the standard review period of ten months. We may request priority review for CRLX101 if and when we submit an NDA for CRLX101. Our current clinical development timeline assumes CRLX101 will receive priority review. The FDA has broad discretion with respect to whether or not to grant priority review status to a product candidate, so even if we believe a particular product candidate is eligible for such designation or status, the FDA may decide not to grant it. Thus, while the FDA has granted priority review to other oncology products,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does not guarantee approval within the six-month review/approval cycle or thereafter.</w:t>
      </w:r>
    </w:p>
    <w:p>
      <w:pPr>
        <w:spacing w:after="0" w:line="16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We believe we may in some instances be able to secure approval from the FDA or comparable non-U.S. regulatory authorities to use accelerated development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anticipate that we may seek an accelerated approval pathway for certain of our product candidates. For example, with respect to our development of CRLX101 for the treatment of neoadjuvant rectal cancer, we currently plan to commence a Phase 2 randomized clinical trial by the end of 2014 and to have pathologic complete response data available by late 2015. Assuming positive pathologic complete response data from this Phase 2 trial, we would expect to commence a Phase 3 trial and file an NDA for accelerated approval based on a surrogate endpoint in this Phase 3 trial. Pathologic complete response would be considered a surrogate endpoint under this approach.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Prior to seeking such accelerated approval, we will seek feedback from the FDA and will otherwise evaluate our ability to seek and receive such accelerated approval. There can be no assurance that the FDA will agree that pathologic complete response is an appropriate surrogate endpoint or appropriate intermediate clinical endpoint for accelerated approval of CRLX101 for neoadjuvant rectal cancer.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non-U.S. authorities could also require us conduct further studies prior to considering our application or granting approval of any type. A failure to obtain accelerated approval or any other form of expedited development, review or approval for CRLX101 for neoadjuvant rectal cancer or any of our other product candidates would result in a longer time period to commercialization of such product candidate, could increase the cost of development of such product candidate and could harm our competitive position in the marketplace.</w:t>
      </w:r>
    </w:p>
    <w:p>
      <w:pPr>
        <w:spacing w:after="0" w:line="1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Serious adverse events or undesirable side effects or other unexpected properties of CRLX101 or any of our other product candidates may be identified during development that could delay or prevent the product candidate’s marketing approval.</w:t>
      </w:r>
    </w:p>
    <w:p>
      <w:pPr>
        <w:spacing w:after="0" w:line="17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Serious adverse events or undesirable side effects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side effects or other safety or toxicity issues in our ongoing clinical trials or in clinical trials we conduct in the future, whether due to the inclusion of camptotechin or docetaxel or another therapeutic as the anti-cancer payload in our nanopharmaceuticals or otherwise, we may not receive approval to market, or achieve the commercial success we anticipate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nanopharmaceuticals’ anti-cancer payload. For example, liver tissue has pore sizes that are generally larger than other normal tissue, and therefore, our nanopharmaceuticals may preferentially concentrate in the liver.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significant portion of the research that we are conducting involves the development of new nanopharmaceuticals based on our Dynamic Tumor Targeting Platform.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92" w:lineRule="exact"/>
        <w:rPr>
          <w:sz w:val="20"/>
          <w:szCs w:val="20"/>
          <w:color w:val="auto"/>
        </w:rPr>
      </w:pPr>
    </w:p>
    <w:p>
      <w:pPr>
        <w:ind w:left="440" w:right="2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newly designed nanopharmaceuticals may not demonstrate satisfactory efficacy or other benefits, either alone or in combination with other therapeutics; or</w:t>
      </w:r>
    </w:p>
    <w:p>
      <w:pPr>
        <w:spacing w:after="0" w:line="75" w:lineRule="exact"/>
        <w:rPr>
          <w:rFonts w:ascii="Arial" w:cs="Arial" w:eastAsia="Arial" w:hAnsi="Arial"/>
          <w:sz w:val="18"/>
          <w:szCs w:val="18"/>
          <w:color w:val="auto"/>
        </w:rPr>
      </w:pPr>
    </w:p>
    <w:p>
      <w:pPr>
        <w:ind w:left="440" w:right="200" w:hanging="324"/>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products that will receive marketing approval and achieve market acceptance.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CRLX101 or any of our other product candidates, if approved for commercial sale, will depend on a number of factors, including:</w:t>
      </w:r>
    </w:p>
    <w:p>
      <w:pPr>
        <w:spacing w:after="0" w:line="92"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alternative treatments;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pricing sufficient to realize a meaningful return on our investment;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our approved products as well as competitive products and other therapies;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amount of reimbursement from government payors, managed care plans and other third party payors;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5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2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spacing w:after="0" w:line="60" w:lineRule="exact"/>
        <w:rPr>
          <w:sz w:val="20"/>
          <w:szCs w:val="20"/>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drug or seize the drug;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recall the drug or change the way the drug is administered;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drug;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the previously unidentified side effects for distribution to patients;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have a material and adverse effect on our operations and business and could adversely impact our stock price.</w:t>
      </w:r>
    </w:p>
    <w:p>
      <w:pPr>
        <w:spacing w:after="0" w:line="225" w:lineRule="exact"/>
        <w:rPr>
          <w:sz w:val="20"/>
          <w:szCs w:val="20"/>
          <w:color w:val="auto"/>
        </w:rPr>
      </w:pPr>
    </w:p>
    <w:p>
      <w:pPr>
        <w:jc w:val="both"/>
        <w:ind w:right="20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0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7"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other of our product candidates that we may seek to develop or commercialize in the future.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side effects or are less costly than any product candidates that we are currently developing or that we may develop, which could render our product candidates obsolete and noncompetitive.</w:t>
      </w:r>
    </w:p>
    <w:p>
      <w:pPr>
        <w:spacing w:after="0" w:line="192"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All of the top ten global pharmaceutical companies and most of the mid-size pharmaceutical companies have a strong research and development and commercial presence in oncology. Smaller companies also focus on oncology, including companies such as ARIAD Pharmaceuticals, Inc., Agios Pharmaceuticals, Inc., BIND Therapeutics, Inc., Clovis Oncology, Inc., Endocyte, Inc., Epizyme, Inc., ImmunoGen, Inc., Incyte Corporation, Infinity Pharmaceuticals, Inc., MacroGenics, Inc., Merrimack Pharmaceuticals, Inc., OncoMed Pharmaceuticals, Inc., Onconova Therapeutics, Inc., Pharmacyclics, Inc., Puma Biotechnology, Inc., Seattle Genetics, Inc. and TESARO, Inc.</w:t>
      </w:r>
    </w:p>
    <w:p>
      <w:pPr>
        <w:spacing w:after="0" w:line="17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Several companies are marketing and developing oncology products. Companies with marketed nanopharmaceutical oncology products include Celgene Corporation (Abraxane indicated for breast cancer, NSCLC and pancreatic cancer) and Spectrum Pharmaceuticals (Marqibo® (vincristine sulfate liposome injection) indicated for relapsed Philadelphia chromosome-negative acute lymphoblastic leukemia). Companies with nanopharmaceutical oncology product candidates in clinical development include BIND Therapeutics, Inc. (BIND 014 for NSCLC and metastatic castration-resistant prostate cancer), Celator Pharmaceuticals, Inc. (CPX-351 for acute myeloid leukemia), Celsion Corporation (ThermoDox® (lyso-thermosensitive liposomal doxorubicin) for solid tumors), Cytimmune Sciences, Inc. (CYT-6091 for oncology and autoimmune diseases) and Supratek Pharma Inc. (SP1049C for solid tumors). In addition, at least two companies have clinical-stage oncology product candidates that are irinotecan reformulations: Merrimack Pharmaceuticals’ liposomal irinotecan (MM-398 for pancreatic and colorectal cancer) and Nektar Therapeutics’ etirinotecan pegol (NKTR102 for breast cancer).</w:t>
      </w:r>
    </w:p>
    <w:p>
      <w:pPr>
        <w:spacing w:after="0" w:line="16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before we are able to obtain approval for ours, which could result in our competitors establishing a strong market position before we are able to enter the market.</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7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nanopharmaceutials would be treated 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66"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CRLX301 is, and any additional product candidate that we may develop in the future may be, a nanopharmaceutical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to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95"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maintain general liability insurance of $2.0 million in the aggregate, umbrella insurance in the amount of $3.0 million in the aggregate and clinical trial liability insurance of $5.0 million in the aggregate, this insurance may not fully cover potential liabilities that we may incur. The cost of any product liability litigation or other proceeding, even if resolved in our favor, could be substantial. We will need to increase our insurance coverage if and when we begin selling any product candidate that receives marketing approval. In addition, insurance coverage is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rely on academic institutions to conduct and sponsor clinical trials relating to some of our product candidates. We do not control the design or administration of ISTs, and our reliance on third parties to conduct the ISTs could, depending on the actions of such third parties, jeopardize the validity of the clinical data generated and adversely affect our ability to obtain marketing approval from the FDA or other applicable regulatory authorities.</w:t>
      </w:r>
    </w:p>
    <w:p>
      <w:pPr>
        <w:spacing w:after="0" w:line="16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the timing and reporting of the data from ISTs, nor do we own the data from the ISTs. For example, patient enrollment has been slower than we anticipated in the randomized Phase 2 IST comparing CRLX101 as monotherapy to Hycamtin® (topotecan) in advanced small cell lung cancer at the University of Chicago. However, because we are not the sponsor of this trial, we do not control the administration of the trial and have limited or no ability to assist or support patient enrollment. Moreover, if we are unable to confirm or replicate the results from the ISTs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then our ability to design and conduct any future clinical trials ourselves may be adversely affected.</w:t>
      </w:r>
    </w:p>
    <w:p>
      <w:pPr>
        <w:spacing w:after="0" w:line="19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will be no independent review of the results of the ISTs. Therefore, the investigators may interpret the results of the ISTs more favorably than an independent review would.</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currently rely on third party clinical research organizations, or CROs, to conduct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0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440" w:right="80" w:hanging="324"/>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6" w:lineRule="exact"/>
        <w:rPr>
          <w:rFonts w:ascii="Arial" w:cs="Arial" w:eastAsia="Arial" w:hAnsi="Arial"/>
          <w:sz w:val="18"/>
          <w:szCs w:val="18"/>
          <w:color w:val="auto"/>
        </w:rPr>
      </w:pPr>
    </w:p>
    <w:p>
      <w:pPr>
        <w:ind w:left="440" w:right="420" w:hanging="324"/>
        <w:spacing w:after="0" w:line="277"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440" w:hanging="324"/>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220" w:hanging="324"/>
        <w:spacing w:after="0" w:line="277"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440" w:right="360" w:hanging="324"/>
        <w:spacing w:after="0" w:line="308"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1" w:lineRule="exact"/>
        <w:rPr>
          <w:rFonts w:ascii="Arial" w:cs="Arial" w:eastAsia="Arial" w:hAnsi="Arial"/>
          <w:sz w:val="17"/>
          <w:szCs w:val="17"/>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440" w:right="320" w:hanging="324"/>
        <w:spacing w:after="0" w:line="308"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51" w:lineRule="exact"/>
        <w:rPr>
          <w:rFonts w:ascii="Arial" w:cs="Arial" w:eastAsia="Arial" w:hAnsi="Arial"/>
          <w:sz w:val="17"/>
          <w:szCs w:val="17"/>
          <w:color w:val="auto"/>
        </w:rPr>
      </w:pPr>
    </w:p>
    <w:p>
      <w:pPr>
        <w:ind w:left="440" w:right="160" w:hanging="324"/>
        <w:spacing w:after="0" w:line="277"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our development and commercialization plans.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1"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6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(i.e., sterile manufacture). In 2013, we experienced a batch contamination issue with the manufacture of a batch of CRLX301 drug substance, and the process of obtaining a new batch has taken several months and is not yet complete. Any additional performance failures on the part of our existing or future manufacturers could delay clinical development or marketing approval of our product candidates.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8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Even if we are able to establish such arrangements with third party manufacturers, reliance on third party manufacturers entails additional risks, including:</w:t>
      </w:r>
    </w:p>
    <w:p>
      <w:pPr>
        <w:spacing w:after="0" w:line="76"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Third party manufacturers may not be able to comply with current good manufacturing practices, or cGMP, regulations or similar regulatory requirements outside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CRLX101, CRLX301 and any other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73"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w:t>
      </w:r>
    </w:p>
    <w:p>
      <w:pPr>
        <w:ind w:right="40"/>
        <w:spacing w:after="0" w:line="269" w:lineRule="auto"/>
        <w:rPr>
          <w:sz w:val="20"/>
          <w:szCs w:val="20"/>
          <w:color w:val="auto"/>
        </w:rPr>
      </w:pPr>
      <w:r>
        <w:rPr>
          <w:rFonts w:ascii="Arial" w:cs="Arial" w:eastAsia="Arial" w:hAnsi="Arial"/>
          <w:sz w:val="17"/>
          <w:szCs w:val="17"/>
          <w:color w:val="auto"/>
        </w:rPr>
        <w:t>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nanopharmaceuticals, such as CRLX301. In addition, we hold an exclusive license from the Massachusetts Institute of Technology, or MIT, for polymeric nanopharmaceutical-based, or PNP-based, product candidates.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6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our obligations in our intellectual property agreements with third parties, we could lose rights that are important to our business.</w:t>
      </w:r>
    </w:p>
    <w:p>
      <w:pPr>
        <w:spacing w:after="0" w:line="26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party to five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MIT agreement, and which are relevant to our PNP-based nanopharmaceuticals, may have been generated using United States government funds. In addition, some of the intellectual property rights licensed to us under the SUNY agreement and which are relevant to taxane containing nanopharmaceuticals such as CRLX301 may have been generated using United States government funds. As a result, the United States government may have certain rights to intellectual property embodied in our current or future PNP-based products or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7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4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must therefore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24"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The FDA and other agencies, including the Department of Justice,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products for their approved indications, we may be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subject to enforcement action for off-label marketing. Violations of the FDCA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76" w:lineRule="exact"/>
        <w:rPr>
          <w:sz w:val="20"/>
          <w:szCs w:val="20"/>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6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94" w:lineRule="exact"/>
        <w:rPr>
          <w:sz w:val="20"/>
          <w:szCs w:val="20"/>
          <w:color w:val="auto"/>
        </w:rPr>
      </w:pPr>
    </w:p>
    <w:p>
      <w:pPr>
        <w:ind w:left="440" w:hanging="324"/>
        <w:spacing w:after="0" w:line="312"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2" w:lineRule="exact"/>
        <w:rPr>
          <w:rFonts w:ascii="Arial" w:cs="Arial" w:eastAsia="Arial" w:hAnsi="Arial"/>
          <w:sz w:val="16"/>
          <w:szCs w:val="16"/>
          <w:color w:val="auto"/>
        </w:rPr>
      </w:pPr>
    </w:p>
    <w:p>
      <w:pPr>
        <w:ind w:left="440" w:right="60" w:hanging="324"/>
        <w:spacing w:after="0" w:line="259"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200" w:hanging="324"/>
        <w:spacing w:after="0" w:line="25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jc w:val="both"/>
        <w:ind w:left="440" w:right="420" w:hanging="324"/>
        <w:spacing w:after="0" w:line="264"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federal law requires applicable manufacturers of covered drugs to report payments and other transfers of value to physicians and teaching hospitals;</w:t>
      </w:r>
    </w:p>
    <w:p>
      <w:pPr>
        <w:spacing w:after="0" w:line="153" w:lineRule="exact"/>
        <w:rPr>
          <w:rFonts w:ascii="Arial" w:cs="Arial" w:eastAsia="Arial" w:hAnsi="Arial"/>
          <w:sz w:val="16"/>
          <w:szCs w:val="16"/>
          <w:color w:val="auto"/>
        </w:rPr>
      </w:pPr>
    </w:p>
    <w:p>
      <w:pPr>
        <w:ind w:left="440" w:right="180" w:hanging="324"/>
        <w:spacing w:after="0" w:line="25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92" w:lineRule="exact"/>
        <w:rPr>
          <w:rFonts w:ascii="Arial" w:cs="Arial" w:eastAsia="Arial" w:hAnsi="Arial"/>
          <w:sz w:val="18"/>
          <w:szCs w:val="18"/>
          <w:color w:val="auto"/>
        </w:rPr>
      </w:pPr>
    </w:p>
    <w:p>
      <w:pPr>
        <w:ind w:left="440" w:right="180" w:hanging="324"/>
        <w:spacing w:after="0" w:line="297"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58"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PPACA of importance to our potential product candidates are the following:</w:t>
      </w:r>
    </w:p>
    <w:p>
      <w:pPr>
        <w:spacing w:after="0" w:line="131"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440" w:right="200" w:hanging="324"/>
        <w:spacing w:after="0" w:line="277"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from the sales of our products, if any.</w:t>
      </w:r>
    </w:p>
    <w:p>
      <w:pPr>
        <w:spacing w:after="0" w:line="26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highly dependent on the scientific, business development and clinical expertise of Dr. Oliver Fetzer, our chief executive officer, Mr. Christopher Guiffre, our chief business officer, and Dr. Edward Garmey, our chief medical officer, as well as other principal members of our management, scientific and clinical teams. The loss of this expertise could impede the achievement of our goals. Any of our employees may terminate their employment with us at any time. We do not maintain “key person” insurance for any of our executives or other employees.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87" w:lineRule="exact"/>
        <w:rPr>
          <w:sz w:val="20"/>
          <w:szCs w:val="20"/>
          <w:color w:val="auto"/>
        </w:rPr>
      </w:pPr>
    </w:p>
    <w:p>
      <w:pPr>
        <w:ind w:left="440" w:right="380" w:hanging="324"/>
        <w:spacing w:after="0" w:line="26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results from and any delays in our clinical trials, including the ongoing ISTs of CRLX101, our planned Phase 2 and Phase 3 clinical trials of CRLX101 or our planned Phase 1 clinical trial of CRLX301, as well as results of regulatory reviews relating to the approval of our product candidates;</w:t>
      </w:r>
    </w:p>
    <w:p>
      <w:pPr>
        <w:spacing w:after="0" w:line="86"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or termination of any collaboration or licensing arrangement;</w:t>
      </w:r>
    </w:p>
    <w:p>
      <w:pPr>
        <w:spacing w:after="0" w:line="130" w:lineRule="exact"/>
        <w:rPr>
          <w:rFonts w:ascii="Arial" w:cs="Arial" w:eastAsia="Arial" w:hAnsi="Arial"/>
          <w:sz w:val="18"/>
          <w:szCs w:val="18"/>
          <w:color w:val="auto"/>
        </w:rPr>
      </w:pPr>
    </w:p>
    <w:p>
      <w:pPr>
        <w:ind w:left="440" w:right="400" w:hanging="324"/>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and capital commitments;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440" w:right="120" w:hanging="324"/>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30" w:lineRule="exact"/>
        <w:rPr>
          <w:rFonts w:ascii="Arial" w:cs="Arial" w:eastAsia="Arial" w:hAnsi="Arial"/>
          <w:sz w:val="18"/>
          <w:szCs w:val="18"/>
          <w:color w:val="auto"/>
        </w:rPr>
      </w:pPr>
    </w:p>
    <w:p>
      <w:pPr>
        <w:ind w:left="440" w:right="400" w:hanging="324"/>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conditions or trends in the biotechnology and biopharmaceutical industries;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development timelines or recommendations by securities analysts;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7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We believe that as of May 19, 2014, our executive officers, directors and principal stockholders, together with their respective affiliates, beneficially own approximately 68% of our common stock. Accordingly, these stockholders are able to exert a significant degree of influence over our management and affairs and over matters requiring stockholder approval, including the election of our board of directors and approval of significant corporate transactions.</w:t>
      </w:r>
    </w:p>
    <w:p>
      <w:pPr>
        <w:ind w:right="300"/>
        <w:spacing w:after="0" w:line="323" w:lineRule="auto"/>
        <w:rPr>
          <w:sz w:val="20"/>
          <w:szCs w:val="20"/>
          <w:color w:val="auto"/>
        </w:rPr>
      </w:pPr>
      <w:r>
        <w:rPr>
          <w:rFonts w:ascii="Arial" w:cs="Arial" w:eastAsia="Arial" w:hAnsi="Arial"/>
          <w:sz w:val="16"/>
          <w:szCs w:val="16"/>
          <w:color w:val="auto"/>
        </w:rPr>
        <w:t>This concentration of ownership could have the effect of delaying or preventing a change in control of our company or otherwise discouraging a potential acquirer from attempting to obtain control of us, which in turn could have a material and adverse effect on the fair market value of our common stock.</w:t>
      </w:r>
    </w:p>
    <w:p>
      <w:pPr>
        <w:spacing w:after="0" w:line="1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public market in the near future, which could cause the market price of our common stock to drop significantly, even if our business is doing well.</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Of the approximately 20.1 million shares of our common stock outstanding as of May 19, 2014, approximately 10.6 million shares are currently subject to restrictions on transfer under 180-day lock-up arrangements with either the underwriters for our IPO or under stock option or restricted stock agreements or an investor rights agreement entered into between us and the holders of those shares. These restrictions are due to expire on October 7, 2014, resulting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these shares becoming eligible for public sale on October 8, 2014 if they are registered under the Securities Act of 1933, as amended, which we refer to as the Securities Act, or if they qualify for an exemption from registration under the Securities Act, including under Rules 144 or 701.</w:t>
      </w:r>
    </w:p>
    <w:p>
      <w:pPr>
        <w:spacing w:after="0" w:line="147"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Moreover, holders of an aggregate of approximately 7.6 million shares of our common stock have rights, subject to conditions, to require us to file registration statements covering their shares or to include their shares in Securities Act registration statements that we may file for ourselves or other stockholders. Once we register these shares, they can be freely sold in the public market, subject to the lock-up arrangements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April 2014, we closed our initial public offering. Prior to this offering, there was no public market for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2" w:lineRule="exact"/>
        <w:rPr>
          <w:sz w:val="20"/>
          <w:szCs w:val="20"/>
          <w:color w:val="auto"/>
        </w:rPr>
      </w:pPr>
    </w:p>
    <w:p>
      <w:pPr>
        <w:ind w:left="440" w:right="480" w:hanging="324"/>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30" w:lineRule="exact"/>
        <w:rPr>
          <w:rFonts w:ascii="Arial" w:cs="Arial" w:eastAsia="Arial" w:hAnsi="Arial"/>
          <w:sz w:val="18"/>
          <w:szCs w:val="18"/>
          <w:color w:val="auto"/>
        </w:rPr>
      </w:pPr>
    </w:p>
    <w:p>
      <w:pPr>
        <w:ind w:left="440" w:right="380" w:hanging="324"/>
        <w:spacing w:after="0" w:line="342"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9" w:lineRule="exact"/>
        <w:rPr>
          <w:rFonts w:ascii="Arial" w:cs="Arial" w:eastAsia="Arial" w:hAnsi="Arial"/>
          <w:sz w:val="16"/>
          <w:szCs w:val="16"/>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440" w:right="40" w:hanging="324"/>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Overall, we estimate that our incremental costs resulting from operating as a public company may be between $2.0 million and $4.0 million per year.</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Furthermore, our loan and security agreement with Lighthouse Capital prohibits us from paying any dividends without the prior written consent of Lighthouse Capital. Accordingly, investors must rely on sales of their common stock after price appreciation, which may never occur, as the only way to realize any return on their investment.</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70"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Provisions of our certificate of incorporation, our bylaws or Delaware law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52"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by-laws; and</w:t>
      </w:r>
    </w:p>
    <w:p>
      <w:pPr>
        <w:spacing w:after="0" w:line="130" w:lineRule="exact"/>
        <w:rPr>
          <w:rFonts w:ascii="Arial" w:cs="Arial" w:eastAsia="Arial" w:hAnsi="Arial"/>
          <w:sz w:val="18"/>
          <w:szCs w:val="18"/>
          <w:color w:val="auto"/>
        </w:rPr>
      </w:pPr>
    </w:p>
    <w:p>
      <w:pPr>
        <w:jc w:val="both"/>
        <w:ind w:left="440" w:right="20" w:hanging="324"/>
        <w:spacing w:after="0" w:line="264"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 January 10, January 15, January 16 and January 27, 2014, pursuant to the terms of our 2007 Stock Incentive Plan, we granted to certain of our employees and directors options to purchase an aggregate of 78,924; 27,572; 8,998 and 44,116 shares, respectively, of our common stock, at an exercise price of $10.59 per share. The issuance of such securities was exempt from the registration requirements of the Securities Act pursuant to Section 3(b) and Rule 701 promulgated thereunder, as transactions pursuant to a compensatory benefit plan as provided under Rule 701.</w:t>
      </w:r>
    </w:p>
    <w:p>
      <w:pPr>
        <w:spacing w:after="0" w:line="17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February 14, 2014 and March 6, 2014, we issued and sold an aggregate of $8.5 million in principal amount of convertible promissory notes to existing investors and a new investor. No underwriters were involved in the issuances of the convertible promissory notes. The notes were issued to accredited investors in reliance upon the exemption from the registration requirements of the Securities Act, as set forth in Section 4(a)(2) under the Securities Act, relative to transactions by an issuer not involving any public offering, to the extent an exemption from such registration was required. The purchasers of the convertible promissory notes represented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and appropriate legends were affixed to the notes. These notes converted into shares of our common stock in connection with our initial public offering at 77.5% of the initial public offering price, or $5.43 per share.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15, 2014, we completed our initial public offering, or our IPO, in which we issued and sold 8,500,000 shares of our common stock at a public offering price of $7.00 per share, for aggregate gross proceeds of $59.5 million. All of the shares issued and sold in the IPO were registered under the Securities Act pursuant to a Registration Statement on Form S-1 (File No. 333-194442), which was declared effective by the SEC on April 10, 2014. Leerink Partners LLC acted as book-running manager of the offering and as representatives of the underwriters. Canaccord Genuity Inc., JMP Securities LLC and Wedbush Securities Inc. acted as co-managers for the offering. The offering commenced on April 10, 2014 and did not terminate until the sale of all of the shares offered.</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May 2, 2014, the underwriters exercised in part their option to purchase additional shares pursuant to the underwriting agreement relating to our IPO. On May 7, 2014, we closed the underwriters’ over-allotment option and sold 1,069,715 shares to the public as a price of $7.00 per share, for aggregate gross proceeds of $7.5 million.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net offering proceeds to us, after deducting underwriting discounts of $3.9 million and offering expenses payable by us totaling $2.9 million, were approximately $60.1 million. No offering expenses were paid directly or indirectly to any of our directors or officers (or their associates) or persons owning 10.0% or more of any class of our equity securities or to any other affiliates.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with the SEC pursuant to Rule 424(b)(4) on April 14,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in the Exhibit Index to this Quarterly Report on Form 10-Q are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CERULEAN PHARMA INC.</w:t>
      </w:r>
    </w:p>
    <w:p>
      <w:pPr>
        <w:spacing w:after="0" w:line="229" w:lineRule="exact"/>
        <w:rPr>
          <w:sz w:val="20"/>
          <w:szCs w:val="20"/>
          <w:color w:val="auto"/>
        </w:rPr>
      </w:pPr>
    </w:p>
    <w:p>
      <w:pPr>
        <w:spacing w:after="0"/>
        <w:tabs>
          <w:tab w:leader="none" w:pos="5880" w:val="left"/>
          <w:tab w:leader="none" w:pos="7580" w:val="left"/>
          <w:tab w:leader="none" w:pos="7940" w:val="left"/>
        </w:tabs>
        <w:rPr>
          <w:sz w:val="20"/>
          <w:szCs w:val="20"/>
          <w:color w:val="auto"/>
        </w:rPr>
      </w:pPr>
      <w:r>
        <w:rPr>
          <w:rFonts w:ascii="Arial" w:cs="Arial" w:eastAsia="Arial" w:hAnsi="Arial"/>
          <w:sz w:val="18"/>
          <w:szCs w:val="18"/>
          <w:color w:val="auto"/>
        </w:rPr>
        <w:t>Date: May 27,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Christopher D.T. Guiffre, J.D.</w:t>
      </w:r>
    </w:p>
    <w:p>
      <w:pPr>
        <w:jc w:val="center"/>
        <w:ind w:left="6280"/>
        <w:spacing w:after="0" w:line="226" w:lineRule="auto"/>
        <w:rPr>
          <w:sz w:val="20"/>
          <w:szCs w:val="20"/>
          <w:color w:val="auto"/>
        </w:rPr>
      </w:pPr>
      <w:r>
        <w:rPr>
          <w:rFonts w:ascii="Arial" w:cs="Arial" w:eastAsia="Arial" w:hAnsi="Arial"/>
          <w:sz w:val="14"/>
          <w:szCs w:val="14"/>
          <w:b w:val="1"/>
          <w:bCs w:val="1"/>
          <w:color w:val="auto"/>
        </w:rPr>
        <w:t>Senior Vice President and Chief Business Officer</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spacing w:after="0"/>
        <w:tabs>
          <w:tab w:leader="none" w:pos="5880" w:val="left"/>
          <w:tab w:leader="none" w:pos="7860" w:val="left"/>
          <w:tab w:leader="none" w:pos="8200" w:val="left"/>
        </w:tabs>
        <w:rPr>
          <w:sz w:val="20"/>
          <w:szCs w:val="20"/>
          <w:color w:val="auto"/>
        </w:rPr>
      </w:pPr>
      <w:r>
        <w:rPr>
          <w:rFonts w:ascii="Arial" w:cs="Arial" w:eastAsia="Arial" w:hAnsi="Arial"/>
          <w:sz w:val="18"/>
          <w:szCs w:val="18"/>
          <w:color w:val="auto"/>
        </w:rPr>
        <w:t>Date: May 27,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Karen L. Roberts</w:t>
      </w:r>
    </w:p>
    <w:p>
      <w:pPr>
        <w:jc w:val="center"/>
        <w:ind w:left="6280"/>
        <w:spacing w:after="0" w:line="226" w:lineRule="auto"/>
        <w:rPr>
          <w:sz w:val="20"/>
          <w:szCs w:val="20"/>
          <w:color w:val="auto"/>
        </w:rPr>
      </w:pPr>
      <w:r>
        <w:rPr>
          <w:rFonts w:ascii="Arial" w:cs="Arial" w:eastAsia="Arial" w:hAnsi="Arial"/>
          <w:sz w:val="14"/>
          <w:szCs w:val="14"/>
          <w:b w:val="1"/>
          <w:bCs w:val="1"/>
          <w:color w:val="auto"/>
        </w:rPr>
        <w:t>Senior Vice President, Finance and Administration</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(principal accounting officer)</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40"/>
          </w:cols>
          <w:pgMar w:left="240" w:top="459" w:right="9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5"/>
        </w:trPr>
        <w:tc>
          <w:tcPr>
            <w:tcW w:w="740" w:type="dxa"/>
            <w:vAlign w:val="bottom"/>
            <w:gridSpan w:val="2"/>
            <w:vMerge w:val="continue"/>
          </w:tcPr>
          <w:p>
            <w:pPr>
              <w:spacing w:after="0"/>
              <w:rPr>
                <w:sz w:val="10"/>
                <w:szCs w:val="10"/>
                <w:color w:val="auto"/>
              </w:rPr>
            </w:pPr>
          </w:p>
        </w:tc>
        <w:tc>
          <w:tcPr>
            <w:tcW w:w="6680" w:type="dxa"/>
            <w:vAlign w:val="bottom"/>
            <w:gridSpan w:val="3"/>
            <w:vMerge w:val="restart"/>
          </w:tcPr>
          <w:p>
            <w:pPr>
              <w:ind w:left="2620"/>
              <w:spacing w:after="0"/>
              <w:rPr>
                <w:sz w:val="20"/>
                <w:szCs w:val="20"/>
                <w:color w:val="auto"/>
              </w:rPr>
            </w:pPr>
            <w:r>
              <w:rPr>
                <w:rFonts w:ascii="Arial" w:cs="Arial" w:eastAsia="Arial" w:hAnsi="Arial"/>
                <w:sz w:val="14"/>
                <w:szCs w:val="14"/>
                <w:b w:val="1"/>
                <w:bCs w:val="1"/>
                <w:color w:val="auto"/>
              </w:rPr>
              <w:t>Description of Exhibit</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Form</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File Number</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Date of Filing</w:t>
            </w:r>
          </w:p>
        </w:tc>
        <w:tc>
          <w:tcPr>
            <w:tcW w:w="540" w:type="dxa"/>
            <w:vAlign w:val="bottom"/>
            <w:gridSpan w:val="2"/>
          </w:tcPr>
          <w:p>
            <w:pPr>
              <w:jc w:val="center"/>
              <w:ind w:right="40"/>
              <w:spacing w:after="0" w:line="115" w:lineRule="exact"/>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68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Restated Certificate of Incorporation</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001-36395</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April 16, 2014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Amended and Restated By-Laws</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001-36395</w:t>
            </w:r>
          </w:p>
        </w:tc>
        <w:tc>
          <w:tcPr>
            <w:tcW w:w="126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April 16, 2014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w w:val="98"/>
              </w:rPr>
              <w:t>Certification of principal executive officer pursuant to Rule 13a 14(a)/15d 14(a) of the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Securities Exchange Act of 1934, as amended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w w:val="99"/>
              </w:rPr>
              <w:t>Certification of principal financial officer pursuant to Rule 13a-14(a)/15d-14(a) of the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Securities Exchange Act of 1934, as amended.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Certification of principal executive officer pursuant to 18 U.S.C. §1350, as adopted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Certification of principal financial officer pursuant to 18 U.S.C. §1350, as adopted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pursuant to Section 906 of the Sarbanes-Oxley Act of 2002.</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XBRL Instance Document*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101.SCH</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XBRL Taxonomy Calculation Linkbase Document*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XBRL Taxonomy Label Linkbase Document*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w w:val="99"/>
              </w:rPr>
              <w:t>101.PRE</w:t>
            </w:r>
          </w:p>
        </w:tc>
        <w:tc>
          <w:tcPr>
            <w:tcW w:w="6680" w:type="dxa"/>
            <w:vAlign w:val="bottom"/>
            <w:gridSpan w:val="3"/>
          </w:tcPr>
          <w:p>
            <w:pPr>
              <w:ind w:left="40"/>
              <w:spacing w:after="0"/>
              <w:rPr>
                <w:sz w:val="20"/>
                <w:szCs w:val="20"/>
                <w:color w:val="auto"/>
              </w:rPr>
            </w:pPr>
            <w:r>
              <w:rPr>
                <w:rFonts w:ascii="Arial" w:cs="Arial" w:eastAsia="Arial" w:hAnsi="Arial"/>
                <w:sz w:val="18"/>
                <w:szCs w:val="18"/>
                <w:color w:val="auto"/>
              </w:rPr>
              <w:t>XBRL Taxonomy Presentation Linkbase Document*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ectPr>
          <w:pgSz w:w="11900" w:h="16838" w:orient="portrait"/>
          <w:cols w:equalWidth="0" w:num="1">
            <w:col w:w="11420"/>
          </w:cols>
          <w:pgMar w:left="240" w:top="45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Oliver S. Fetzer, certify that:</w:t>
      </w:r>
    </w:p>
    <w:p>
      <w:pPr>
        <w:spacing w:after="0" w:line="13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20" w:right="100" w:hanging="440"/>
        <w:spacing w:after="0" w:line="286" w:lineRule="auto"/>
        <w:tabs>
          <w:tab w:leader="none" w:pos="1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60" w:hanging="440"/>
        <w:spacing w:after="0" w:line="264" w:lineRule="auto"/>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60" w:hanging="440"/>
        <w:spacing w:after="0" w:line="286" w:lineRule="auto"/>
        <w:tabs>
          <w:tab w:leader="none" w:pos="1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20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Oliver S. Fetzer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D.T. Guiffre, certify that:</w:t>
      </w:r>
    </w:p>
    <w:p>
      <w:pPr>
        <w:spacing w:after="0" w:line="13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Cerulean Pharma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20" w:right="100" w:hanging="440"/>
        <w:spacing w:after="0" w:line="286" w:lineRule="auto"/>
        <w:tabs>
          <w:tab w:leader="none" w:pos="19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60" w:hanging="440"/>
        <w:spacing w:after="0" w:line="264" w:lineRule="auto"/>
        <w:tabs>
          <w:tab w:leader="none" w:pos="1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60" w:hanging="440"/>
        <w:spacing w:after="0" w:line="286" w:lineRule="auto"/>
        <w:tabs>
          <w:tab w:leader="none" w:pos="19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20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Business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connection with the Quarterly Report on Form 10-Q of Cerulean Pharma Inc. (the “Company”) for the fiscal quarter ended March 31, 2014, as filed with the Securities and Exchange Commission on the date hereof (the “Report”), the undersigned, Oliver S. Fetzer, President and Chief Executive Officer of the Company, hereby certifies, pursuant to 18 U.S.C. Section 1350, that, to his knowledge on the date hereof:</w:t>
      </w:r>
    </w:p>
    <w:p>
      <w:pPr>
        <w:spacing w:after="0" w:line="181"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464"/>
        <w:spacing w:after="0" w:line="516"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27, 2014</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Oliver S. Fetzer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on Form 10-Q of Cerulean Pharma Inc. (the “Company”) for the fiscal quarter ended March 31, 2014, as filed with the Securities and Exchange Commission on the date hereof (the “Report”), the undersigned, Christopher D.T. Guiffre, Senior Vice President and Chief Business Officer of the Company, hereby certifies, pursuant to 18 U.S.C. Section 1350, that, to his knowledge on the date hereof:</w:t>
      </w:r>
    </w:p>
    <w:p>
      <w:pPr>
        <w:spacing w:after="0" w:line="166"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464"/>
        <w:spacing w:after="0" w:line="516"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27, 2014</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D.T. Guiffre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Business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5"/>
    </w:lvl>
  </w:abstractNum>
  <w:abstractNum w:abstractNumId="5">
    <w:nsid w:val="75A2A8D4"/>
    <w:multiLevelType w:val="hybridMultilevel"/>
    <w:lvl w:ilvl="0">
      <w:lvlJc w:val="left"/>
      <w:lvlText w:val="%1."/>
      <w:numFmt w:val="decimal"/>
      <w:start w:val="7"/>
    </w:lvl>
  </w:abstractNum>
  <w:abstractNum w:abstractNumId="6">
    <w:nsid w:val="8EDBDAB"/>
    <w:multiLevelType w:val="hybridMultilevel"/>
    <w:lvl w:ilvl="0">
      <w:lvlJc w:val="left"/>
      <w:lvlText w:val="%1."/>
      <w:numFmt w:val="decimal"/>
      <w:start w:val="8"/>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2019-12-07T16:19:03Z</dcterms:created>
  <dcterms:modified xsi:type="dcterms:W3CDTF">2019-12-07T16:19:03Z</dcterms:modified>
</cp:coreProperties>
</file>