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4" w:lineRule="exact"/>
        <w:rPr>
          <w:sz w:val="24"/>
          <w:szCs w:val="24"/>
          <w:color w:val="auto"/>
        </w:rPr>
      </w:pPr>
    </w:p>
    <w:p>
      <w:pPr>
        <w:ind w:left="840" w:hanging="805"/>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36" w:lineRule="exact"/>
        <w:rPr>
          <w:sz w:val="24"/>
          <w:szCs w:val="24"/>
          <w:color w:val="auto"/>
        </w:rPr>
      </w:pPr>
    </w:p>
    <w:p>
      <w:pPr>
        <w:ind w:left="590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-5080</wp:posOffset>
            </wp:positionV>
            <wp:extent cx="268795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79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DARÉ BIOSCIENCE, INC.</w:t>
      </w:r>
    </w:p>
    <w:p>
      <w:pPr>
        <w:spacing w:after="0" w:line="48"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(Exact Name of Registrant as Specified in its Charter)</w:t>
      </w:r>
    </w:p>
    <w:p>
      <w:pPr>
        <w:spacing w:after="0" w:line="34" w:lineRule="exact"/>
        <w:rPr>
          <w:sz w:val="24"/>
          <w:szCs w:val="24"/>
          <w:color w:val="auto"/>
        </w:rPr>
      </w:pPr>
    </w:p>
    <w:tbl>
      <w:tblPr>
        <w:tblLayout w:type="fixed"/>
        <w:tblInd w:w="260" w:type="dxa"/>
        <w:tblCellMar>
          <w:top w:w="0" w:type="dxa"/>
          <w:left w:w="0" w:type="dxa"/>
          <w:bottom w:w="0" w:type="dxa"/>
          <w:right w:w="0" w:type="dxa"/>
        </w:tblCellMar>
      </w:tblPr>
      <w:tr>
        <w:trPr>
          <w:trHeight w:val="227"/>
        </w:trPr>
        <w:tc>
          <w:tcPr>
            <w:tcW w:w="3240" w:type="dxa"/>
            <w:vAlign w:val="bottom"/>
          </w:tcPr>
          <w:p>
            <w:pPr>
              <w:jc w:val="center"/>
              <w:ind w:right="315"/>
              <w:spacing w:after="0"/>
              <w:rPr>
                <w:sz w:val="20"/>
                <w:szCs w:val="20"/>
                <w:color w:val="auto"/>
              </w:rPr>
            </w:pPr>
            <w:r>
              <w:rPr>
                <w:rFonts w:ascii="Arial" w:cs="Arial" w:eastAsia="Arial" w:hAnsi="Arial"/>
                <w:sz w:val="18"/>
                <w:szCs w:val="18"/>
                <w:b w:val="1"/>
                <w:bCs w:val="1"/>
                <w:color w:val="auto"/>
              </w:rPr>
              <w:t>Delaware</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rPr>
              <w:t>Commission File No. 001-36395</w:t>
            </w:r>
          </w:p>
        </w:tc>
        <w:tc>
          <w:tcPr>
            <w:tcW w:w="1980" w:type="dxa"/>
            <w:vAlign w:val="bottom"/>
          </w:tcPr>
          <w:p>
            <w:pPr>
              <w:jc w:val="right"/>
              <w:ind w:right="75"/>
              <w:spacing w:after="0"/>
              <w:rPr>
                <w:sz w:val="20"/>
                <w:szCs w:val="20"/>
                <w:color w:val="auto"/>
              </w:rPr>
            </w:pPr>
            <w:r>
              <w:rPr>
                <w:rFonts w:ascii="Arial" w:cs="Arial" w:eastAsia="Arial" w:hAnsi="Arial"/>
                <w:sz w:val="18"/>
                <w:szCs w:val="18"/>
                <w:b w:val="1"/>
                <w:bCs w:val="1"/>
                <w:color w:val="auto"/>
              </w:rPr>
              <w:t>20-4139823</w:t>
            </w:r>
          </w:p>
        </w:tc>
      </w:tr>
      <w:tr>
        <w:trPr>
          <w:trHeight w:val="189"/>
        </w:trPr>
        <w:tc>
          <w:tcPr>
            <w:tcW w:w="3240" w:type="dxa"/>
            <w:vAlign w:val="bottom"/>
          </w:tcPr>
          <w:p>
            <w:pPr>
              <w:jc w:val="center"/>
              <w:ind w:right="315"/>
              <w:spacing w:after="0"/>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6"/>
                <w:szCs w:val="16"/>
                <w:color w:val="auto"/>
              </w:rPr>
            </w:pPr>
          </w:p>
        </w:tc>
        <w:tc>
          <w:tcPr>
            <w:tcW w:w="1980" w:type="dxa"/>
            <w:vAlign w:val="bottom"/>
          </w:tcPr>
          <w:p>
            <w:pPr>
              <w:jc w:val="center"/>
              <w:ind w:left="615"/>
              <w:spacing w:after="0"/>
              <w:rPr>
                <w:sz w:val="20"/>
                <w:szCs w:val="20"/>
                <w:color w:val="auto"/>
              </w:rPr>
            </w:pPr>
            <w:r>
              <w:rPr>
                <w:rFonts w:ascii="Arial" w:cs="Arial" w:eastAsia="Arial" w:hAnsi="Arial"/>
                <w:sz w:val="16"/>
                <w:szCs w:val="16"/>
                <w:color w:val="auto"/>
                <w:w w:val="99"/>
              </w:rPr>
              <w:t>(IRS Employer</w:t>
            </w:r>
          </w:p>
        </w:tc>
      </w:tr>
      <w:tr>
        <w:trPr>
          <w:trHeight w:val="195"/>
        </w:trPr>
        <w:tc>
          <w:tcPr>
            <w:tcW w:w="3240" w:type="dxa"/>
            <w:vAlign w:val="bottom"/>
          </w:tcPr>
          <w:p>
            <w:pPr>
              <w:jc w:val="center"/>
              <w:ind w:right="33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6"/>
                <w:szCs w:val="16"/>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361"/>
        </w:trPr>
        <w:tc>
          <w:tcPr>
            <w:tcW w:w="3240" w:type="dxa"/>
            <w:vAlign w:val="bottom"/>
          </w:tcPr>
          <w:p>
            <w:pPr>
              <w:jc w:val="center"/>
              <w:ind w:right="33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227"/>
        </w:trPr>
        <w:tc>
          <w:tcPr>
            <w:tcW w:w="324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13"/>
              <w:spacing w:after="0"/>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15"/>
              <w:spacing w:after="0"/>
              <w:rPr>
                <w:sz w:val="20"/>
                <w:szCs w:val="20"/>
                <w:color w:val="auto"/>
              </w:rPr>
            </w:pPr>
            <w:r>
              <w:rPr>
                <w:rFonts w:ascii="Arial" w:cs="Arial" w:eastAsia="Arial" w:hAnsi="Arial"/>
                <w:sz w:val="16"/>
                <w:szCs w:val="16"/>
                <w:color w:val="auto"/>
              </w:rPr>
              <w:t>(Zip Code)</w:t>
            </w:r>
          </w:p>
        </w:tc>
      </w:tr>
      <w:tr>
        <w:trPr>
          <w:trHeight w:val="195"/>
        </w:trPr>
        <w:tc>
          <w:tcPr>
            <w:tcW w:w="3240" w:type="dxa"/>
            <w:vAlign w:val="bottom"/>
          </w:tcPr>
          <w:p>
            <w:pPr>
              <w:jc w:val="center"/>
              <w:ind w:right="31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210"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558" w:right="339" w:bottom="1440" w:gutter="0" w:footer="0" w:header="0"/>
        </w:sectPr>
      </w:pPr>
    </w:p>
    <w:p>
      <w:pPr>
        <w:spacing w:after="0" w:line="248" w:lineRule="exact"/>
        <w:rPr>
          <w:sz w:val="24"/>
          <w:szCs w:val="24"/>
          <w:color w:val="auto"/>
        </w:rPr>
      </w:pPr>
    </w:p>
    <w:p>
      <w:pPr>
        <w:ind w:left="10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w:t>
      </w:r>
    </w:p>
    <w:p>
      <w:pPr>
        <w:spacing w:after="0" w:line="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registered</w:t>
      </w:r>
    </w:p>
    <w:p>
      <w:pPr>
        <w:spacing w:after="0" w:line="39" w:lineRule="exact"/>
        <w:rPr>
          <w:sz w:val="24"/>
          <w:szCs w:val="24"/>
          <w:color w:val="auto"/>
        </w:rPr>
      </w:pPr>
    </w:p>
    <w:p>
      <w:pPr>
        <w:sectPr>
          <w:pgSz w:w="11900" w:h="16838" w:orient="portrait"/>
          <w:cols w:equalWidth="0" w:num="3">
            <w:col w:w="4420" w:space="720"/>
            <w:col w:w="2660" w:space="720"/>
            <w:col w:w="2720"/>
          </w:cols>
          <w:pgMar w:left="320" w:top="558" w:right="339" w:bottom="1440" w:gutter="0" w:footer="0" w:header="0"/>
          <w:type w:val="continuous"/>
        </w:sectPr>
      </w:pPr>
    </w:p>
    <w:p>
      <w:pPr>
        <w:ind w:left="108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200" w:lineRule="exact"/>
        <w:rPr>
          <w:sz w:val="24"/>
          <w:szCs w:val="24"/>
          <w:color w:val="auto"/>
        </w:rPr>
      </w:pPr>
    </w:p>
    <w:p>
      <w:pPr>
        <w:sectPr>
          <w:pgSz w:w="11900" w:h="16838" w:orient="portrait"/>
          <w:cols w:equalWidth="0" w:num="3">
            <w:col w:w="4840" w:space="720"/>
            <w:col w:w="2600" w:space="720"/>
            <w:col w:w="2360"/>
          </w:cols>
          <w:pgMar w:left="320" w:top="558" w:right="339" w:bottom="1440" w:gutter="0" w:footer="0" w:header="0"/>
          <w:type w:val="continuous"/>
        </w:sectPr>
      </w:pPr>
    </w:p>
    <w:p>
      <w:pPr>
        <w:spacing w:after="0" w:line="14"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jc w:val="both"/>
        <w:ind w:firstLine="324"/>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60" w:type="dxa"/>
            <w:vAlign w:val="bottom"/>
          </w:tcPr>
          <w:p>
            <w:pPr>
              <w:ind w:left="560"/>
              <w:spacing w:after="0"/>
              <w:rPr>
                <w:sz w:val="20"/>
                <w:szCs w:val="20"/>
                <w:color w:val="auto"/>
              </w:rPr>
            </w:pPr>
            <w:r>
              <w:rPr>
                <w:rFonts w:ascii="Arial" w:cs="Arial" w:eastAsia="Arial" w:hAnsi="Arial"/>
                <w:sz w:val="16"/>
                <w:szCs w:val="16"/>
                <w:color w:val="auto"/>
              </w:rPr>
              <w:t>o</w:t>
            </w:r>
          </w:p>
        </w:tc>
        <w:tc>
          <w:tcPr>
            <w:tcW w:w="480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56"/>
        </w:trPr>
        <w:tc>
          <w:tcPr>
            <w:tcW w:w="24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60" w:type="dxa"/>
            <w:vAlign w:val="bottom"/>
          </w:tcPr>
          <w:p>
            <w:pPr>
              <w:ind w:left="560"/>
              <w:spacing w:after="0"/>
              <w:rPr>
                <w:sz w:val="20"/>
                <w:szCs w:val="20"/>
                <w:color w:val="auto"/>
              </w:rPr>
            </w:pPr>
            <w:r>
              <w:rPr>
                <w:rFonts w:ascii="Arial" w:cs="Arial" w:eastAsia="Arial" w:hAnsi="Arial"/>
                <w:sz w:val="16"/>
                <w:szCs w:val="16"/>
                <w:color w:val="auto"/>
              </w:rPr>
              <w:t>x</w:t>
            </w:r>
          </w:p>
        </w:tc>
        <w:tc>
          <w:tcPr>
            <w:tcW w:w="480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6"/>
                <w:szCs w:val="16"/>
                <w:color w:val="auto"/>
                <w:w w:val="74"/>
              </w:rPr>
              <w:t>x</w:t>
            </w:r>
          </w:p>
        </w:tc>
      </w:tr>
      <w:tr>
        <w:trPr>
          <w:trHeight w:val="284"/>
        </w:trPr>
        <w:tc>
          <w:tcPr>
            <w:tcW w:w="24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60" w:type="dxa"/>
            <w:vAlign w:val="bottom"/>
          </w:tcPr>
          <w:p>
            <w:pPr>
              <w:ind w:left="560"/>
              <w:spacing w:after="0"/>
              <w:rPr>
                <w:sz w:val="20"/>
                <w:szCs w:val="20"/>
                <w:color w:val="auto"/>
              </w:rPr>
            </w:pPr>
            <w:r>
              <w:rPr>
                <w:rFonts w:ascii="Arial" w:cs="Arial" w:eastAsia="Arial" w:hAnsi="Arial"/>
                <w:sz w:val="16"/>
                <w:szCs w:val="16"/>
                <w:color w:val="auto"/>
              </w:rPr>
              <w:t>o</w:t>
            </w:r>
          </w:p>
        </w:tc>
        <w:tc>
          <w:tcPr>
            <w:tcW w:w="48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70" w:lineRule="exact"/>
        <w:rPr>
          <w:sz w:val="24"/>
          <w:szCs w:val="24"/>
          <w:color w:val="auto"/>
        </w:rPr>
      </w:pPr>
    </w:p>
    <w:p>
      <w:pPr>
        <w:jc w:val="both"/>
        <w:ind w:right="34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35" w:lineRule="exact"/>
        <w:rPr>
          <w:sz w:val="24"/>
          <w:szCs w:val="24"/>
          <w:color w:val="auto"/>
        </w:rPr>
      </w:pPr>
    </w:p>
    <w:p>
      <w:pPr>
        <w:ind w:left="340"/>
        <w:spacing w:after="0"/>
        <w:tabs>
          <w:tab w:leader="none" w:pos="7820" w:val="left"/>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Yes o</w:t>
        <w:tab/>
        <w:t>No x</w:t>
      </w:r>
    </w:p>
    <w:p>
      <w:pPr>
        <w:spacing w:after="0" w:line="8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12, 2020, 26,646,191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including as a result of the effects of the COVID-19 pandemic;</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Bayer HealthCare LLC to discontinue its commercial interest in Ovaprene® and/or to terminate our license agreement;</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develop and commercialize our product candidates;</w:t>
      </w:r>
    </w:p>
    <w:p>
      <w:pPr>
        <w:spacing w:after="0" w:line="184" w:lineRule="exact"/>
        <w:rPr>
          <w:rFonts w:ascii="Arial" w:cs="Arial" w:eastAsia="Arial" w:hAnsi="Arial"/>
          <w:sz w:val="18"/>
          <w:szCs w:val="18"/>
          <w:i w:val="1"/>
          <w:iCs w:val="1"/>
          <w:color w:val="auto"/>
        </w:rPr>
      </w:pPr>
    </w:p>
    <w:p>
      <w:pPr>
        <w:jc w:val="both"/>
        <w:ind w:left="340" w:hanging="332"/>
        <w:spacing w:after="0" w:line="266"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135"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 Center assigned primary oversight responsibility for our combination product candidates;</w:t>
      </w:r>
    </w:p>
    <w:p>
      <w:pPr>
        <w:spacing w:after="0" w:line="184" w:lineRule="exact"/>
        <w:rPr>
          <w:rFonts w:ascii="Arial" w:cs="Arial" w:eastAsia="Arial" w:hAnsi="Arial"/>
          <w:sz w:val="18"/>
          <w:szCs w:val="18"/>
          <w:i w:val="1"/>
          <w:iCs w:val="1"/>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21" w:lineRule="exact"/>
        <w:rPr>
          <w:rFonts w:ascii="Arial" w:cs="Arial" w:eastAsia="Arial" w:hAnsi="Arial"/>
          <w:sz w:val="18"/>
          <w:szCs w:val="18"/>
          <w:i w:val="1"/>
          <w:iCs w:val="1"/>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nonclinical studies and clinical trials of our product candidates;</w:t>
      </w:r>
    </w:p>
    <w:p>
      <w:pPr>
        <w:sectPr>
          <w:pgSz w:w="11900" w:h="16838" w:orient="portrait"/>
          <w:cols w:equalWidth="0" w:num="1">
            <w:col w:w="11240"/>
          </w:cols>
          <w:pgMar w:left="320" w:top="549" w:right="339" w:bottom="1440" w:gutter="0" w:footer="0" w:header="0"/>
        </w:sectPr>
      </w:pPr>
    </w:p>
    <w:bookmarkStart w:id="2" w:name="page3"/>
    <w:bookmarkEnd w:id="2"/>
    <w:p>
      <w:pPr>
        <w:jc w:val="both"/>
        <w:ind w:left="332" w:hanging="332"/>
        <w:spacing w:after="0" w:line="266"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135" w:lineRule="exact"/>
        <w:rPr>
          <w:rFonts w:ascii="Arial" w:cs="Arial" w:eastAsia="Arial" w:hAnsi="Arial"/>
          <w:sz w:val="18"/>
          <w:szCs w:val="18"/>
          <w:i w:val="1"/>
          <w:iCs w:val="1"/>
          <w:color w:val="auto"/>
        </w:rPr>
      </w:pPr>
    </w:p>
    <w:p>
      <w:pPr>
        <w:jc w:val="both"/>
        <w:ind w:left="332" w:hanging="332"/>
        <w:spacing w:after="0" w:line="261"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139"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21"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as to whether health insurance plans will cover our product candidates even if we successfully develop and obtain regulatory approval for them;</w:t>
      </w:r>
    </w:p>
    <w:p>
      <w:pPr>
        <w:spacing w:after="0" w:line="121"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121"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21"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21"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21"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the Company’s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21"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32" w:hanging="332"/>
        <w:spacing w:after="0"/>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3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21" w:lineRule="exact"/>
        <w:rPr>
          <w:sz w:val="20"/>
          <w:szCs w:val="20"/>
          <w:color w:val="auto"/>
        </w:rPr>
      </w:pPr>
    </w:p>
    <w:p>
      <w:pPr>
        <w:jc w:val="both"/>
        <w:ind w:left="52"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pgSz w:w="11900" w:h="16838" w:orient="portrait"/>
          <w:cols w:equalWidth="0" w:num="1">
            <w:col w:w="11232"/>
          </w:cols>
          <w:pgMar w:left="328" w:top="728" w:right="339" w:bottom="1440" w:gutter="0" w:footer="0" w:header="0"/>
        </w:sectPr>
      </w:pPr>
    </w:p>
    <w:bookmarkStart w:id="3" w:name="page4"/>
    <w:bookmarkEnd w:id="3"/>
    <w:p>
      <w:pPr>
        <w:jc w:val="both"/>
        <w:ind w:firstLine="648"/>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pgSz w:w="11900" w:h="16838" w:orient="portrait"/>
          <w:cols w:equalWidth="0" w:num="1">
            <w:col w:w="11240"/>
          </w:cols>
          <w:pgMar w:left="320" w:top="728"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40" w:type="dxa"/>
            <w:vAlign w:val="bottom"/>
          </w:tcPr>
          <w:p>
            <w:pPr>
              <w:jc w:val="right"/>
              <w:ind w:right="51"/>
              <w:spacing w:after="0"/>
              <w:rPr>
                <w:sz w:val="20"/>
                <w:szCs w:val="20"/>
                <w:color w:val="auto"/>
              </w:rPr>
            </w:pPr>
            <w:r>
              <w:rPr>
                <w:rFonts w:ascii="Arial" w:cs="Arial" w:eastAsia="Arial" w:hAnsi="Arial"/>
                <w:sz w:val="14"/>
                <w:szCs w:val="14"/>
                <w:color w:val="auto"/>
              </w:rPr>
              <w:t>Page</w:t>
            </w:r>
          </w:p>
        </w:tc>
      </w:tr>
      <w:tr>
        <w:trPr>
          <w:trHeight w:val="269"/>
        </w:trPr>
        <w:tc>
          <w:tcPr>
            <w:tcW w:w="9340" w:type="dxa"/>
            <w:vAlign w:val="bottom"/>
            <w:gridSpan w:val="2"/>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 FINANCIAL INFORMATION</w:t>
              </w:r>
            </w:hyperlink>
          </w:p>
        </w:tc>
        <w:tc>
          <w:tcPr>
            <w:tcW w:w="1840" w:type="dxa"/>
            <w:vAlign w:val="bottom"/>
          </w:tcPr>
          <w:p>
            <w:pPr>
              <w:spacing w:after="0"/>
              <w:rPr>
                <w:sz w:val="23"/>
                <w:szCs w:val="23"/>
                <w:color w:val="auto"/>
              </w:rPr>
            </w:pPr>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856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Financial Statements (Unaudited)</w:t>
              </w:r>
            </w:hyperlink>
          </w:p>
        </w:tc>
        <w:tc>
          <w:tcPr>
            <w:tcW w:w="184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85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30</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85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30</w:t>
              </w:r>
            </w:hyperlink>
          </w:p>
        </w:tc>
      </w:tr>
      <w:tr>
        <w:trPr>
          <w:trHeight w:val="392"/>
        </w:trPr>
        <w:tc>
          <w:tcPr>
            <w:tcW w:w="9340" w:type="dxa"/>
            <w:vAlign w:val="bottom"/>
            <w:gridSpan w:val="2"/>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 OTHER INFORMATION</w:t>
              </w:r>
            </w:hyperlink>
          </w:p>
        </w:tc>
        <w:tc>
          <w:tcPr>
            <w:tcW w:w="1840" w:type="dxa"/>
            <w:vAlign w:val="bottom"/>
          </w:tcPr>
          <w:p>
            <w:pPr>
              <w:spacing w:after="0"/>
              <w:rPr>
                <w:sz w:val="24"/>
                <w:szCs w:val="24"/>
                <w:color w:val="auto"/>
              </w:rPr>
            </w:pPr>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856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Unregistered Sales of Equity Securities and Use of Proceeds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85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Defaults Upon Senior Securities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85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Mine Safety Disclosures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85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856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34</w:t>
              </w:r>
            </w:hyperlink>
          </w:p>
        </w:tc>
      </w:tr>
      <w:tr>
        <w:trPr>
          <w:trHeight w:val="392"/>
        </w:trPr>
        <w:tc>
          <w:tcPr>
            <w:tcW w:w="780" w:type="dxa"/>
            <w:vAlign w:val="bottom"/>
          </w:tcPr>
          <w:p>
            <w:pPr>
              <w:spacing w:after="0"/>
              <w:rPr>
                <w:sz w:val="24"/>
                <w:szCs w:val="24"/>
                <w:color w:val="auto"/>
              </w:rPr>
            </w:pPr>
          </w:p>
        </w:tc>
        <w:tc>
          <w:tcPr>
            <w:tcW w:w="85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SIGNATURES</w:t>
              </w:r>
            </w:hyperlink>
          </w:p>
        </w:tc>
        <w:tc>
          <w:tcPr>
            <w:tcW w:w="184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36</w:t>
              </w:r>
            </w:hyperlink>
          </w:p>
        </w:tc>
      </w:tr>
      <w:tr>
        <w:trPr>
          <w:trHeight w:val="661"/>
        </w:trPr>
        <w:tc>
          <w:tcPr>
            <w:tcW w:w="780" w:type="dxa"/>
            <w:vAlign w:val="bottom"/>
          </w:tcPr>
          <w:p>
            <w:pPr>
              <w:spacing w:after="0"/>
              <w:rPr>
                <w:sz w:val="24"/>
                <w:szCs w:val="24"/>
                <w:color w:val="auto"/>
              </w:rPr>
            </w:pPr>
          </w:p>
        </w:tc>
        <w:tc>
          <w:tcPr>
            <w:tcW w:w="8560" w:type="dxa"/>
            <w:vAlign w:val="bottom"/>
          </w:tcPr>
          <w:p>
            <w:pPr>
              <w:ind w:left="4760"/>
              <w:spacing w:after="0"/>
              <w:rPr>
                <w:sz w:val="20"/>
                <w:szCs w:val="20"/>
                <w:color w:val="auto"/>
              </w:rPr>
            </w:pPr>
            <w:r>
              <w:rPr>
                <w:rFonts w:ascii="Arial" w:cs="Arial" w:eastAsia="Arial" w:hAnsi="Arial"/>
                <w:sz w:val="18"/>
                <w:szCs w:val="18"/>
                <w:color w:val="auto"/>
              </w:rPr>
              <w:t>5</w:t>
            </w:r>
          </w:p>
        </w:tc>
        <w:tc>
          <w:tcPr>
            <w:tcW w:w="1840" w:type="dxa"/>
            <w:vAlign w:val="bottom"/>
          </w:tcPr>
          <w:p>
            <w:pPr>
              <w:spacing w:after="0"/>
              <w:rPr>
                <w:sz w:val="24"/>
                <w:szCs w:val="24"/>
                <w:color w:val="auto"/>
              </w:rPr>
            </w:pPr>
          </w:p>
        </w:tc>
      </w:tr>
    </w:tbl>
    <w:p>
      <w:pPr>
        <w:sectPr>
          <w:pgSz w:w="11900" w:h="16838" w:orient="portrait"/>
          <w:cols w:equalWidth="0" w:num="1">
            <w:col w:w="11180"/>
          </w:cols>
          <w:pgMar w:left="360" w:top="549" w:right="35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5,047,325</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4,780,107</w:t>
            </w:r>
          </w:p>
        </w:tc>
        <w:tc>
          <w:tcPr>
            <w:tcW w:w="0" w:type="dxa"/>
            <w:vAlign w:val="bottom"/>
          </w:tcPr>
          <w:p>
            <w:pPr>
              <w:spacing w:after="0"/>
              <w:rPr>
                <w:sz w:val="1"/>
                <w:szCs w:val="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429,722</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555,210</w:t>
            </w:r>
          </w:p>
        </w:tc>
        <w:tc>
          <w:tcPr>
            <w:tcW w:w="0" w:type="dxa"/>
            <w:vAlign w:val="bottom"/>
          </w:tcPr>
          <w:p>
            <w:pPr>
              <w:spacing w:after="0"/>
              <w:rPr>
                <w:sz w:val="1"/>
                <w:szCs w:val="1"/>
                <w:color w:val="auto"/>
              </w:rPr>
            </w:pP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3,844,764</w:t>
            </w:r>
          </w:p>
        </w:tc>
        <w:tc>
          <w:tcPr>
            <w:tcW w:w="3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1,108,615</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9,321,811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6,443,932</w:t>
            </w:r>
          </w:p>
        </w:tc>
        <w:tc>
          <w:tcPr>
            <w:tcW w:w="0" w:type="dxa"/>
            <w:vAlign w:val="bottom"/>
          </w:tcPr>
          <w:p>
            <w:pPr>
              <w:spacing w:after="0"/>
              <w:rPr>
                <w:sz w:val="1"/>
                <w:szCs w:val="1"/>
                <w:color w:val="auto"/>
              </w:rPr>
            </w:pP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51,582</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63,531</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840,572</w:t>
            </w:r>
          </w:p>
        </w:tc>
        <w:tc>
          <w:tcPr>
            <w:tcW w:w="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935,325</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10,213,965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7,442,788</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724" w:right="339" w:bottom="1440" w:gutter="0" w:footer="0" w:header="0"/>
        </w:sect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grant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Current portion of lease liabilities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license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liabilities long-term</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(Note 8)</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br w:type="column"/>
      </w:r>
    </w:p>
    <w:p>
      <w:pPr>
        <w:spacing w:after="0"/>
        <w:tabs>
          <w:tab w:leader="none" w:pos="520" w:val="left"/>
          <w:tab w:leader="none" w:pos="1780" w:val="left"/>
          <w:tab w:leader="none" w:pos="2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1,531,497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1,083,183</w:t>
      </w:r>
    </w:p>
    <w:p>
      <w:pPr>
        <w:spacing w:after="0" w:line="63" w:lineRule="exact"/>
        <w:rPr>
          <w:sz w:val="20"/>
          <w:szCs w:val="20"/>
          <w:color w:val="auto"/>
        </w:rPr>
      </w:pPr>
    </w:p>
    <w:p>
      <w:pPr>
        <w:jc w:val="both"/>
        <w:ind w:left="540"/>
        <w:spacing w:after="0"/>
        <w:tabs>
          <w:tab w:leader="none" w:pos="2320" w:val="left"/>
        </w:tabs>
        <w:rPr>
          <w:sz w:val="20"/>
          <w:szCs w:val="20"/>
          <w:color w:val="auto"/>
        </w:rPr>
      </w:pPr>
      <w:r>
        <w:rPr>
          <w:rFonts w:ascii="Arial" w:cs="Arial" w:eastAsia="Arial" w:hAnsi="Arial"/>
          <w:sz w:val="18"/>
          <w:szCs w:val="18"/>
          <w:color w:val="auto"/>
        </w:rPr>
        <w:t>1,690,626</w:t>
      </w:r>
      <w:r>
        <w:rPr>
          <w:sz w:val="20"/>
          <w:szCs w:val="20"/>
          <w:color w:val="auto"/>
        </w:rPr>
        <w:tab/>
      </w:r>
      <w:r>
        <w:rPr>
          <w:rFonts w:ascii="Arial" w:cs="Arial" w:eastAsia="Arial" w:hAnsi="Arial"/>
          <w:sz w:val="18"/>
          <w:szCs w:val="18"/>
          <w:color w:val="auto"/>
        </w:rPr>
        <w:t>2,098,653</w:t>
      </w:r>
    </w:p>
    <w:p>
      <w:pPr>
        <w:spacing w:after="0" w:line="63" w:lineRule="exact"/>
        <w:rPr>
          <w:sz w:val="20"/>
          <w:szCs w:val="20"/>
          <w:color w:val="auto"/>
        </w:rPr>
      </w:pPr>
    </w:p>
    <w:p>
      <w:pPr>
        <w:jc w:val="both"/>
        <w:ind w:left="540"/>
        <w:spacing w:after="0"/>
        <w:tabs>
          <w:tab w:leader="none" w:pos="2320" w:val="left"/>
        </w:tabs>
        <w:rPr>
          <w:sz w:val="20"/>
          <w:szCs w:val="20"/>
          <w:color w:val="auto"/>
        </w:rPr>
      </w:pPr>
      <w:r>
        <w:rPr>
          <w:rFonts w:ascii="Arial" w:cs="Arial" w:eastAsia="Arial" w:hAnsi="Arial"/>
          <w:sz w:val="18"/>
          <w:szCs w:val="18"/>
          <w:color w:val="auto"/>
        </w:rPr>
        <w:t>1,089,064</w:t>
      </w:r>
      <w:r>
        <w:rPr>
          <w:sz w:val="20"/>
          <w:szCs w:val="20"/>
          <w:color w:val="auto"/>
        </w:rPr>
        <w:tab/>
      </w:r>
      <w:r>
        <w:rPr>
          <w:rFonts w:ascii="Arial" w:cs="Arial" w:eastAsia="Arial" w:hAnsi="Arial"/>
          <w:sz w:val="18"/>
          <w:szCs w:val="18"/>
          <w:color w:val="auto"/>
        </w:rPr>
        <w:t>2,019,674</w:t>
      </w:r>
    </w:p>
    <w:p>
      <w:pPr>
        <w:spacing w:after="0" w:line="63" w:lineRule="exact"/>
        <w:rPr>
          <w:sz w:val="20"/>
          <w:szCs w:val="20"/>
          <w:color w:val="auto"/>
        </w:rPr>
      </w:pPr>
    </w:p>
    <w:p>
      <w:pPr>
        <w:ind w:left="680"/>
        <w:spacing w:after="0"/>
        <w:tabs>
          <w:tab w:leader="none" w:pos="2460" w:val="left"/>
        </w:tabs>
        <w:rPr>
          <w:sz w:val="20"/>
          <w:szCs w:val="20"/>
          <w:color w:val="auto"/>
        </w:rPr>
      </w:pPr>
      <w:r>
        <w:rPr>
          <w:rFonts w:ascii="Arial" w:cs="Arial" w:eastAsia="Arial" w:hAnsi="Arial"/>
          <w:sz w:val="18"/>
          <w:szCs w:val="18"/>
          <w:color w:val="auto"/>
        </w:rPr>
        <w:t>404,395</w:t>
      </w:r>
      <w:r>
        <w:rPr>
          <w:sz w:val="20"/>
          <w:szCs w:val="20"/>
          <w:color w:val="auto"/>
        </w:rPr>
        <w:tab/>
      </w:r>
      <w:r>
        <w:rPr>
          <w:rFonts w:ascii="Arial" w:cs="Arial" w:eastAsia="Arial" w:hAnsi="Arial"/>
          <w:sz w:val="18"/>
          <w:szCs w:val="18"/>
          <w:color w:val="auto"/>
        </w:rPr>
        <w:t>410,896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2074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both"/>
        <w:ind w:left="540"/>
        <w:spacing w:after="0"/>
        <w:tabs>
          <w:tab w:leader="none" w:pos="2320" w:val="left"/>
        </w:tabs>
        <w:rPr>
          <w:sz w:val="20"/>
          <w:szCs w:val="20"/>
          <w:color w:val="auto"/>
        </w:rPr>
      </w:pPr>
      <w:r>
        <w:rPr>
          <w:rFonts w:ascii="Arial" w:cs="Arial" w:eastAsia="Arial" w:hAnsi="Arial"/>
          <w:sz w:val="18"/>
          <w:szCs w:val="18"/>
          <w:color w:val="auto"/>
        </w:rPr>
        <w:t>4,715,582</w:t>
      </w:r>
      <w:r>
        <w:rPr>
          <w:sz w:val="20"/>
          <w:szCs w:val="20"/>
          <w:color w:val="auto"/>
        </w:rPr>
        <w:tab/>
      </w:r>
      <w:r>
        <w:rPr>
          <w:rFonts w:ascii="Arial" w:cs="Arial" w:eastAsia="Arial" w:hAnsi="Arial"/>
          <w:sz w:val="18"/>
          <w:szCs w:val="18"/>
          <w:color w:val="auto"/>
        </w:rPr>
        <w:t>5,612,406</w:t>
      </w:r>
    </w:p>
    <w:p>
      <w:pPr>
        <w:spacing w:after="0" w:line="63" w:lineRule="exact"/>
        <w:rPr>
          <w:sz w:val="20"/>
          <w:szCs w:val="20"/>
          <w:color w:val="auto"/>
        </w:rPr>
      </w:pPr>
    </w:p>
    <w:p>
      <w:pPr>
        <w:ind w:left="540"/>
        <w:spacing w:after="0"/>
        <w:tabs>
          <w:tab w:leader="none" w:pos="2940" w:val="left"/>
        </w:tabs>
        <w:rPr>
          <w:sz w:val="20"/>
          <w:szCs w:val="20"/>
          <w:color w:val="auto"/>
        </w:rPr>
      </w:pPr>
      <w:r>
        <w:rPr>
          <w:rFonts w:ascii="Arial" w:cs="Arial" w:eastAsia="Arial" w:hAnsi="Arial"/>
          <w:sz w:val="18"/>
          <w:szCs w:val="18"/>
          <w:color w:val="auto"/>
        </w:rPr>
        <w:t>1,000,000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540"/>
        <w:spacing w:after="0"/>
        <w:tabs>
          <w:tab w:leader="none" w:pos="2320" w:val="left"/>
        </w:tabs>
        <w:rPr>
          <w:sz w:val="20"/>
          <w:szCs w:val="20"/>
          <w:color w:val="auto"/>
        </w:rPr>
      </w:pPr>
      <w:r>
        <w:rPr>
          <w:rFonts w:ascii="Arial" w:cs="Arial" w:eastAsia="Arial" w:hAnsi="Arial"/>
          <w:sz w:val="18"/>
          <w:szCs w:val="18"/>
          <w:color w:val="auto"/>
        </w:rPr>
        <w:t>1,000,000</w:t>
      </w:r>
      <w:r>
        <w:rPr>
          <w:sz w:val="20"/>
          <w:szCs w:val="20"/>
          <w:color w:val="auto"/>
        </w:rPr>
        <w:tab/>
      </w:r>
      <w:r>
        <w:rPr>
          <w:rFonts w:ascii="Arial" w:cs="Arial" w:eastAsia="Arial" w:hAnsi="Arial"/>
          <w:sz w:val="18"/>
          <w:szCs w:val="18"/>
          <w:color w:val="auto"/>
        </w:rPr>
        <w:t>1,000,000</w:t>
      </w:r>
    </w:p>
    <w:p>
      <w:pPr>
        <w:spacing w:after="0" w:line="63" w:lineRule="exact"/>
        <w:rPr>
          <w:sz w:val="20"/>
          <w:szCs w:val="20"/>
          <w:color w:val="auto"/>
        </w:rPr>
      </w:pPr>
    </w:p>
    <w:p>
      <w:pPr>
        <w:ind w:left="680"/>
        <w:spacing w:after="0"/>
        <w:tabs>
          <w:tab w:leader="none" w:pos="2460" w:val="left"/>
        </w:tabs>
        <w:rPr>
          <w:sz w:val="20"/>
          <w:szCs w:val="20"/>
          <w:color w:val="auto"/>
        </w:rPr>
      </w:pPr>
      <w:r>
        <w:rPr>
          <w:rFonts w:ascii="Arial" w:cs="Arial" w:eastAsia="Arial" w:hAnsi="Arial"/>
          <w:sz w:val="18"/>
          <w:szCs w:val="18"/>
          <w:color w:val="auto"/>
        </w:rPr>
        <w:t>284,200</w:t>
      </w:r>
      <w:r>
        <w:rPr>
          <w:sz w:val="20"/>
          <w:szCs w:val="20"/>
          <w:color w:val="auto"/>
        </w:rPr>
        <w:tab/>
      </w:r>
      <w:r>
        <w:rPr>
          <w:rFonts w:ascii="Arial" w:cs="Arial" w:eastAsia="Arial" w:hAnsi="Arial"/>
          <w:sz w:val="18"/>
          <w:szCs w:val="18"/>
          <w:color w:val="auto"/>
        </w:rPr>
        <w:t>389,556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2074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both"/>
        <w:ind w:left="540"/>
        <w:spacing w:after="0"/>
        <w:tabs>
          <w:tab w:leader="none" w:pos="2320" w:val="left"/>
        </w:tabs>
        <w:rPr>
          <w:sz w:val="20"/>
          <w:szCs w:val="20"/>
          <w:color w:val="auto"/>
        </w:rPr>
      </w:pPr>
      <w:r>
        <w:rPr>
          <w:rFonts w:ascii="Arial" w:cs="Arial" w:eastAsia="Arial" w:hAnsi="Arial"/>
          <w:sz w:val="18"/>
          <w:szCs w:val="18"/>
          <w:color w:val="auto"/>
        </w:rPr>
        <w:t>6,999,782</w:t>
      </w:r>
      <w:r>
        <w:rPr>
          <w:sz w:val="20"/>
          <w:szCs w:val="20"/>
          <w:color w:val="auto"/>
        </w:rPr>
        <w:tab/>
      </w:r>
      <w:r>
        <w:rPr>
          <w:rFonts w:ascii="Arial" w:cs="Arial" w:eastAsia="Arial" w:hAnsi="Arial"/>
          <w:sz w:val="18"/>
          <w:szCs w:val="18"/>
          <w:color w:val="auto"/>
        </w:rPr>
        <w:t>7,001,962</w:t>
      </w:r>
    </w:p>
    <w:p>
      <w:pPr>
        <w:spacing w:after="0" w:line="6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93" w:lineRule="exact"/>
        <w:rPr>
          <w:sz w:val="20"/>
          <w:szCs w:val="20"/>
          <w:color w:val="auto"/>
        </w:rPr>
      </w:pPr>
    </w:p>
    <w:p>
      <w:pPr>
        <w:sectPr>
          <w:pgSz w:w="11900" w:h="16838" w:orient="portrait"/>
          <w:cols w:equalWidth="0" w:num="2">
            <w:col w:w="7280" w:space="720"/>
            <w:col w:w="3240"/>
          </w:cols>
          <w:pgMar w:left="320" w:top="724"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80"/>
              <w:spacing w:after="0"/>
              <w:rPr>
                <w:sz w:val="20"/>
                <w:szCs w:val="20"/>
                <w:color w:val="auto"/>
              </w:rPr>
            </w:pPr>
            <w:r>
              <w:rPr>
                <w:rFonts w:ascii="Arial" w:cs="Arial" w:eastAsia="Arial" w:hAnsi="Arial"/>
                <w:sz w:val="18"/>
                <w:szCs w:val="18"/>
                <w:color w:val="auto"/>
              </w:rPr>
              <w:t>Common stock, $0.0001 par value; 120,000,000 shares authorized; 24,700,553 and 19,683,401</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7980" w:type="dxa"/>
            <w:vAlign w:val="bottom"/>
          </w:tcPr>
          <w:p>
            <w:pPr>
              <w:ind w:left="280"/>
              <w:spacing w:after="0"/>
              <w:rPr>
                <w:sz w:val="20"/>
                <w:szCs w:val="20"/>
                <w:color w:val="auto"/>
              </w:rPr>
            </w:pPr>
            <w:r>
              <w:rPr>
                <w:rFonts w:ascii="Arial" w:cs="Arial" w:eastAsia="Arial" w:hAnsi="Arial"/>
                <w:sz w:val="18"/>
                <w:szCs w:val="18"/>
                <w:color w:val="auto"/>
              </w:rPr>
              <w:t>shares issued and outstanding at March 31, 2020 and December 31, 2019, respectively</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(125,569)</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(102,625)</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51,612,721</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44,564,674</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(48,275,439)</w:t>
            </w:r>
          </w:p>
        </w:tc>
        <w:tc>
          <w:tcPr>
            <w:tcW w:w="3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(44,023,191)</w:t>
            </w:r>
          </w:p>
        </w:tc>
      </w:tr>
      <w:tr>
        <w:trPr>
          <w:trHeight w:val="243"/>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3,214,183</w:t>
            </w:r>
          </w:p>
        </w:tc>
        <w:tc>
          <w:tcPr>
            <w:tcW w:w="3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440,826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10,213,965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7,442,788</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24" w:right="339" w:bottom="1440" w:gutter="0" w:footer="0" w:header="0"/>
          <w:type w:val="continuous"/>
        </w:sectPr>
      </w:pPr>
    </w:p>
    <w:bookmarkStart w:id="6" w:name="page7"/>
    <w:bookmarkEnd w:id="6"/>
    <w:p>
      <w:pPr>
        <w:jc w:val="center"/>
        <w:ind w:left="420" w:right="2740"/>
        <w:spacing w:after="0" w:line="278" w:lineRule="auto"/>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 Consolidated Statements of Operations and Comprehensive Loss </w:t>
      </w: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1,861,765</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1,277,180</w:t>
            </w:r>
          </w:p>
        </w:tc>
        <w:tc>
          <w:tcPr>
            <w:tcW w:w="0" w:type="dxa"/>
            <w:vAlign w:val="bottom"/>
          </w:tcPr>
          <w:p>
            <w:pPr>
              <w:spacing w:after="0"/>
              <w:rPr>
                <w:sz w:val="1"/>
                <w:szCs w:val="1"/>
                <w:color w:val="auto"/>
              </w:rPr>
            </w:pPr>
          </w:p>
        </w:tc>
      </w:tr>
      <w:tr>
        <w:trPr>
          <w:trHeight w:val="263"/>
        </w:trPr>
        <w:tc>
          <w:tcPr>
            <w:tcW w:w="81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2,379,804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1,693,391</w:t>
            </w:r>
          </w:p>
        </w:tc>
        <w:tc>
          <w:tcPr>
            <w:tcW w:w="0" w:type="dxa"/>
            <w:vAlign w:val="bottom"/>
          </w:tcPr>
          <w:p>
            <w:pPr>
              <w:spacing w:after="0"/>
              <w:rPr>
                <w:sz w:val="1"/>
                <w:szCs w:val="1"/>
                <w:color w:val="auto"/>
              </w:rPr>
            </w:pPr>
          </w:p>
        </w:tc>
      </w:tr>
      <w:tr>
        <w:trPr>
          <w:trHeight w:val="277"/>
        </w:trPr>
        <w:tc>
          <w:tcPr>
            <w:tcW w:w="8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License fees</w:t>
            </w:r>
          </w:p>
        </w:tc>
        <w:tc>
          <w:tcPr>
            <w:tcW w:w="28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4,254,069</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3,083,071</w:t>
            </w:r>
          </w:p>
        </w:tc>
        <w:tc>
          <w:tcPr>
            <w:tcW w:w="0" w:type="dxa"/>
            <w:vAlign w:val="bottom"/>
          </w:tcPr>
          <w:p>
            <w:pPr>
              <w:spacing w:after="0"/>
              <w:rPr>
                <w:sz w:val="1"/>
                <w:szCs w:val="1"/>
                <w:color w:val="auto"/>
              </w:rPr>
            </w:pPr>
          </w:p>
        </w:tc>
      </w:tr>
      <w:tr>
        <w:trPr>
          <w:trHeight w:val="257"/>
        </w:trPr>
        <w:tc>
          <w:tcPr>
            <w:tcW w:w="81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(4,254,069)</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(3,083,071)</w:t>
            </w:r>
          </w:p>
        </w:tc>
        <w:tc>
          <w:tcPr>
            <w:tcW w:w="0" w:type="dxa"/>
            <w:vAlign w:val="bottom"/>
          </w:tcPr>
          <w:p>
            <w:pPr>
              <w:spacing w:after="0"/>
              <w:rPr>
                <w:sz w:val="1"/>
                <w:szCs w:val="1"/>
                <w:color w:val="auto"/>
              </w:rPr>
            </w:pPr>
          </w:p>
        </w:tc>
      </w:tr>
      <w:tr>
        <w:trPr>
          <w:trHeight w:val="263"/>
        </w:trPr>
        <w:tc>
          <w:tcPr>
            <w:tcW w:w="814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31,231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(4,252,248)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(3,051,840)</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(4,275,192)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(3,044,219)</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40"/>
              <w:spacing w:after="0"/>
              <w:rPr>
                <w:sz w:val="20"/>
                <w:szCs w:val="20"/>
                <w:color w:val="auto"/>
              </w:rPr>
            </w:pPr>
            <w:r>
              <w:rPr>
                <w:rFonts w:ascii="Arial" w:cs="Arial" w:eastAsia="Arial" w:hAnsi="Arial"/>
                <w:sz w:val="18"/>
                <w:szCs w:val="18"/>
                <w:color w:val="auto"/>
              </w:rPr>
              <w:t>Loss per common share - basic and diluted</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40" w:type="dxa"/>
            <w:vAlign w:val="bottom"/>
            <w:tcBorders>
              <w:bottom w:val="single" w:sz="8" w:color="CFF0FC"/>
            </w:tcBorders>
            <w:vMerge w:val="continue"/>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FF0FC"/>
            </w:tcBorders>
            <w:shd w:val="clear" w:color="auto" w:fill="CFF0FC"/>
          </w:tcPr>
          <w:p>
            <w:pPr>
              <w:ind w:left="40"/>
              <w:spacing w:after="0" w:line="203" w:lineRule="exact"/>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23,799,396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11,422,161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549" w:right="4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28575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0"/>
        </w:trPr>
        <w:tc>
          <w:tcPr>
            <w:tcW w:w="3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Total</w:t>
            </w:r>
          </w:p>
        </w:tc>
      </w:tr>
      <w:tr>
        <w:trPr>
          <w:trHeight w:val="276"/>
        </w:trPr>
        <w:tc>
          <w:tcPr>
            <w:tcW w:w="300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stockholders'</w:t>
            </w:r>
          </w:p>
        </w:tc>
      </w:tr>
      <w:tr>
        <w:trPr>
          <w:trHeight w:val="263"/>
        </w:trPr>
        <w:tc>
          <w:tcPr>
            <w:tcW w:w="3000" w:type="dxa"/>
            <w:vAlign w:val="bottom"/>
          </w:tcPr>
          <w:p>
            <w:pPr>
              <w:spacing w:after="0"/>
              <w:rPr>
                <w:sz w:val="22"/>
                <w:szCs w:val="22"/>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2"/>
                <w:szCs w:val="22"/>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equity</w:t>
            </w:r>
          </w:p>
        </w:tc>
      </w:tr>
      <w:tr>
        <w:trPr>
          <w:trHeight w:val="29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19,683,401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1,968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44,564,674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(44,023,191)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440,826</w:t>
            </w: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160,841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160,841</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3,308,003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5,222,356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5,222,687</w:t>
            </w:r>
          </w:p>
        </w:tc>
      </w:tr>
      <w:tr>
        <w:trPr>
          <w:trHeight w:val="23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from the</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1,699,000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1,664,850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1,665,020</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10,149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w:t>
            </w:r>
          </w:p>
        </w:tc>
      </w:tr>
      <w:tr>
        <w:trPr>
          <w:trHeight w:val="27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(4,252,248)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(4,252,248)</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(22,944)</w:t>
            </w:r>
          </w:p>
        </w:tc>
      </w:tr>
      <w:tr>
        <w:trPr>
          <w:trHeight w:val="25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24,700,553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51,612,721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(125,569)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(48,275,439)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3,214,183</w:t>
            </w:r>
          </w:p>
        </w:tc>
      </w:tr>
      <w:tr>
        <w:trPr>
          <w:trHeight w:val="20"/>
        </w:trPr>
        <w:tc>
          <w:tcPr>
            <w:tcW w:w="3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71"/>
        </w:trPr>
        <w:tc>
          <w:tcPr>
            <w:tcW w:w="30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ind w:left="1020"/>
              <w:spacing w:after="0"/>
              <w:rPr>
                <w:sz w:val="20"/>
                <w:szCs w:val="20"/>
                <w:color w:val="auto"/>
              </w:rPr>
            </w:pPr>
            <w:r>
              <w:rPr>
                <w:rFonts w:ascii="Arial" w:cs="Arial" w:eastAsia="Arial" w:hAnsi="Arial"/>
                <w:sz w:val="18"/>
                <w:szCs w:val="18"/>
                <w:b w:val="1"/>
                <w:bCs w:val="1"/>
                <w:color w:val="auto"/>
              </w:rPr>
              <w:t>Three Months Ended March 31, 2019</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76"/>
        </w:trPr>
        <w:tc>
          <w:tcPr>
            <w:tcW w:w="3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3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Total</w:t>
            </w:r>
          </w:p>
        </w:tc>
      </w:tr>
      <w:tr>
        <w:trPr>
          <w:trHeight w:val="276"/>
        </w:trPr>
        <w:tc>
          <w:tcPr>
            <w:tcW w:w="300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stockholders'</w:t>
            </w:r>
          </w:p>
        </w:tc>
      </w:tr>
      <w:tr>
        <w:trPr>
          <w:trHeight w:val="264"/>
        </w:trPr>
        <w:tc>
          <w:tcPr>
            <w:tcW w:w="3000" w:type="dxa"/>
            <w:vAlign w:val="bottom"/>
          </w:tcPr>
          <w:p>
            <w:pPr>
              <w:spacing w:after="0"/>
              <w:rPr>
                <w:sz w:val="22"/>
                <w:szCs w:val="22"/>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2"/>
                <w:szCs w:val="22"/>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equity</w:t>
            </w:r>
          </w:p>
        </w:tc>
      </w:tr>
      <w:tr>
        <w:trPr>
          <w:trHeight w:val="256"/>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35,791,972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(28,969,767)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6,726,620</w:t>
            </w:r>
          </w:p>
        </w:tc>
      </w:tr>
      <w:tr>
        <w:trPr>
          <w:trHeight w:val="20"/>
        </w:trPr>
        <w:tc>
          <w:tcPr>
            <w:tcW w:w="3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97,968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97,968</w:t>
            </w:r>
          </w:p>
        </w:tc>
      </w:tr>
      <w:tr>
        <w:trPr>
          <w:trHeight w:val="27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(3,051,840)</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7,621</w:t>
            </w:r>
          </w:p>
        </w:tc>
      </w:tr>
      <w:tr>
        <w:trPr>
          <w:trHeight w:val="25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35,889,940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(32,021,607)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3,780,369</w:t>
            </w:r>
          </w:p>
        </w:tc>
      </w:tr>
      <w:tr>
        <w:trPr>
          <w:trHeight w:val="20"/>
        </w:trPr>
        <w:tc>
          <w:tcPr>
            <w:tcW w:w="3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24" w:right="359" w:bottom="1440" w:gutter="0" w:footer="0" w:header="0"/>
        </w:sectPr>
      </w:pPr>
    </w:p>
    <w:bookmarkStart w:id="8" w:name="page9"/>
    <w:bookmarkEnd w:id="8"/>
    <w:p>
      <w:pPr>
        <w:ind w:left="398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(4,252,248)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(3,051,840)</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reconciling net loss to operating cash flows: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1,150</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160,841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97,968</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Non-cash operating lease cost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125,488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(135,676)</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(2,736,149)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(201,129)</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38,682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55,233</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448,314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(134,087)</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(408,027)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59,478</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grant funding</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license revenue</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(6,597,546)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(3,308,484)</w:t>
            </w:r>
          </w:p>
        </w:tc>
      </w:tr>
      <w:tr>
        <w:trPr>
          <w:trHeight w:val="223"/>
        </w:trPr>
        <w:tc>
          <w:tcPr>
            <w:tcW w:w="81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proceeds from issuance of common stock</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5,222,687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Proceeds from the exercise of common stock warrants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1,665,020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6,887,708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7,621</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267,218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(3,300,863)</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4,780,107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6,805,889</w:t>
            </w:r>
          </w:p>
        </w:tc>
      </w:tr>
      <w:tr>
        <w:trPr>
          <w:trHeight w:val="28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5,047,325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3,505,026</w:t>
            </w:r>
          </w:p>
        </w:tc>
      </w:tr>
      <w:tr>
        <w:trPr>
          <w:trHeight w:val="237"/>
        </w:trPr>
        <w:tc>
          <w:tcPr>
            <w:tcW w:w="81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Supplemental disclosure of non-cash operating and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231,698</w:t>
            </w:r>
          </w:p>
        </w:tc>
      </w:tr>
      <w:tr>
        <w:trPr>
          <w:trHeight w:val="277"/>
        </w:trPr>
        <w:tc>
          <w:tcPr>
            <w:tcW w:w="8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4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1292"/>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0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Daré Bioscience, Inc. is a clinical-stage biopharmaceutical company committed to the acceleration of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driven by a mission to identify, develop and bring to market a diverse portfolio of novel therapies that expand treatment options, improve outcomes and facilitate convenience for women, primarily in the areas of contraception, vaginal health, sexual health and fertility. The Company's business strategy is to in-license or otherwise acquire the rights to differentiated product candidates in the Company's areas of focus, some of which have existing clinical proof-of-concept data, and to advance those candidates through clinical development and regulatory approval alone or in collaboration with strategic partners.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July 2017, the Company has assembled a portfolio of clinical-stage and pre-clinical-stage candidates. While the Company will continue to assess opportunities to expand its portfolio, its current focus is on advancing its existing product candidates through mid- and late-stages of clinical development or approval. The Company's global commercialization and development strategy involves partnering with pharmaceutical companies and regional distributors with established marketing and sales capabilities in women's health, including through co-development and promotion agreements, once the Company has advanced a candidate through mid- to late-stage clinical development.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includes three product candidates in advanced clinical development:</w:t>
      </w:r>
    </w:p>
    <w:p>
      <w:pPr>
        <w:spacing w:after="0" w:line="163" w:lineRule="exact"/>
        <w:rPr>
          <w:sz w:val="20"/>
          <w:szCs w:val="20"/>
          <w:color w:val="auto"/>
        </w:rPr>
      </w:pPr>
    </w:p>
    <w:p>
      <w:pPr>
        <w:ind w:left="1300" w:right="20" w:hanging="320"/>
        <w:spacing w:after="0" w:line="28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 or BV;</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w:t>
      </w:r>
    </w:p>
    <w:p>
      <w:pPr>
        <w:spacing w:after="0" w:line="184"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three product candidates that it believes are Phase 1-ready:</w:t>
      </w:r>
    </w:p>
    <w:p>
      <w:pPr>
        <w:spacing w:after="0" w:line="163" w:lineRule="exact"/>
        <w:rPr>
          <w:sz w:val="20"/>
          <w:szCs w:val="20"/>
          <w:color w:val="auto"/>
        </w:rPr>
      </w:pPr>
    </w:p>
    <w:p>
      <w:pPr>
        <w:ind w:left="1300" w:right="20" w:hanging="320"/>
        <w:spacing w:after="0" w:line="28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combination bio-identical estradiol and progesterone intravaginal ring for the treatment of vasomotor</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(VMS) as part of a hormone replacement therapy, or HRT, following menopause;</w:t>
      </w:r>
    </w:p>
    <w:p>
      <w:pPr>
        <w:spacing w:after="0" w:line="112"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vaginally delivered formulation of tamoxifen to treat vulvar vaginal atrophy,</w:t>
      </w:r>
      <w:r>
        <w:rPr>
          <w:rFonts w:ascii="Arial" w:cs="Arial" w:eastAsia="Arial" w:hAnsi="Arial"/>
          <w:sz w:val="18"/>
          <w:szCs w:val="18"/>
          <w:b w:val="1"/>
          <w:bCs w:val="1"/>
          <w:color w:val="auto"/>
        </w:rPr>
        <w:t xml:space="preserve"> </w:t>
      </w:r>
      <w:r>
        <w:rPr>
          <w:rFonts w:ascii="Arial" w:cs="Arial" w:eastAsia="Arial" w:hAnsi="Arial"/>
          <w:sz w:val="18"/>
          <w:szCs w:val="18"/>
          <w:color w:val="auto"/>
        </w:rPr>
        <w:t>or VVA,</w:t>
      </w:r>
      <w:r>
        <w:rPr>
          <w:rFonts w:ascii="Arial" w:cs="Arial" w:eastAsia="Arial" w:hAnsi="Arial"/>
          <w:sz w:val="18"/>
          <w:szCs w:val="18"/>
          <w:b w:val="1"/>
          <w:bCs w:val="1"/>
          <w:color w:val="auto"/>
        </w:rPr>
        <w:t xml:space="preserve"> </w:t>
      </w:r>
      <w:r>
        <w:rPr>
          <w:rFonts w:ascii="Arial" w:cs="Arial" w:eastAsia="Arial" w:hAnsi="Arial"/>
          <w:sz w:val="18"/>
          <w:szCs w:val="18"/>
          <w:color w:val="auto"/>
        </w:rPr>
        <w:t>in patients with hormone-receptor positive breast cancer; and</w:t>
      </w:r>
    </w:p>
    <w:p>
      <w:pPr>
        <w:spacing w:after="0" w:line="112"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 intravaginal ring containing bio-identical progesterone for the prevention of preterm birth and for fertility</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as part of an in vitro fertilization treatment plan.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these pre-clinical stage product candidates:</w:t>
      </w:r>
    </w:p>
    <w:p>
      <w:pPr>
        <w:spacing w:after="0" w:line="185" w:lineRule="exact"/>
        <w:rPr>
          <w:sz w:val="20"/>
          <w:szCs w:val="20"/>
          <w:color w:val="auto"/>
        </w:rPr>
      </w:pPr>
    </w:p>
    <w:p>
      <w:pPr>
        <w:ind w:left="1300" w:hanging="320"/>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microchip-based, implantable drug delivery system and a contraceptive application of that technology utilizing levonorgestrel that is designed to provide user-controlled, long-acting, reversible contraception</w:t>
      </w:r>
    </w:p>
    <w:p>
      <w:pPr>
        <w:spacing w:after="0" w:line="13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6-month and 12-month formulations of injectable etonogestrel for contraception; and</w:t>
      </w:r>
    </w:p>
    <w:p>
      <w:pPr>
        <w:spacing w:after="0" w:line="184"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49" w:right="339" w:bottom="1440" w:gutter="0" w:footer="0" w:header="0"/>
        </w:sectPr>
      </w:pPr>
    </w:p>
    <w:bookmarkStart w:id="10" w:name="page11"/>
    <w:bookmarkEnd w:id="10"/>
    <w:p>
      <w:pPr>
        <w:jc w:val="both"/>
        <w:ind w:firstLine="648"/>
        <w:spacing w:after="0" w:line="256"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 The Company expects that the majority of its development expenses in 2020 and 2021 will support the advancement of DARE-BV1, Ovaprene, and Sildenafil Cream, 3.6%.</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has prepared its interim consolidated financial statements on a going concern basis, which assumes that the Company will realize its assets and satisfy its liabilities in the normal course of business. The Company has a history of losses from operations, expects negative cash flows from its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March 31, 2020, the Company had an accumulated deficit of approximately $48.3 million and cash and cash equivalents of approximately $5.0 million. The Company also had negative cash flow from operations of approximately $6.6 million during the three months ended March 31, 2020.</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needs to raise substantial additional capital to continue to fund its operations and to successfully execute its current operating plan, including to continue the planned development of DARE-BV1, Ovaprene, and Sildenafil Cream, 3.6%.</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is currently evaluating a variety of capital raising options, including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46" w:right="3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color w:val="auto"/>
        </w:rPr>
        <w:t>less than the values at which they are carried on its consolidated financial statements, and stockholders may lose all or part of their investment in the Company's common stock. The consolidated financial statements do not include any adjustments that might result from the outcome of this uncertainty.</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effect of the COVID-19 pandemic and efforts to reduce its spread remain a rapidly evolving and uncertain risk to the Company's business, operating results, financial condition and stock price. In large part, the extent to which COVID-19 affects the Company will depend on future developments that are beyond its knowledge or control, including, but not limited to, the duration and severity of the pandemic, governmental and individual organization actions and policies implemented to reduce transmission of the disease, and the speed with which and degree to which normal economic and operating conditions resume. The pandemic may increase the anticipated aggregate costs for the development of the Company's product candidates and may adversely impact the anticipated timelines for the development of the Company's product candidates by, among other things, causing disruptions in the supply chain for clinical supplies, delays in the timing and pace of subject enrollment in clinical trials and lower than anticipated subject enrollment and completion rates, delays in the review and approval of the Company's regulatory submissions by regulatory agencies with respect to the Company's product candidates, and other unforeseen disruptions. The economic impact of the COVID-19 pandemic and the uncertainty and volatility in the capital markets it caused and may continue to cause may negatively impact investor sentiment and the availability and cost of capital, and may adversely impact the Company's ability to raise capital when needed or on terms favorable to the Company and its stockholders to fund its development programs and operations. The Company does not yet know the full extent of potential delays or impacts on its business, clinical trial activities, ability to access capital or on healthcare systems or the global economy as a whole. However, these effects could have a material adverse impact on the Company's business and financial condition.</w:t>
      </w:r>
    </w:p>
    <w:p>
      <w:pPr>
        <w:spacing w:after="0" w:line="200" w:lineRule="exact"/>
        <w:rPr>
          <w:sz w:val="20"/>
          <w:szCs w:val="20"/>
          <w:color w:val="auto"/>
        </w:rPr>
      </w:pPr>
    </w:p>
    <w:p>
      <w:pPr>
        <w:ind w:left="1300" w:hanging="1292"/>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December 31, 2019, filed with the Securities and Exchange Commission, or SEC on March 27, 2020. Since the date of those consolidated financial statements, there have been no material changes to the Company’s significant accounting policies, except for the accounting policies related to revenue recognition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right-of-use, or ROU, lease assets, current portion of lease obligations, and long-term lease obligations on the Company's balance sheets.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46" w:right="3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8"/>
          <w:szCs w:val="18"/>
          <w:color w:val="auto"/>
        </w:rPr>
        <w:t>it is reasonably certain that the Company will exercise that option. Lease expense for lease payments is recognized on a straight-line basis over the lease term. (See Note 7, Leased Properties.)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5"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March 31, 2020 and December 31, 2019. There were no financial assets or liabilities that were remeasured using a quoted price in active markets for identical assets (Level 2) as of March 31, 2020.</w:t>
      </w:r>
    </w:p>
    <w:p>
      <w:pPr>
        <w:spacing w:after="0" w:line="324" w:lineRule="exact"/>
        <w:rPr>
          <w:sz w:val="20"/>
          <w:szCs w:val="20"/>
          <w:color w:val="auto"/>
        </w:rPr>
      </w:pPr>
    </w:p>
    <w:p>
      <w:pPr>
        <w:jc w:val="center"/>
        <w:ind w:left="43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26035</wp:posOffset>
            </wp:positionV>
            <wp:extent cx="3883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103" w:lineRule="exact"/>
        <w:rPr>
          <w:sz w:val="20"/>
          <w:szCs w:val="20"/>
          <w:color w:val="auto"/>
        </w:rPr>
      </w:pPr>
    </w:p>
    <w:p>
      <w:pPr>
        <w:ind w:left="5200"/>
        <w:spacing w:after="0"/>
        <w:tabs>
          <w:tab w:leader="none" w:pos="6760" w:val="left"/>
          <w:tab w:leader="none" w:pos="8340" w:val="left"/>
          <w:tab w:leader="none" w:pos="998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665226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Balance at March 31, 2020</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28575</wp:posOffset>
            </wp:positionV>
            <wp:extent cx="66522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52" w:lineRule="exact"/>
        <w:rPr>
          <w:sz w:val="20"/>
          <w:szCs w:val="20"/>
          <w:color w:val="auto"/>
        </w:rPr>
      </w:pPr>
    </w:p>
    <w:p>
      <w:pPr>
        <w:ind w:left="660"/>
        <w:spacing w:after="0"/>
        <w:tabs>
          <w:tab w:leader="none" w:pos="4760" w:val="left"/>
          <w:tab w:leader="none" w:pos="5200" w:val="left"/>
          <w:tab w:leader="none" w:pos="6340" w:val="left"/>
          <w:tab w:leader="none" w:pos="7400" w:val="left"/>
          <w:tab w:leader="none" w:pos="7920" w:val="left"/>
          <w:tab w:leader="none" w:pos="8980" w:val="left"/>
          <w:tab w:leader="none" w:pos="9500" w:val="left"/>
          <w:tab w:leader="none" w:pos="994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5,047,325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5,047,325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31750</wp:posOffset>
            </wp:positionV>
            <wp:extent cx="3883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28575</wp:posOffset>
            </wp:positionV>
            <wp:extent cx="66522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52" w:lineRule="exact"/>
        <w:rPr>
          <w:sz w:val="20"/>
          <w:szCs w:val="20"/>
          <w:color w:val="auto"/>
        </w:rPr>
      </w:pPr>
    </w:p>
    <w:p>
      <w:pPr>
        <w:ind w:left="660"/>
        <w:spacing w:after="0"/>
        <w:tabs>
          <w:tab w:leader="none" w:pos="4760" w:val="left"/>
          <w:tab w:leader="none" w:pos="5820" w:val="left"/>
          <w:tab w:leader="none" w:pos="6340" w:val="left"/>
          <w:tab w:leader="none" w:pos="7400" w:val="left"/>
          <w:tab w:leader="none" w:pos="7920" w:val="left"/>
          <w:tab w:leader="none" w:pos="8360" w:val="left"/>
          <w:tab w:leader="none" w:pos="9500" w:val="left"/>
          <w:tab w:leader="none" w:pos="9940" w:val="left"/>
        </w:tabs>
        <w:rPr>
          <w:sz w:val="20"/>
          <w:szCs w:val="20"/>
          <w:color w:val="auto"/>
        </w:rPr>
      </w:pPr>
      <w:r>
        <w:rPr>
          <w:rFonts w:ascii="Arial" w:cs="Arial" w:eastAsia="Arial" w:hAnsi="Arial"/>
          <w:sz w:val="18"/>
          <w:szCs w:val="18"/>
          <w:color w:val="auto"/>
        </w:rPr>
        <w:t>Contingent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31750</wp:posOffset>
            </wp:positionV>
            <wp:extent cx="388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28575</wp:posOffset>
            </wp:positionV>
            <wp:extent cx="66522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Current assets:</w:t>
      </w:r>
    </w:p>
    <w:p>
      <w:pPr>
        <w:spacing w:after="0" w:line="72" w:lineRule="exact"/>
        <w:rPr>
          <w:sz w:val="20"/>
          <w:szCs w:val="20"/>
          <w:color w:val="auto"/>
        </w:rPr>
      </w:pPr>
    </w:p>
    <w:p>
      <w:pPr>
        <w:ind w:left="660"/>
        <w:spacing w:after="0"/>
        <w:tabs>
          <w:tab w:leader="none" w:pos="4760" w:val="left"/>
          <w:tab w:leader="none" w:pos="5200" w:val="left"/>
          <w:tab w:leader="none" w:pos="6340" w:val="left"/>
          <w:tab w:leader="none" w:pos="7400" w:val="left"/>
          <w:tab w:leader="none" w:pos="7920" w:val="left"/>
          <w:tab w:leader="none" w:pos="8980" w:val="left"/>
          <w:tab w:leader="none" w:pos="9500" w:val="left"/>
          <w:tab w:leader="none" w:pos="994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4,780,107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4,780,107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665226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52260" cy="196850"/>
                    </a:xfrm>
                    <a:prstGeom prst="rect">
                      <a:avLst/>
                    </a:prstGeom>
                    <a:noFill/>
                  </pic:spPr>
                </pic:pic>
              </a:graphicData>
            </a:graphic>
          </wp:anchor>
        </w:drawing>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non-current liabilities:</w:t>
      </w:r>
    </w:p>
    <w:p>
      <w:pPr>
        <w:spacing w:after="0" w:line="72" w:lineRule="exact"/>
        <w:rPr>
          <w:sz w:val="20"/>
          <w:szCs w:val="20"/>
          <w:color w:val="auto"/>
        </w:rPr>
      </w:pPr>
    </w:p>
    <w:p>
      <w:pPr>
        <w:ind w:left="660"/>
        <w:spacing w:after="0"/>
        <w:tabs>
          <w:tab w:leader="none" w:pos="4760" w:val="left"/>
          <w:tab w:leader="none" w:pos="5820" w:val="left"/>
          <w:tab w:leader="none" w:pos="6340" w:val="left"/>
          <w:tab w:leader="none" w:pos="7400" w:val="left"/>
          <w:tab w:leader="none" w:pos="7920" w:val="left"/>
          <w:tab w:leader="none" w:pos="8360" w:val="left"/>
          <w:tab w:leader="none" w:pos="9500" w:val="left"/>
          <w:tab w:leader="none" w:pos="9940" w:val="left"/>
        </w:tabs>
        <w:rPr>
          <w:sz w:val="20"/>
          <w:szCs w:val="20"/>
          <w:color w:val="auto"/>
        </w:rPr>
      </w:pPr>
      <w:r>
        <w:rPr>
          <w:rFonts w:ascii="Arial" w:cs="Arial" w:eastAsia="Arial" w:hAnsi="Arial"/>
          <w:sz w:val="18"/>
          <w:szCs w:val="18"/>
          <w:color w:val="auto"/>
        </w:rPr>
        <w:t>Contingent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14605</wp:posOffset>
            </wp:positionV>
            <wp:extent cx="388302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83025" cy="254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Company recognizes revenue is accordance with Accounting Standards Codification, or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applies to all contracts with customers, except for contracts that are within the scope of other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leases, insurance, collaboration arrangements and financial instruments.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 performance obligations. The Company then recognizes as revenue the amount of the transaction price that is allocated to the respective performance obligation when (or as) the performance obligation is satisfied.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06" w:right="339" w:bottom="1440" w:gutter="0" w:footer="0" w:header="0"/>
        </w:sectPr>
      </w:pPr>
    </w:p>
    <w:bookmarkStart w:id="13" w:name="page14"/>
    <w:bookmarkEnd w:id="13"/>
    <w:p>
      <w:pPr>
        <w:jc w:val="both"/>
        <w:ind w:firstLine="648"/>
        <w:spacing w:after="0" w:line="252"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resulting from any of its collaborative arrangements.</w:t>
      </w:r>
    </w:p>
    <w:p>
      <w:pPr>
        <w:spacing w:after="0" w:line="10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collaborative arrangements.</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Bayer License. </w:t>
      </w:r>
      <w:r>
        <w:rPr>
          <w:rFonts w:ascii="Arial" w:cs="Arial" w:eastAsia="Arial" w:hAnsi="Arial"/>
          <w:sz w:val="18"/>
          <w:szCs w:val="18"/>
          <w:color w:val="auto"/>
        </w:rPr>
        <w:t>In January 2020, the Company entered into a license agreement with Bayer HealthCare LLC, or Bayer,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referred to as the “Clinical Trial and Manufacturing Activities Fee.” Such license would be exclusive with regard to the commercialization of Ovaprene for human contraception in the U.S. and co-exclusive with the Company with regard to development.</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concluded that there was one significant performance obligation under the Bayer license agreement related to the $1.0 million upfront non-refundable license fee payment: a distinct license to commercialize Ovaprene effective upon the receipt of the Clinical Trial and Manufacturing Activities Fee. The $ 1.0 million upfront non-refundable license fee payment will be recorded as license revenue at the point in time the Company receives the Clinical Trial and Manufacturing Activities Fee, the license is transferred to Bayer and Bayer is able to use and benefit from the license or if the agreement is terminated by Bayer. As of March 31, 2020, neither of the foregoing had occurred. The $1.0 million upfront non-refundable license fee payment is recorded as deferred revenue in the Company's consolidated balance sheet at March 31, 2020.</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and Collaboration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06" w:right="339" w:bottom="1440"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18"/>
          <w:szCs w:val="18"/>
          <w:color w:val="auto"/>
        </w:rPr>
        <w:t>Company acquired an exclusive, worldwide license to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 In December 2019, the Company entered into amendments to each of the License Amendment and Assignment Agreement.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MilanaPharm: (1) $25,000 in connection with the execution of the License Amendment; (2)</w:t>
      </w:r>
      <w:r>
        <w:rPr>
          <w:rFonts w:ascii="Arial" w:cs="Arial" w:eastAsia="Arial" w:hAnsi="Arial"/>
          <w:sz w:val="18"/>
          <w:szCs w:val="18"/>
          <w:i w:val="1"/>
          <w:iCs w:val="1"/>
          <w:color w:val="auto"/>
        </w:rPr>
        <w:t xml:space="preserve"> </w:t>
      </w:r>
      <w:r>
        <w:rPr>
          <w:rFonts w:ascii="Arial" w:cs="Arial" w:eastAsia="Arial" w:hAnsi="Arial"/>
          <w:sz w:val="18"/>
          <w:szCs w:val="18"/>
          <w:color w:val="auto"/>
        </w:rPr>
        <w:t>$100,000 on December 5, 2019; and (3) $110,000 on January 31, 2020.</w:t>
      </w:r>
    </w:p>
    <w:p>
      <w:pPr>
        <w:spacing w:after="0" w:line="54"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The Company will pay to MilanaPharm (1) up to $300,000 in the aggregate upon achievement of certain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regulatory development milestones; and (2) up to $1.75 million in the aggregate upon achieving certain commercial sales milestones.</w:t>
      </w:r>
    </w:p>
    <w:p>
      <w:pPr>
        <w:spacing w:after="0" w:line="3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licensed products and processes and during the royalty term,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pay MilanaPharm high single-digit to low double-digit royalties based on annual worldwide net sales of licensed products and processes in accordance with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Canada, the United Kingdom, France, Germany, Italy or Spain, and (2) continue to commercialize that product or process following the first commercial sale of a licensed product or process in the applicable jurisdiction.</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(or process)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customary termination rights in favor of all parties, MilanaPharm may terminate the license solely with respect to a licensed product or process in a country if, after having launched such product or process in such country, the Company or its affiliates or sublicensees, (1) discontinue the sale of such product or process in such country and MilanaPharm notifies the Company of such termination within 60 days of having first been notified by the Company of such discontinuation, or (2)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Hammock: (1) $250,000 in connection with the execution of the Assignment Agreement; (2) $125,000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5, 2019; and (3) $137,500 on January 31, 2020.</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7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$20.0 million in the aggregate based on the achievement of certain worldwide net sales milestones.</w:t>
      </w:r>
    </w:p>
    <w:p>
      <w:pPr>
        <w:spacing w:after="0" w:line="1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continues on a country-by-country basis until the later of the life of the licensed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or final commercial sale of Ovaprene. In addition to customary termination rights for both parties: (A) the Company may terminate the agreement with or without cause in whole or on a country-by-country basis upon 60 days prior written notice; and (B) ADVA-Tec may terminate the agreement if (1) the Company develops or commercializes any non-hormonal ring-based vaginal contraceptive device competitive to Ovaprene or (2) if the Company fails to meet agreed upon efforts to commercialize Ovaprene.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HealthCare License Agreement</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January 10, 2020, the Company entered into a license agreement with Bayer HealthCare LLC, or Bayer, regarding the further development and commercialization of Ovaprene in the U.S. Under the agreement, the Company received a $ 1.0 million upfront non-refundable license fee payment from Bayer. If Bayer pays an additional $20.0 million to the Company, or the Clinical Trial and Manufacturing Activities Fee, after Bayer receives and reviews the results of the pivotal clinical trial of Ovaprene, which payment Bayer may elect to make in its sole discretion, the license grant to Bayer to develop and commercialize Ovaprene for human contraception in the U.S. becomes effective. Such license would be exclusive with regard to commercialization and co-exclusive with the Company with regard to development.</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would also be entitled to receive (a) a milestone payment in the low double-digit</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will be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Bayer will support the Company in development and regulatory activities by providing up to two full-time equivalents with expertise in clinical, regulatory, preclinical, commercial, CMC and product supply matters in an advisory capacity. After payment of the Clinical Trial and Manufacturing Activities Fee, Bayer will be responsible for the commercialization of Ovaprene for human contraception in the U.S.</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Clinical Trial and Manufacturing Activities Fee if and when due.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the Licensed Product, which is defined as SST’s topical formulation of Sildenafil Cream, 3.6% as it existed as of the effective date of the agreement, or any other topically applied pharmaceutical product containing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24"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sildenafil or a salt thereof as a pharmaceutically active ingredient, alone or with other active ingredients, but specifically excluding any product containing ibuprofen or any salt derivative of ibuprofen.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this license and collaboration agreement: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shall own a 50% undivided interest in all joint inventions.</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single digits to the mid double digits, subject to customary royalty reductions and offsets, and a percentage of sublicense revenue.</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Catalent JNP License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will be $50,000 for the first two years and $100,000 thereafter, and which will be creditable against royalties and other payments due to Catalent in the same calendar year but may not be carried forward to any other year.</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and (2) up to $30.3 million in the aggregate upon achieving certain commercial sales milestones for each product or process covered by the licenses granted under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DARE-VVA1, a proprietary vaginal formulation of tamoxifen, as a potential treatment for vulvar and vaginal atrophy.</w:t>
      </w:r>
    </w:p>
    <w:p>
      <w:pPr>
        <w:spacing w:after="0" w:line="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the Pear Tree former stockholders and their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Holders, that are based on achieving certain clinical, regulatory and commercial milestones, which may be paid, in the Company’s sole discretion, in cash or shares of the Company’s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679" w:right="339" w:bottom="1440" w:gutter="0" w:footer="0" w:header="0"/>
        </w:sectPr>
      </w:pPr>
    </w:p>
    <w:bookmarkStart w:id="17" w:name="page18"/>
    <w:bookmarkEnd w:id="17"/>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Holders will be eligible to receive, subject to certain offsets, tiered royalties, including customary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royalty reductions and offset, based on percentages of annual net sales of certain products subject to license agreements the Company assumed and a percentage of sublicense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Microchips Acquisition</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November 2019, the Company completed its acquisition of Microchips Biotech, Inc., or Microchips. On the closing date of the merger, Microchips became a wholly owned subsidiary of the Company. The Company acquired Microchips to secure the rights to develop user-controlled, long-acting reversible contraception that utilizes levonorgestrel. The Company agreed to use commercially reasonable efforts to achieve specified development and regulatory objectives relating to the implantable contraceptive product in development by Microchips.</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i w:val="1"/>
          <w:iCs w:val="1"/>
          <w:color w:val="auto"/>
        </w:rPr>
        <w:t xml:space="preserve">Milestone and Royalty Payments. </w:t>
      </w:r>
      <w:r>
        <w:rPr>
          <w:rFonts w:ascii="Arial" w:cs="Arial" w:eastAsia="Arial" w:hAnsi="Arial"/>
          <w:sz w:val="18"/>
          <w:szCs w:val="18"/>
          <w:color w:val="auto"/>
        </w:rPr>
        <w:t>The Company also agreed to pay the following contingent consideration to the former Microchips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 up to $46.5 million contingent upon the achievement of specified funding, product development and regulatory milestones;</w:t>
      </w:r>
    </w:p>
    <w:p>
      <w:pPr>
        <w:spacing w:after="0" w:line="2" w:lineRule="exact"/>
        <w:rPr>
          <w:sz w:val="20"/>
          <w:szCs w:val="20"/>
          <w:color w:val="auto"/>
        </w:rPr>
      </w:pPr>
    </w:p>
    <w:p>
      <w:pPr>
        <w:jc w:val="both"/>
        <w:ind w:firstLine="8"/>
        <w:spacing w:after="0" w:line="252"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the implantable contraceptive product in development by Microchips. The Company expects approximately $1.0 million of the contingent consideration payments to become payable through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2018, the Company entered into an exclusive development and option agreement with Orbis Biosciences, or Orbis, for the development of long-acting injectable etonogestrel contraceptive with 6- and 12-month durations (ORB-204 and ORB-214, respectively). Under this agreement, the Company paid Orbis $300,000 to conduct the first stage of development work, Stage 1, as follows: $150,000 upon signing the agreement, $75,000 at the 50% completion point, not later than 6 months following the date the agreement was signed (which the Company paid in September 2018), and $75,000 upon delivery by Orbis of the 6-month batch, not later than 11 months following the date the agreement was signed (which the Company paid in January 2019).</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agreement provides the Company with an option to enter into a license agreement for ORB-204 and ORB-214 should development efforts be successful.</w:t>
      </w:r>
    </w:p>
    <w:p>
      <w:pPr>
        <w:spacing w:after="0" w:line="284" w:lineRule="exact"/>
        <w:rPr>
          <w:sz w:val="20"/>
          <w:szCs w:val="20"/>
          <w:color w:val="auto"/>
        </w:rPr>
      </w:pPr>
    </w:p>
    <w:p>
      <w:pPr>
        <w:ind w:left="1300" w:hanging="1292"/>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Microchips Acquisition</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2019, the Company acquired Microchips Biotech, Inc., or Microchips, via a merger transaction in which a wholly owned subsidiary the Company, formed for purposes of this transaction, merged with and into Microchips, and Microchips survived as the Company’s wholly owned subsidiary. Microchips is developing a proprietary, microchip-based,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that technology that utilizes levonorgestrel.</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 The transaction was valued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at $2.4 million, based on the fair value of the 2,999,990 shares issued of $0.79 per share, which was the closing price per share of the Company's common stock on the date of closing. The shares were issued in exchange for Microchips’ cash and cash equivalents of $6.1 million, less net liabilities of $3.5 million and transaction costs of $202,000, which was allocated based on the relative fair value of the assets acquired and liabilities assumed.</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also agreed to pay (1) contingent consideration based upon the achievement of specified funding, product development and regulatory milestones, and upon the achievement of specified amounts of aggregate net sales of products incorporating the intellectual property the Company acquired in the merger, (2) tiered royalty payments ranging from low single-digit to low double-digit percentages of annual net sales of such products, and (3) a percentage of sublicense revenue related to such products. The Company recorded $1.0 million in contingent consideration associated with milestone payments expected to become payable through 2021.</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determined the transaction was accounted for as an asset acquisition as there were no outputs or substantive processes in existence as of the acquisition date. Transaction costs of approximately $202,000 associated with the merger were included in the Company’s research and development expense in the fourth quarter of 2019.</w:t>
      </w:r>
    </w:p>
    <w:p>
      <w:pPr>
        <w:spacing w:after="0" w:line="301" w:lineRule="exact"/>
        <w:rPr>
          <w:sz w:val="20"/>
          <w:szCs w:val="20"/>
          <w:color w:val="auto"/>
        </w:rPr>
      </w:pPr>
    </w:p>
    <w:p>
      <w:pPr>
        <w:ind w:left="1300" w:hanging="1292"/>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business combination transaction in July 2017 between the Company and Daré Bioscience Operations, Inc., a privately held Delaware corporation, or Private Daré, the Company assumed the Private Daré 2015 Employee, Director and Consultant Equity Incentive Plan, or the 2015 Private Daré Plan and each then outstanding award granted thereunder, which consisted of options and restricted stock. Based on the exchange ratio for the business combination transaction and after giving effect to the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and 223,295 shares of the Company’s common stock. All of the options that were assumed were exercised as of March 31, 2020. No awards may be granted under the 2015 Private Daré Plan following the closing of the business combination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and there was no stock-based compensation related to the ESPP for the three months ended March 31, 2020 or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maintains the Amended and Restated 2014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2020, the number of authorized shares increased by 787,336 to 1,411,481, which increase represented 4% of the number of outstanding shares of common stock on such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4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three months ended March 31, 2020. The exercise price of all options granted during the three months ended March 31, 2020 was equal to the market value of the Company’s common stock on the date of grant. As of March 31, 2020, unamortized stock-based compensation expense of $1,686,903 will be amortized over a weighted average period of 2.9 years. At March 31, 2020, 704,481 shares of common stock were reserved for future awards granted under the Amended 2014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82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7"/>
                <w:szCs w:val="17"/>
                <w:color w:val="auto"/>
              </w:rPr>
            </w:pP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1,889,775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63"/>
        </w:trPr>
        <w:tc>
          <w:tcPr>
            <w:tcW w:w="822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707,000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7"/>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r>
      <w:tr>
        <w:trPr>
          <w:trHeight w:val="263"/>
        </w:trPr>
        <w:tc>
          <w:tcPr>
            <w:tcW w:w="8220" w:type="dxa"/>
            <w:vAlign w:val="bottom"/>
          </w:tcPr>
          <w:p>
            <w:pPr>
              <w:ind w:left="280"/>
              <w:spacing w:after="0"/>
              <w:rPr>
                <w:sz w:val="20"/>
                <w:szCs w:val="20"/>
                <w:color w:val="auto"/>
              </w:rPr>
            </w:pPr>
            <w:r>
              <w:rPr>
                <w:rFonts w:ascii="Arial" w:cs="Arial" w:eastAsia="Arial" w:hAnsi="Arial"/>
                <w:sz w:val="18"/>
                <w:szCs w:val="18"/>
                <w:color w:val="auto"/>
              </w:rPr>
              <w:t>Canceled/forfeited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8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2,586,626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r>
      <w:tr>
        <w:trPr>
          <w:trHeight w:val="237"/>
        </w:trPr>
        <w:tc>
          <w:tcPr>
            <w:tcW w:w="82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March 31, 2020</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568,118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0"/>
        </w:trPr>
        <w:tc>
          <w:tcPr>
            <w:tcW w:w="8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3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1937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6"/>
        </w:trPr>
        <w:tc>
          <w:tcPr>
            <w:tcW w:w="818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46,380</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24,703</w:t>
            </w:r>
          </w:p>
        </w:tc>
      </w:tr>
      <w:tr>
        <w:trPr>
          <w:trHeight w:val="264"/>
        </w:trPr>
        <w:tc>
          <w:tcPr>
            <w:tcW w:w="81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114,461</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73,265</w:t>
            </w:r>
          </w:p>
        </w:tc>
      </w:tr>
      <w:tr>
        <w:trPr>
          <w:trHeight w:val="256"/>
        </w:trPr>
        <w:tc>
          <w:tcPr>
            <w:tcW w:w="8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160,841</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97,968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months ended March 31, 2020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4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96"/>
        </w:trPr>
        <w:tc>
          <w:tcPr>
            <w:tcW w:w="464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2020</w:t>
            </w:r>
          </w:p>
        </w:tc>
      </w:tr>
      <w:tr>
        <w:trPr>
          <w:trHeight w:val="249"/>
        </w:trPr>
        <w:tc>
          <w:tcPr>
            <w:tcW w:w="46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6580" w:type="dxa"/>
            <w:vAlign w:val="bottom"/>
            <w:gridSpan w:val="3"/>
          </w:tcPr>
          <w:p>
            <w:pPr>
              <w:jc w:val="center"/>
              <w:ind w:left="4790"/>
              <w:spacing w:after="0"/>
              <w:rPr>
                <w:sz w:val="20"/>
                <w:szCs w:val="20"/>
                <w:color w:val="auto"/>
              </w:rPr>
            </w:pPr>
            <w:r>
              <w:rPr>
                <w:rFonts w:ascii="Arial" w:cs="Arial" w:eastAsia="Arial" w:hAnsi="Arial"/>
                <w:sz w:val="18"/>
                <w:szCs w:val="18"/>
                <w:color w:val="auto"/>
                <w:w w:val="96"/>
              </w:rPr>
              <w:t>10.0</w:t>
            </w:r>
          </w:p>
        </w:tc>
      </w:tr>
      <w:tr>
        <w:trPr>
          <w:trHeight w:val="277"/>
        </w:trPr>
        <w:tc>
          <w:tcPr>
            <w:tcW w:w="4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6580" w:type="dxa"/>
            <w:vAlign w:val="bottom"/>
            <w:gridSpan w:val="3"/>
            <w:shd w:val="clear" w:color="auto" w:fill="CFF0FC"/>
          </w:tcPr>
          <w:p>
            <w:pPr>
              <w:jc w:val="center"/>
              <w:ind w:left="4790"/>
              <w:spacing w:after="0"/>
              <w:rPr>
                <w:sz w:val="20"/>
                <w:szCs w:val="20"/>
                <w:color w:val="auto"/>
              </w:rPr>
            </w:pPr>
            <w:r>
              <w:rPr>
                <w:rFonts w:ascii="Arial" w:cs="Arial" w:eastAsia="Arial" w:hAnsi="Arial"/>
                <w:sz w:val="18"/>
                <w:szCs w:val="18"/>
                <w:color w:val="auto"/>
                <w:w w:val="97"/>
              </w:rPr>
              <w:t>0.86%</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6580" w:type="dxa"/>
            <w:vAlign w:val="bottom"/>
            <w:gridSpan w:val="3"/>
          </w:tcPr>
          <w:p>
            <w:pPr>
              <w:jc w:val="center"/>
              <w:ind w:left="4790"/>
              <w:spacing w:after="0"/>
              <w:rPr>
                <w:sz w:val="20"/>
                <w:szCs w:val="20"/>
                <w:color w:val="auto"/>
              </w:rPr>
            </w:pPr>
            <w:r>
              <w:rPr>
                <w:rFonts w:ascii="Arial" w:cs="Arial" w:eastAsia="Arial" w:hAnsi="Arial"/>
                <w:sz w:val="18"/>
                <w:szCs w:val="18"/>
                <w:color w:val="auto"/>
                <w:w w:val="99"/>
              </w:rPr>
              <w:t>121%</w:t>
            </w:r>
          </w:p>
        </w:tc>
      </w:tr>
      <w:tr>
        <w:trPr>
          <w:trHeight w:val="277"/>
        </w:trPr>
        <w:tc>
          <w:tcPr>
            <w:tcW w:w="4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Forfeiture rate</w:t>
            </w:r>
          </w:p>
        </w:tc>
        <w:tc>
          <w:tcPr>
            <w:tcW w:w="6580" w:type="dxa"/>
            <w:vAlign w:val="bottom"/>
            <w:gridSpan w:val="3"/>
            <w:shd w:val="clear" w:color="auto" w:fill="CFF0FC"/>
          </w:tcPr>
          <w:p>
            <w:pPr>
              <w:jc w:val="center"/>
              <w:ind w:left="4790"/>
              <w:spacing w:after="0"/>
              <w:rPr>
                <w:sz w:val="20"/>
                <w:szCs w:val="20"/>
                <w:color w:val="auto"/>
              </w:rPr>
            </w:pPr>
            <w:r>
              <w:rPr>
                <w:rFonts w:ascii="Arial" w:cs="Arial" w:eastAsia="Arial" w:hAnsi="Arial"/>
                <w:sz w:val="18"/>
                <w:szCs w:val="18"/>
                <w:color w:val="auto"/>
              </w:rPr>
              <w:t>0.0%</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6580" w:type="dxa"/>
            <w:vAlign w:val="bottom"/>
            <w:gridSpan w:val="3"/>
          </w:tcPr>
          <w:p>
            <w:pPr>
              <w:jc w:val="center"/>
              <w:ind w:left="4790"/>
              <w:spacing w:after="0"/>
              <w:rPr>
                <w:sz w:val="20"/>
                <w:szCs w:val="20"/>
                <w:color w:val="auto"/>
              </w:rPr>
            </w:pPr>
            <w:r>
              <w:rPr>
                <w:rFonts w:ascii="Arial" w:cs="Arial" w:eastAsia="Arial" w:hAnsi="Arial"/>
                <w:sz w:val="18"/>
                <w:szCs w:val="18"/>
                <w:color w:val="auto"/>
              </w:rPr>
              <w:t>0.0%</w:t>
            </w:r>
          </w:p>
        </w:tc>
      </w:tr>
      <w:tr>
        <w:trPr>
          <w:trHeight w:val="277"/>
        </w:trPr>
        <w:tc>
          <w:tcPr>
            <w:tcW w:w="4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6580" w:type="dxa"/>
            <w:vAlign w:val="bottom"/>
            <w:gridSpan w:val="3"/>
            <w:shd w:val="clear" w:color="auto" w:fill="CFF0FC"/>
          </w:tcPr>
          <w:p>
            <w:pPr>
              <w:jc w:val="center"/>
              <w:ind w:left="4790"/>
              <w:spacing w:after="0"/>
              <w:rPr>
                <w:sz w:val="20"/>
                <w:szCs w:val="20"/>
                <w:color w:val="auto"/>
              </w:rPr>
            </w:pPr>
            <w:r>
              <w:rPr>
                <w:rFonts w:ascii="Arial" w:cs="Arial" w:eastAsia="Arial" w:hAnsi="Arial"/>
                <w:sz w:val="18"/>
                <w:szCs w:val="18"/>
                <w:color w:val="auto"/>
              </w:rPr>
              <w:t>$1.00</w:t>
            </w:r>
          </w:p>
        </w:tc>
      </w:tr>
      <w:tr>
        <w:trPr>
          <w:trHeight w:val="432"/>
        </w:trPr>
        <w:tc>
          <w:tcPr>
            <w:tcW w:w="4640" w:type="dxa"/>
            <w:vAlign w:val="bottom"/>
          </w:tcPr>
          <w:p>
            <w:pPr>
              <w:spacing w:after="0"/>
              <w:rPr>
                <w:sz w:val="24"/>
                <w:szCs w:val="24"/>
                <w:color w:val="auto"/>
              </w:rPr>
            </w:pPr>
          </w:p>
        </w:tc>
        <w:tc>
          <w:tcPr>
            <w:tcW w:w="5000" w:type="dxa"/>
            <w:vAlign w:val="bottom"/>
          </w:tcPr>
          <w:p>
            <w:pPr>
              <w:jc w:val="right"/>
              <w:ind w:right="38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0" w:name="page21"/>
    <w:bookmarkEnd w:id="20"/>
    <w:p>
      <w:pPr>
        <w:ind w:left="1300" w:hanging="1292"/>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shares of its common stock from time to time in “at-the-market” equity offerings (as defined in Rule 415 promulgated under the Securities Act of 1933, as amended). The Company will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March 31, 2020, the Company sold 3,308,003 shares under the common stock sales agreement for gross proceeds of approximately $ 5.4 million and incurred offering expenses of approximately $220,000. The Company did not sell any shares under this agreement during the three months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2019 Underwritten Public Offering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warrants issued in the February 2018 underwritten offering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(or is deemed to issue or sell) securities for a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has been recorded in equity as of the grant date. The Company early adopted ASU 2017-11 as of January 1, 2018 and recorded the fair value of the warrants as equity.</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2019, in accordance with the price-based anti-dilution provision discussed above, as a result of the sale of shares in the April 2019 underwritten offering, the exercise price of these warrants was automatically reduced to $0.98 per share and $0.8 million was recorded to additional paid-in capital as a result of the triggering of the anti-dilution provision.</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March 31, 2020, 1,699,000 warrants were exercised for gross proceeds of approximately $1.7 million. No warrants were exercised during the three months ended March 31, 2019. As of March 31, 2020, the Company had the following warrants outstanding: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96"/>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Borders>
              <w:bottom w:val="single" w:sz="8" w:color="CFF0FC"/>
            </w:tcBorders>
          </w:tcPr>
          <w:p>
            <w:pPr>
              <w:spacing w:after="0"/>
              <w:rPr>
                <w:sz w:val="17"/>
                <w:szCs w:val="17"/>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56"/>
        </w:trPr>
        <w:tc>
          <w:tcPr>
            <w:tcW w:w="3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2,906</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FF0FC"/>
          </w:tcPr>
          <w:p>
            <w:pPr>
              <w:jc w:val="center"/>
              <w:ind w:right="894"/>
              <w:spacing w:after="0"/>
              <w:rPr>
                <w:sz w:val="20"/>
                <w:szCs w:val="20"/>
                <w:color w:val="auto"/>
              </w:rPr>
            </w:pPr>
            <w:r>
              <w:rPr>
                <w:rFonts w:ascii="Arial" w:cs="Arial" w:eastAsia="Arial" w:hAnsi="Arial"/>
                <w:sz w:val="18"/>
                <w:szCs w:val="18"/>
                <w:color w:val="auto"/>
              </w:rPr>
              <w:t>120.40</w:t>
            </w:r>
          </w:p>
        </w:tc>
        <w:tc>
          <w:tcPr>
            <w:tcW w:w="460" w:type="dxa"/>
            <w:vAlign w:val="bottom"/>
            <w:shd w:val="clear" w:color="auto" w:fill="CFF0FC"/>
          </w:tcPr>
          <w:p>
            <w:pPr>
              <w:spacing w:after="0"/>
              <w:rPr>
                <w:sz w:val="22"/>
                <w:szCs w:val="22"/>
                <w:color w:val="auto"/>
              </w:rPr>
            </w:pPr>
          </w:p>
        </w:tc>
        <w:tc>
          <w:tcPr>
            <w:tcW w:w="3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December 1, 2021</w:t>
            </w:r>
          </w:p>
        </w:tc>
      </w:tr>
      <w:tr>
        <w:trPr>
          <w:trHeight w:val="257"/>
        </w:trPr>
        <w:tc>
          <w:tcPr>
            <w:tcW w:w="3820" w:type="dxa"/>
            <w:vAlign w:val="bottom"/>
          </w:tcPr>
          <w:p>
            <w:pPr>
              <w:jc w:val="center"/>
              <w:spacing w:after="0"/>
              <w:rPr>
                <w:sz w:val="20"/>
                <w:szCs w:val="20"/>
                <w:color w:val="auto"/>
              </w:rPr>
            </w:pPr>
            <w:r>
              <w:rPr>
                <w:rFonts w:ascii="Arial" w:cs="Arial" w:eastAsia="Arial" w:hAnsi="Arial"/>
                <w:sz w:val="18"/>
                <w:szCs w:val="18"/>
                <w:color w:val="auto"/>
                <w:w w:val="97"/>
              </w:rPr>
              <w:t>3,737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380" w:type="dxa"/>
            <w:vAlign w:val="bottom"/>
          </w:tcPr>
          <w:p>
            <w:pPr>
              <w:jc w:val="center"/>
              <w:ind w:right="894"/>
              <w:spacing w:after="0"/>
              <w:rPr>
                <w:sz w:val="20"/>
                <w:szCs w:val="20"/>
                <w:color w:val="auto"/>
              </w:rPr>
            </w:pPr>
            <w:r>
              <w:rPr>
                <w:rFonts w:ascii="Arial" w:cs="Arial" w:eastAsia="Arial" w:hAnsi="Arial"/>
                <w:sz w:val="18"/>
                <w:szCs w:val="18"/>
                <w:color w:val="auto"/>
              </w:rPr>
              <w:t>120.40</w:t>
            </w:r>
          </w:p>
        </w:tc>
        <w:tc>
          <w:tcPr>
            <w:tcW w:w="460" w:type="dxa"/>
            <w:vAlign w:val="bottom"/>
          </w:tcPr>
          <w:p>
            <w:pPr>
              <w:spacing w:after="0"/>
              <w:rPr>
                <w:sz w:val="22"/>
                <w:szCs w:val="22"/>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December 6, 2021</w:t>
            </w:r>
          </w:p>
        </w:tc>
      </w:tr>
      <w:tr>
        <w:trPr>
          <w:trHeight w:val="277"/>
        </w:trPr>
        <w:tc>
          <w:tcPr>
            <w:tcW w:w="3820" w:type="dxa"/>
            <w:vAlign w:val="bottom"/>
          </w:tcPr>
          <w:p>
            <w:pPr>
              <w:jc w:val="center"/>
              <w:spacing w:after="0"/>
              <w:rPr>
                <w:sz w:val="20"/>
                <w:szCs w:val="20"/>
                <w:color w:val="auto"/>
              </w:rPr>
            </w:pPr>
            <w:r>
              <w:rPr>
                <w:rFonts w:ascii="Arial" w:cs="Arial" w:eastAsia="Arial" w:hAnsi="Arial"/>
                <w:sz w:val="18"/>
                <w:szCs w:val="18"/>
                <w:color w:val="auto"/>
                <w:w w:val="97"/>
              </w:rPr>
              <w:t>6,500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380" w:type="dxa"/>
            <w:vAlign w:val="bottom"/>
          </w:tcPr>
          <w:p>
            <w:pPr>
              <w:jc w:val="center"/>
              <w:ind w:right="894"/>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rPr>
              <w:t>April 4, 2026</w:t>
            </w:r>
          </w:p>
        </w:tc>
      </w:tr>
      <w:tr>
        <w:trPr>
          <w:trHeight w:val="270"/>
        </w:trPr>
        <w:tc>
          <w:tcPr>
            <w:tcW w:w="3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2,021,500</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FF0FC"/>
          </w:tcPr>
          <w:p>
            <w:pPr>
              <w:jc w:val="center"/>
              <w:ind w:right="894"/>
              <w:spacing w:after="0"/>
              <w:rPr>
                <w:sz w:val="20"/>
                <w:szCs w:val="20"/>
                <w:color w:val="auto"/>
              </w:rPr>
            </w:pPr>
            <w:r>
              <w:rPr>
                <w:rFonts w:ascii="Arial" w:cs="Arial" w:eastAsia="Arial" w:hAnsi="Arial"/>
                <w:sz w:val="18"/>
                <w:szCs w:val="18"/>
                <w:color w:val="auto"/>
              </w:rPr>
              <w:t>0.98</w:t>
            </w:r>
          </w:p>
        </w:tc>
        <w:tc>
          <w:tcPr>
            <w:tcW w:w="460" w:type="dxa"/>
            <w:vAlign w:val="bottom"/>
            <w:shd w:val="clear" w:color="auto" w:fill="CFF0FC"/>
          </w:tcPr>
          <w:p>
            <w:pPr>
              <w:spacing w:after="0"/>
              <w:rPr>
                <w:sz w:val="23"/>
                <w:szCs w:val="23"/>
                <w:color w:val="auto"/>
              </w:rPr>
            </w:pPr>
          </w:p>
        </w:tc>
        <w:tc>
          <w:tcPr>
            <w:tcW w:w="3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February 15, 2023</w:t>
            </w:r>
          </w:p>
        </w:tc>
      </w:tr>
      <w:tr>
        <w:trPr>
          <w:trHeight w:val="25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2,034,643</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73" w:right="339" w:bottom="1440" w:gutter="0" w:footer="0" w:header="0"/>
        </w:sectPr>
      </w:pPr>
    </w:p>
    <w:bookmarkStart w:id="21" w:name="page22"/>
    <w:bookmarkEnd w:id="21"/>
    <w:p>
      <w:pPr>
        <w:ind w:left="1300" w:hanging="1292"/>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and terminates on July 31, 2021. The Company has the option to extend the term of the lease for one year.</w:t>
      </w:r>
    </w:p>
    <w:p>
      <w:pPr>
        <w:spacing w:after="0" w:line="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Microchips, which the Company acquired in November 2019, leases general office space in Lexington, Massachusetts and warehouse space in Billerica, Massachusetts. The Lexington lease commenced on July 1, 2013 and terminates on September 30, 2021. The Billerica lease commenced on October 1, 2016 and terminates on March 31, 2022.</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191C1F"/>
        </w:rPr>
        <w:t xml:space="preserve">Under the terms of each lease, the Company pays base annual rent (subject to an annual fixed percentage increase), plus property 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The depreciable lives of operating leases and leasehold improvements are limited by the expected lease term.</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At March 31, 2020, the Company reported operating lease right of use assets of approximately $432,000 in other non-current assets, and $404,000 and $284,000, respectively, in current and non-current other liabilities on the consolidated balance sheet.</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Total operating lease costs were approximately $76,000 and $27,000 for the three months ended March 31, 2020 and March 31, 2019, respectively. Operating lease costs consist of monthly lease payments expense, common area maintenance and other repair and maintenance costs and are included in general and administrative expenses in the consolidated statement of operations.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$128,000 and $27,000 for three months ended March 31, 2020 and March 31, 2019, respectively, and these amounts are included in operating activities in the consolidated statements of cash flows. Further, at March 31, 2020, operating leases had a weighted average remaining lease term of 1.61 years.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future minimum payments under the Company's operating leases are approximately:</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Remainder of 2020</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334,000</w:t>
            </w:r>
          </w:p>
        </w:tc>
      </w:tr>
      <w:tr>
        <w:trPr>
          <w:trHeight w:val="250"/>
        </w:trPr>
        <w:tc>
          <w:tcPr>
            <w:tcW w:w="9760" w:type="dxa"/>
            <w:vAlign w:val="bottom"/>
          </w:tcPr>
          <w:p>
            <w:pPr>
              <w:ind w:left="28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363,000</w:t>
            </w:r>
          </w:p>
        </w:tc>
      </w:tr>
      <w:tr>
        <w:trPr>
          <w:trHeight w:val="263"/>
        </w:trPr>
        <w:tc>
          <w:tcPr>
            <w:tcW w:w="9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r>
      <w:tr>
        <w:trPr>
          <w:trHeight w:val="244"/>
        </w:trPr>
        <w:tc>
          <w:tcPr>
            <w:tcW w:w="9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future minimum lease payments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739,000</w:t>
            </w:r>
          </w:p>
        </w:tc>
      </w:tr>
      <w:tr>
        <w:trPr>
          <w:trHeight w:val="256"/>
        </w:trPr>
        <w:tc>
          <w:tcPr>
            <w:tcW w:w="9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Difference between future minimum lease payments and discounted operating lease liabilities</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50"/>
        </w:trPr>
        <w:tc>
          <w:tcPr>
            <w:tcW w:w="9760" w:type="dxa"/>
            <w:vAlign w:val="bottom"/>
          </w:tcPr>
          <w:p>
            <w:pPr>
              <w:ind w:left="380"/>
              <w:spacing w:after="0"/>
              <w:rPr>
                <w:sz w:val="20"/>
                <w:szCs w:val="20"/>
                <w:color w:val="auto"/>
              </w:rPr>
            </w:pPr>
            <w:r>
              <w:rPr>
                <w:rFonts w:ascii="Arial" w:cs="Arial" w:eastAsia="Arial" w:hAnsi="Arial"/>
                <w:sz w:val="18"/>
                <w:szCs w:val="18"/>
                <w:b w:val="1"/>
                <w:bCs w:val="1"/>
                <w:color w:val="auto"/>
              </w:rPr>
              <w:t>Total operating lease liabilities</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689,000</w:t>
            </w:r>
          </w:p>
        </w:tc>
      </w:tr>
      <w:tr>
        <w:trPr>
          <w:trHeight w:val="20"/>
        </w:trPr>
        <w:tc>
          <w:tcPr>
            <w:tcW w:w="9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6580" w:firstLine="8"/>
        <w:spacing w:after="0" w:line="388" w:lineRule="auto"/>
        <w:tabs>
          <w:tab w:leader="none" w:pos="129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Contingent Consideration</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the acquisition of Microchips, the Company agreed to pay contingent consideration based upon the achievement of specified funding, product development and regulatory milestones. The Company recorded $1.0 million in contingent consideration liability associated with milestone payments expected to become payable through 2021 in its consolidated balance sheet at March 31,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73" w:right="339" w:bottom="1440" w:gutter="0" w:footer="0" w:header="0"/>
        </w:sectPr>
      </w:pPr>
    </w:p>
    <w:bookmarkStart w:id="22" w:name="page23"/>
    <w:bookmarkEnd w:id="22"/>
    <w:p>
      <w:pPr>
        <w:ind w:left="1300" w:hanging="1292"/>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Eunice Kennedy Shriver National Institute of Child Health and Human Development</w:t>
      </w:r>
    </w:p>
    <w:p>
      <w:pPr>
        <w:spacing w:after="0" w:line="13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Since 2018, the Company has received grant funding for clinical development efforts supporting Ovaprene from the Eunice Kennedy Shriver National Institute of Child Health and Human Development, a division of the National Institutes of Health, or the NIH. Through year-end 2019, the Company received award payments from the NIH totaling $1.2 million.</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NIH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recorded credits to research and development expense for costs related to the NIH award of approximately $293,000 and $161,000 for the three months ended March 31, 2020 and March 31,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 &amp; Melinda Gates Foundation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Microchips has a grant agreement with the Bill &amp; Melinda Gates Foundation, or the Foundation, relating to the development of Microchips’ contraceptive program. Expenses eligible for grant funding must be incurred, tracked and reported to the Foundation. In July 2019, Microchips received approximately $2.9 million in grant funding payments. At March 31, 2020, grant funding payments associated with research and development expenses for Microchips’ contraceptive program not yet incurred totaled approximately $1.1 million and are recorded as deferred grant funding liability in the Company's consolidated balance sheet.</w:t>
      </w:r>
    </w:p>
    <w:p>
      <w:pPr>
        <w:spacing w:after="0" w:line="143" w:lineRule="exact"/>
        <w:rPr>
          <w:sz w:val="20"/>
          <w:szCs w:val="20"/>
          <w:color w:val="auto"/>
        </w:rPr>
      </w:pPr>
    </w:p>
    <w:p>
      <w:pPr>
        <w:ind w:left="1300" w:hanging="1292"/>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4"/>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6"/>
        </w:trPr>
        <w:tc>
          <w:tcPr>
            <w:tcW w:w="8220" w:type="dxa"/>
            <w:vAlign w:val="bottom"/>
            <w:gridSpan w:val="3"/>
          </w:tcPr>
          <w:p>
            <w:pPr>
              <w:ind w:left="40"/>
              <w:spacing w:after="0"/>
              <w:rPr>
                <w:sz w:val="20"/>
                <w:szCs w:val="20"/>
                <w:color w:val="auto"/>
              </w:rPr>
            </w:pPr>
            <w:r>
              <w:rPr>
                <w:rFonts w:ascii="Arial" w:cs="Arial" w:eastAsia="Arial" w:hAnsi="Arial"/>
                <w:sz w:val="18"/>
                <w:szCs w:val="18"/>
                <w:b w:val="1"/>
                <w:bCs w:val="1"/>
                <w:color w:val="auto"/>
              </w:rPr>
              <w:t>Potentially dilutive securities</w:t>
            </w:r>
          </w:p>
        </w:tc>
        <w:tc>
          <w:tcPr>
            <w:tcW w:w="2020" w:type="dxa"/>
            <w:vAlign w:val="bottom"/>
            <w:gridSpan w:val="3"/>
          </w:tcPr>
          <w:p>
            <w:pPr>
              <w:ind w:left="112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00" w:type="dxa"/>
            <w:vAlign w:val="bottom"/>
            <w:tcBorders>
              <w:top w:val="single" w:sz="8" w:color="auto"/>
              <w:bottom w:val="single" w:sz="8" w:color="CFF0FC"/>
            </w:tcBorders>
          </w:tcPr>
          <w:p>
            <w:pPr>
              <w:spacing w:after="0"/>
              <w:rPr>
                <w:sz w:val="22"/>
                <w:szCs w:val="22"/>
                <w:color w:val="auto"/>
              </w:rPr>
            </w:pPr>
          </w:p>
        </w:tc>
        <w:tc>
          <w:tcPr>
            <w:tcW w:w="6900" w:type="dxa"/>
            <w:vAlign w:val="bottom"/>
            <w:tcBorders>
              <w:top w:val="single" w:sz="8" w:color="auto"/>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1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options</w:t>
            </w:r>
          </w:p>
        </w:tc>
        <w:tc>
          <w:tcPr>
            <w:tcW w:w="6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2,586,626</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2,190,360</w:t>
            </w:r>
          </w:p>
        </w:tc>
        <w:tc>
          <w:tcPr>
            <w:tcW w:w="0" w:type="dxa"/>
            <w:vAlign w:val="bottom"/>
          </w:tcPr>
          <w:p>
            <w:pPr>
              <w:spacing w:after="0"/>
              <w:rPr>
                <w:sz w:val="1"/>
                <w:szCs w:val="1"/>
                <w:color w:val="auto"/>
              </w:rPr>
            </w:pPr>
          </w:p>
        </w:tc>
      </w:tr>
      <w:tr>
        <w:trPr>
          <w:trHeight w:val="264"/>
        </w:trPr>
        <w:tc>
          <w:tcPr>
            <w:tcW w:w="12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Warrants</w:t>
            </w:r>
          </w:p>
        </w:tc>
        <w:tc>
          <w:tcPr>
            <w:tcW w:w="69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2,034,643</w:t>
            </w:r>
          </w:p>
        </w:tc>
        <w:tc>
          <w:tcPr>
            <w:tcW w:w="1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3,750,833</w:t>
            </w:r>
          </w:p>
        </w:tc>
        <w:tc>
          <w:tcPr>
            <w:tcW w:w="0" w:type="dxa"/>
            <w:vAlign w:val="bottom"/>
          </w:tcPr>
          <w:p>
            <w:pPr>
              <w:spacing w:after="0"/>
              <w:rPr>
                <w:sz w:val="1"/>
                <w:szCs w:val="1"/>
                <w:color w:val="auto"/>
              </w:rPr>
            </w:pPr>
          </w:p>
        </w:tc>
      </w:tr>
      <w:tr>
        <w:trPr>
          <w:trHeight w:val="256"/>
        </w:trPr>
        <w:tc>
          <w:tcPr>
            <w:tcW w:w="1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69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4,621,269</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5,941,193</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7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SUBSEQUENT EVENTS</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00" w:type="dxa"/>
            <w:vAlign w:val="bottom"/>
            <w:vMerge w:val="continue"/>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NIH Grant Award</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2020, the Company received a final notice of award for approximately $731,000 of the total $1.9 million in grant funding for clinical development efforts supporting Ovaprene from the NIH. At March 31, 2020, the Company recorded a receivable of approximately $428,000 for expenses incurred through such date that are eligible for reimbursement under this final notice of award. The NIH issued this final notice of award after reviewing data from the completed postcoital test (or PCT) clinical trial and commercialization plans of Ovaprene</w:t>
      </w:r>
      <w:r>
        <w:rPr>
          <w:rFonts w:ascii="Arial" w:cs="Arial" w:eastAsia="Arial" w:hAnsi="Arial"/>
          <w:sz w:val="18"/>
          <w:szCs w:val="18"/>
          <w:b w:val="1"/>
          <w:bCs w:val="1"/>
          <w:color w:val="auto"/>
        </w:rPr>
        <w:t>,</w:t>
      </w:r>
      <w:r>
        <w:rPr>
          <w:rFonts w:ascii="Arial" w:cs="Arial" w:eastAsia="Arial" w:hAnsi="Arial"/>
          <w:sz w:val="18"/>
          <w:szCs w:val="18"/>
          <w:color w:val="auto"/>
        </w:rPr>
        <w:t xml:space="preserve"> which satisfied specified requirements set out in the award notice.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 loan under the Paycheck Protection Program, or the PPP, of the Coronavirus Aid, Relief, and Economic Security Act, or CARES Act, administered by the U.S. Small Business Administration, or SBA. The Company received a loan of approximately $367,000. The loan matures in April 2022, bears interest at a rate of 1.00% per annum, is payable in equal monthly payments commencing in November 2020 through maturity and may be prepaid at any time prior to maturity with no prepayment penalties. Under the terms of the PPP, subject to specified limitations, loan forgiveness is available for the sum of documented payroll costs, covered rent payments, and covered utilities during the eight-week period that begins on the date the lender makes the first disbursement to the borrower. The Company intends to use the entire loan for qualifying expenses under the PPP and to apply for forgiveness of the entire loan, however, no assurance is provided that the Company will obtain forgiveness of the loan in whole or in part.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April 22, 2020,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$ 15.0 million of the Company’s common stock. Such sales of common stock by the Company, if any, will be subject to certain limitations, and may occur from time to time, at the Company’s sole discretion, over the 36-month period commencing on the date that a registration statement covering the resale by Lincoln Park of shares that have been and may be issued under the Purchase Agreement is declared effective by the SEC and a final prospectus in connection therewith is filed and the other conditions in the Purchase Agreement are satisfied. The Company filed such a registration statement with the SEC on May 1, 2020 to register the resale by Lincoln Park of up to 7,500,000 shares of the Company's common stock and it was declared effective on May 12,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ATM </w:t>
      </w:r>
      <w:r>
        <w:rPr>
          <w:rFonts w:ascii="Arial" w:cs="Arial" w:eastAsia="Arial" w:hAnsi="Arial"/>
          <w:sz w:val="18"/>
          <w:szCs w:val="18"/>
          <w:b w:val="1"/>
          <w:bCs w:val="1"/>
          <w:color w:val="auto"/>
        </w:rPr>
        <w:t>Sales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Between April 1, 2020 and May 12, 2020, the Company sold an aggregate of 1,864,485 shares of common stock in "at-the-market" equity offerings and received aggregate net proceeds of approximately $2.0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2019 included in our Annual Report on Form 10-K for the year ended December 31, 2019, or our 2019 10-K, filed with the Securities and Exchange Commission, or SEC, on March 27, 2020. Past operating results are not necessarily indicative of results that may occur in future periods.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in our 2019 10-K and in our subsequent filings with the SEC, including any discussed in Part II, Item 1A of this report under the heading “Risk Factors,” which are incorporated herein by reference.</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clinical-stage biopharmaceutical company committed to the acceleration of innovative products for women’s health. We are driven by a mission to identify, acquire and develop a diverse portfolio of differentiated therapies that expand treatment options, improve outcomes and facilitate convenience for women, primarily in the areas of contraception, fertility, and sexual and vaginal health. Our business strategy is to in-license or otherwise acquire the rights to differentiated product candidates in our areas of focus, some of which have existing clinical proof-of-concept data, and to take those candidates through advanced stages of clinical development, and then out-license these products to companies with sales and distribution capabilities in women's health to leverage their commercial capabilities. We and our wholly owned subsidiaries operate in one business segment.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global commercialization and development strategy involves partnering with pharmaceutical companies and regional distributors with established marketing and sales capabilities in women's health, including through co-development and promotion agreements, once we have advanced a candidate through mid- to late-stage clinical development.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includes three product candidates in advanced clinical development:</w:t>
      </w:r>
    </w:p>
    <w:p>
      <w:pPr>
        <w:spacing w:after="0" w:line="311" w:lineRule="exact"/>
        <w:rPr>
          <w:sz w:val="20"/>
          <w:szCs w:val="20"/>
          <w:color w:val="auto"/>
        </w:rPr>
      </w:pPr>
    </w:p>
    <w:p>
      <w:pPr>
        <w:ind w:left="1300" w:hanging="320"/>
        <w:spacing w:after="0" w:line="263" w:lineRule="auto"/>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 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 or BV;</w:t>
      </w: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95"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three product candidates that we believe are Phase 1-ready:</w:t>
      </w:r>
    </w:p>
    <w:p>
      <w:pPr>
        <w:spacing w:after="0" w:line="311" w:lineRule="exact"/>
        <w:rPr>
          <w:sz w:val="20"/>
          <w:szCs w:val="20"/>
          <w:color w:val="auto"/>
        </w:rPr>
      </w:pPr>
    </w:p>
    <w:p>
      <w:pPr>
        <w:ind w:left="1300" w:hanging="320"/>
        <w:spacing w:after="0" w:line="287" w:lineRule="auto"/>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for the treatment of vasomotor</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or VMS, as part of a hormone replacement therapy, or HRT, following menopause;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24" w:right="339" w:bottom="1440" w:gutter="0" w:footer="0" w:header="0"/>
        </w:sectPr>
      </w:pPr>
    </w:p>
    <w:bookmarkStart w:id="25" w:name="page26"/>
    <w:bookmarkEnd w:id="25"/>
    <w:p>
      <w:pPr>
        <w:ind w:left="1300" w:hanging="320"/>
        <w:spacing w:after="0" w:line="28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or VVA, in patients with hormone-receptor positive breast cancer; and</w:t>
      </w:r>
    </w:p>
    <w:p>
      <w:pPr>
        <w:spacing w:after="0" w:line="44"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the prevention of preterm birth and for fertility</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as part of an in vitro fertilization treatment 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product candidates:</w:t>
      </w:r>
    </w:p>
    <w:p>
      <w:pPr>
        <w:spacing w:after="0" w:line="185" w:lineRule="exact"/>
        <w:rPr>
          <w:sz w:val="20"/>
          <w:szCs w:val="20"/>
          <w:color w:val="auto"/>
        </w:rPr>
      </w:pPr>
    </w:p>
    <w:p>
      <w:pPr>
        <w:ind w:left="1300" w:hanging="320"/>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microchip-based, implantable drug delivery system and a contraceptive application of that technology utilizing levonorgestrel that is designed to provide user-controlled, long-acting, reversible contraception</w:t>
      </w:r>
    </w:p>
    <w:p>
      <w:pPr>
        <w:spacing w:after="0" w:line="13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6-month and 12-month formulations of injectable etonogestrel for contraception; and</w:t>
      </w:r>
    </w:p>
    <w:p>
      <w:pPr>
        <w:spacing w:after="0" w:line="184" w:lineRule="exact"/>
        <w:rPr>
          <w:rFonts w:ascii="Arial" w:cs="Arial" w:eastAsia="Arial" w:hAnsi="Arial"/>
          <w:sz w:val="18"/>
          <w:szCs w:val="18"/>
          <w:color w:val="auto"/>
        </w:rPr>
      </w:pPr>
    </w:p>
    <w:p>
      <w:pPr>
        <w:ind w:left="1300" w:hanging="320"/>
        <w:spacing w:after="0" w:line="28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operations have consisted of, and are expected to continue to consist of, product research and development and advancing our portfolio of product candidates through clinical development and regulatory approval. We expect that the majority of our development expenses in 2020 and 2021 will support the advancement of DARE-BV1, Ovaprene and Sildenafil Cream, 3.6%.</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addition, the COVID-19 pandemic continues to rapidly evolve. We do not yet know the full extent of its potential effects on our business, including the anticipated aggregate costs for development of our product candidates, on our anticipated timelines for the development of our product candidates, or on the supply chain for our clinical supplies. However, these effects could have a material adverse impact on our business and financial condition. See the risk factor titled, </w:t>
      </w:r>
      <w:r>
        <w:rPr>
          <w:rFonts w:ascii="Arial" w:cs="Arial" w:eastAsia="Arial" w:hAnsi="Arial"/>
          <w:sz w:val="18"/>
          <w:szCs w:val="18"/>
          <w:i w:val="1"/>
          <w:iCs w:val="1"/>
          <w:color w:val="auto"/>
        </w:rPr>
        <w:t>The novel coronavirus (COVID-19) pandemic and efforts to reduce</w:t>
      </w:r>
      <w:r>
        <w:rPr>
          <w:rFonts w:ascii="Arial" w:cs="Arial" w:eastAsia="Arial" w:hAnsi="Arial"/>
          <w:sz w:val="18"/>
          <w:szCs w:val="18"/>
          <w:color w:val="auto"/>
        </w:rPr>
        <w:t xml:space="preserve"> </w:t>
      </w:r>
      <w:r>
        <w:rPr>
          <w:rFonts w:ascii="Arial" w:cs="Arial" w:eastAsia="Arial" w:hAnsi="Arial"/>
          <w:sz w:val="18"/>
          <w:szCs w:val="18"/>
          <w:i w:val="1"/>
          <w:iCs w:val="1"/>
          <w:color w:val="auto"/>
        </w:rPr>
        <w:t>its spread could negatively impact our business, including by increasing the cost and timelines for our clinical development programs, in Part II, Item 1A, "Risk Factors,"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DARE-BV1</w:t>
      </w:r>
    </w:p>
    <w:p>
      <w:pPr>
        <w:spacing w:after="0" w:line="3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We are currently working on regulatory and start-up activities that are necessary to commence a Phase 3 multicenter, randomized, double-blind, placebo-controlled study of DARE-BV1 for the treatment of BV, or the DARE-BV1-001 study, and expect to initiate the study in the second half of 2020. We plan to enroll approximately 220 postmenarchal women, ages 12 and above, at approximately 40 sites in the United States. The primary efficacy endpoint of the study will be clinical cure at the evaluation visit to occur 21 to 30 days after enrollment in the study, or the Day 21-30 visit, with clinical cure defined as meeting three criteria (derived from the Amsel criteria): resolution of abnormal vaginal discharge associated with BV as confirmed by the investigator; a negative 10% potassium hydroxide (KOH) "whiff test"; and the presence of clue cells at less than 20% of total epithelial cells in a saline wet mount. If the study's initiation and rate of subject enrollment occur as we currently expect, then we anticipate having topline data from this study before year-end 2020. </w:t>
      </w:r>
      <w:r>
        <w:rPr>
          <w:rFonts w:ascii="Arial" w:cs="Arial" w:eastAsia="Arial" w:hAnsi="Arial"/>
          <w:sz w:val="18"/>
          <w:szCs w:val="18"/>
          <w:color w:val="0000FF"/>
        </w:rPr>
        <w:t>I</w:t>
      </w:r>
      <w:r>
        <w:rPr>
          <w:rFonts w:ascii="Arial" w:cs="Arial" w:eastAsia="Arial" w:hAnsi="Arial"/>
          <w:sz w:val="18"/>
          <w:szCs w:val="18"/>
          <w:color w:val="auto"/>
        </w:rPr>
        <w:t>n parallel with the DARE-BV1-001 clinical study and to support the new drug application, or NDA, for DARE-BV1, we are conducting nonclinical studies of certain excipients in DARE-BV1 and the clinical formulation of DARE-BV1, including reproductive toxicology studies. If the DARE-BV1-001 clinical study and the nonclinical studies are completed as anticipated and if their outcomes are successful, then we expect to be in a position to file an NDA with the FDA in early 2021.</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anticipate that the aggregate costs of the DARE-BV1 program through NDA filing, including the DARE-BV1-001 study, planned nonclinical studies, manufacturing activities for the program through filing of the NDA, and the NDA filing, will be approximately $10.0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3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positive results of our postcoital test (PCT) clinical trial of Ovaprene, topline data from which was announced in November 2019, and with the support of Bayer under the commercial license agreement we executed in January 2020 (discussed below under "Recent Events"), we are conducting activities to support submission of an Investigational Device Exemption application, or IDE, to the FDA for a pivotal clinical study of Ovaprene. We are designing that study to evaluate the safety and efficacy of Ovaprene to prevent pregnancy when used over a period of 12 months by approximately 250 women and will seek to confirm alignment with the FDA on the study's design prior to commencement. In light of disruptions resulting from the COVID-19 pandemic and prioritization of non-clinical activities that can be efficiently advanced in the COVID-19 environment, we no longer plan to commence the study in 2020. However, we expect the development activities we are conducting, and plan to conduct, in the interim will continue to advance this program and we continue to expect to report topline data for the planned pivotal clinical study of Ovaprene by year-end 2022. If successful, we expect the study's data to support a premarket approval, or PMA, submission to the FDA, as well as marketing approvals of Ovaprene in Europe and other countries worldwide.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3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Sildenafil Cream, 3.6% is in Phase 2b clinical development for FSAD. In December 2019, we announced that, we reached alignment with the FDA on the design of our Phase 2b clinical trial, including the patient reported outcome, or PRO, instruments to be used to screen eligible patients with FSAD and to measure achievement of the primary efficacy endpoints, namely improvement in localized genital sensations of arousal and reduction in the distress that women with FSAD experience. The Phase 2b trial is designed to evaluate Sildenafil Cream, 3.6% compared to placebo cream over 12 weeks of dosing following both a non-drug and placebo run-in period. In light of disruptions resulting from the COVID-19 pandemic, we are evaluating the optimal time to commence enrollment in the Phase 2b trial and are currently considering commencing in late 2020 or early 2021. Even if we commence in early 2021, we continue to expect to report topline data for the Phase 2b trial by year-end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3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plan to conduct a Phase 1 open-label, three-arm, parallel group clinical study of DARE-HRT1 in Australia to evaluate the pharmacokinetics, or PK, and safety of DARE-HRT1 in approximately 30 healthy, post-menopausal women. The primary objectives of the study are to describe the PK parameters of two different dose combinations (estradiol 80 µg/progesterone 4 mg IVR and estradiol 160 µg/progesterone 8 mg IVR) over 28 days, and to identify the steady state PK of each dose combination after 28 days. We currently continue to expect to report topline results of this clinical study by the end of 2020.</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currently anticipated timelines and aggregate costs for the development of our product candidates could be delayed and could increase as a result of the COVID-19 pandemic. See the risk factor titled, </w:t>
      </w:r>
      <w:r>
        <w:rPr>
          <w:rFonts w:ascii="Arial" w:cs="Arial" w:eastAsia="Arial" w:hAnsi="Arial"/>
          <w:sz w:val="18"/>
          <w:szCs w:val="18"/>
          <w:i w:val="1"/>
          <w:iCs w:val="1"/>
          <w:color w:val="auto"/>
        </w:rPr>
        <w:t>The novel coronavirus (COVID-19) pandemic and efforts to reduce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its spread could negatively impact our business, including by increasing the cost and timelines for our clinical development programs, </w:t>
      </w:r>
      <w:r>
        <w:rPr>
          <w:rFonts w:ascii="Arial" w:cs="Arial" w:eastAsia="Arial" w:hAnsi="Arial"/>
          <w:sz w:val="18"/>
          <w:szCs w:val="18"/>
          <w:color w:val="auto"/>
        </w:rPr>
        <w:t>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Item 1A, "Risk Factors,"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response to the spread of COVID-19, in March 2020 we implemented work-from-home and restricted travel policies and, subsequently, the governors of California and Massachusetts, where we have operations, issued statewide stay-at-home orders. While we have systems and technologies in place to enable our employees to work from home, productivity may be adversely impacted and challenge our ability to effectively manage and operate our business. In addition, many of our consultants, partners and vendors on which we rely heavily are subject to similar work and travel restrictions that may adversely impact their ability to perform contracted services in a timely manner or at all. In May 2020, we modified our work-from-home policy such that some of our personnel returned to working in our facilities for a portion or all of their working time. We expect to continue to modify our work-from-home and restricted travel policies as the COVID-19 pandemic and state and local stay-at-home orders evolve. The effect of the COVID-19 pandemic and its associated restrictions may increase the anticipated aggregate costs for the development of our product candidates and may adversely impact our anticipated timelines for the development of our product candidates by, among other things, causing disruptions in the supply chain for our clinical supplies, delays in the timing and pace of subject enrollment in our clinical trials and lower than anticipated subject enrollment and completion rates, delays in the review and approval of our regulatory submissions by the FDA and other agencies with respect to our product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24" w:right="339" w:bottom="1440" w:gutter="0" w:footer="0" w:header="0"/>
        </w:sectPr>
      </w:pPr>
    </w:p>
    <w:bookmarkStart w:id="27" w:name="page28"/>
    <w:bookmarkEnd w:id="27"/>
    <w:p>
      <w:pPr>
        <w:jc w:val="both"/>
        <w:spacing w:after="0" w:line="252" w:lineRule="auto"/>
        <w:rPr>
          <w:sz w:val="20"/>
          <w:szCs w:val="20"/>
          <w:color w:val="auto"/>
        </w:rPr>
      </w:pPr>
      <w:r>
        <w:rPr>
          <w:rFonts w:ascii="Arial" w:cs="Arial" w:eastAsia="Arial" w:hAnsi="Arial"/>
          <w:sz w:val="18"/>
          <w:szCs w:val="18"/>
          <w:color w:val="auto"/>
        </w:rPr>
        <w:t xml:space="preserve">candidates, and other unforeseen disruptions. The economic impact of the COVID-19 pandemic and the uncertainty and volatility in the capital markets it caused and may continue to cause may negatively impact investor sentiment and the availability and cost of capital, and may adversely impact our ability to raise capital when needed or on terms favorable to us and our stockholders to fund our development programs and our operations. We do not yet know the full extent of potential delays or impacts on our business, clinical trial activities, ability to access capital or on healthcare systems or the global economy as a whole. However, these effects could have a material adverse impact on our business and financial condition. See the risk factor titled, </w:t>
      </w:r>
      <w:r>
        <w:rPr>
          <w:rFonts w:ascii="Arial" w:cs="Arial" w:eastAsia="Arial" w:hAnsi="Arial"/>
          <w:sz w:val="18"/>
          <w:szCs w:val="18"/>
          <w:i w:val="1"/>
          <w:iCs w:val="1"/>
          <w:color w:val="auto"/>
        </w:rPr>
        <w:t>The novel coronavirus (COVID-19) pandemic and efforts to reduce 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spread could negatively impact our business, including by increasing the cost and timelines for our clinical development programs, </w:t>
      </w:r>
      <w:r>
        <w:rPr>
          <w:rFonts w:ascii="Arial" w:cs="Arial" w:eastAsia="Arial" w:hAnsi="Arial"/>
          <w:sz w:val="18"/>
          <w:szCs w:val="18"/>
          <w:color w:val="auto"/>
        </w:rPr>
        <w:t>in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Item 1A, "Risk Factors,"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April 22, 2020, we entered into a purchase agreement, or the equity line agreement, and a registration rights agreement with Lincoln Park Capital Fund, LLC, or Lincoln Park. Under the terms and subject to the conditions of the Equity line agreement, we may sell to Lincoln Park up to $15.0 million in shares of our common stock. Such sales of our common stock, if any, will be subject to certain limitations, and may occur from time to time, at our sole discretion, over the 36-month period commencing on the date that a registration statement covering the resale by Lincoln Park of shares that have been and may be issued under the equity line agreement is declared effective by the Securities and Exchange Commission, or the SEC, and the other conditions in the equity line agreement are satisfied. We refer to the date on which all such conditions are satisfied, as the Commencement Date. We filed such a registration statement with the SEC on May 1, 2020 to register the resale by Lincoln Park of up to 7,500,000 shares of the Company’s common stock and it was declared effective on May 12, 2020.</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the Commencement Date, we may direct Lincoln Park to purchase up to $500,000 in shares of our common stock, or the Commencement Purchase. Thereafter, on any business day we may direct Lincoln Park to purchase up to 200,000 shares of our common stock, each, a Regular Purchase; provided that the share amount under a Regular Purchase may be increased to up to 250,000 shares or up to 300,000 shares if the closing sale price of our common stock is not below $1.50 or $3.00, respectively, on the business day on which we initiate the purchase, subject to adjustment for any reorganization, recapitalization, non-cash dividend, stock split or other similar transaction as provided in the equity line agreement. However, Lincoln Park’s maximum commitment in any single Regular Purchase may not exceed $1,000,000. The purchase price per share for the Commencement Purchase and each Regular Purchase will be the lower of (i) the lowest sale price of our common stock on the business day on which we initiate the purchase and (ii) the average of the three lowest closing sale prices of our common stock during the 10-business day period immediately preceding the business day on which we initiate the purchase. In addition to Regular Purchases, we may also direct Lincoln Park to purchase other amounts of common stock as accelerated purchases and as additional accelerated purchases, subject to limits specified in the equity line agreement, at a purchase price per share calculated as specified in the equity line agreement, but in no case lower than the minimum price per share we stipulate in our notice to Lincoln Park initiating these purchases.</w:t>
      </w: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Sales of shares of our common stock to Lincoln Park under the equity line agreement will depend on a variety of factors to be determined by us from time to time, including, among others, market conditions, the trading price of our common stock and our determination as to the appropriate sources of funding for our operations. The net proceeds we receive under the equity line agreement will depend on the frequency and prices at which we sell shares to Lincoln Park. We expect that any proceeds we receive from such sales will be used for working capital and general corporate purposes.</w:t>
      </w:r>
    </w:p>
    <w:p>
      <w:pPr>
        <w:spacing w:after="0" w:line="21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under applicable Nasdaq rules, we may not issue or sell to Lincoln Park under the equity line agreement more than 4,941,089 shares of our common stock, which we refer to as the Exchange Cap, unless (i) we obtain stockholder approval to issue shares in excess of the Exchange Cap or (ii) the average price of all applicable sales of our common stock to Lincoln Park under the equity line agreement equals or exceeds $1.0117 (which represents the closing sale price per share of our common stock on the day before we entered into the equity line agreement, plus an incremental amount), such that issuances and sales of common stock to Lincoln Park under the equity line agreement would not be subject to the Exchange Cap under applicable Nasdaq rules. We may also not sell shares to Lincoln Park under the equity line agreement if it would result in Lincoln Park beneficially owning more than 9.99% of our then outstanding shares of common stock.</w:t>
      </w:r>
    </w:p>
    <w:p>
      <w:pPr>
        <w:spacing w:after="0" w:line="2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connection with entering into the equity line agreement, on April 22, 2020, we issued 285,714 shares of our common stock to Lincoln Park in consideration for its commitment to purchase shares under the equity line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4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License Agreement with Bayer HealthCare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January 10, 2020 we entered into a license agreement with Bayer HealthCare LLC, or Bayer, regarding the further development and commercialization of Ovaprene in the U.S. We received a $1.0 million upfront non-refundable license fee payment from Bayer. We will be responsible for the pivotal trial for Ovaprene and for its development, regulatory activities, and we have product supply obligations. Bayer will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 We will also be entitled to receive (a) milestone payments totaling up to $310.0 million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incurred a loss of approximately $4.3 million for the three months ended March 31, 2020. As of March 31, 2020, we had (a) an accumulated deficit of approximately $48.3 million and (b) cash and cash equivalents of approximately $ 5.0 million. We also had negative cash flow from operations of approximately $6.6 million during the three months ended March 31, 2020. We will need to raise substantial additional capital to continue to fund our operations and to successfully execute our current operating plan, including the development of our current product candidates. The amount and timing of future funding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 For additional information regarding our ability to continue as a going concern, see Note 1 to our unaudited interim consolidated financial statements contained in this report and “Liquidity and Capital Resources and Financial Condition,”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generated any revenue. In the future, and if we are successful in advancing our product candidates through late stages of clinical development, we may generate revenue from license fees, milestone payments, research and development payments in connection with strategic partnerships, as well as royalties and commercial milestones resulting from the sale of products. Our ability to generate such revenue will depend on the successful clinical development of our product candidates, the receipt of regulatory approvals to market such products and the eventual successful commercialization of product candidates.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1460" w:right="20" w:hanging="399"/>
        <w:spacing w:after="0" w:line="26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143" w:lineRule="exact"/>
        <w:rPr>
          <w:rFonts w:ascii="Arial" w:cs="Arial" w:eastAsia="Arial" w:hAnsi="Arial"/>
          <w:sz w:val="18"/>
          <w:szCs w:val="18"/>
          <w:color w:val="auto"/>
        </w:rPr>
      </w:pPr>
    </w:p>
    <w:p>
      <w:pPr>
        <w:ind w:left="1460" w:hanging="399"/>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hanging="399"/>
        <w:spacing w:after="0" w:line="26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 costs related to the acquisitions of companies, technologies and related intellectual property, and other assets; and</w:t>
      </w:r>
    </w:p>
    <w:p>
      <w:pPr>
        <w:spacing w:after="0" w:line="35" w:lineRule="exact"/>
        <w:rPr>
          <w:rFonts w:ascii="Arial" w:cs="Arial" w:eastAsia="Arial" w:hAnsi="Arial"/>
          <w:sz w:val="18"/>
          <w:szCs w:val="18"/>
          <w:color w:val="auto"/>
        </w:rPr>
      </w:pPr>
    </w:p>
    <w:p>
      <w:pPr>
        <w:ind w:left="1460" w:hanging="399"/>
        <w:spacing w:after="0" w:line="26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research and development expenses to increase in the future as we continue to invest in the development of our clinical-stage product candidates and as any other potential product candidates we may develop are advanced into and through clinical trials in the pursuit of regulatory approvals. Such activities will require a significant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Note 1 to our financial statements contained in our 2019 10-K, and Note 2 to our unaudited interim consolidated financial statements contained in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and 2019 (Unaudited)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64"/>
        </w:trPr>
        <w:tc>
          <w:tcPr>
            <w:tcW w:w="66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1,861,765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1,277,180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584,585</w:t>
            </w:r>
          </w:p>
        </w:tc>
      </w:tr>
      <w:tr>
        <w:trPr>
          <w:trHeight w:val="277"/>
        </w:trPr>
        <w:tc>
          <w:tcPr>
            <w:tcW w:w="6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2,379,804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1,693,391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686,413</w:t>
            </w:r>
          </w:p>
        </w:tc>
      </w:tr>
      <w:tr>
        <w:trPr>
          <w:trHeight w:val="263"/>
        </w:trPr>
        <w:tc>
          <w:tcPr>
            <w:tcW w:w="6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License fees</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112,500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56"/>
        </w:trPr>
        <w:tc>
          <w:tcPr>
            <w:tcW w:w="6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4,254,069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3,083,071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1,170,998</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(4,254,069)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(3,083,071)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(1,170,998)</w:t>
            </w:r>
          </w:p>
        </w:tc>
      </w:tr>
      <w:tr>
        <w:trPr>
          <w:trHeight w:val="277"/>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31,231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r>
      <w:tr>
        <w:trPr>
          <w:trHeight w:val="244"/>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(4,252,248)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(3,051,840)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(1,200,408)</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7,621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(30,565)</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(1,230,973)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three months ended March 31, 2020 or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4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increase of $584,585 in general and administrative expenses for the three months ended March 31, 2020 as compared to the three months ended March 31, 2019 was primarily attributable to (i) an increase in expenses for accounting, legal, and professional services of approximately $272,000, (ii) an increase in personnel costs of approximately $136,000, (iii) an increase in insurance costs of approximately $47,000, (iv) an increase in stock-based compensation expense of approximately $41,000, (v) an increase in information technology expense of approximately $25,000, and (vi) an increase in rent expense of approximately $19,000 due to the addition of two leases acquired in conjunction with the acquisition of Microchips.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increase of $686,413 in research and development expenses for the three months ended March 31, 2020 as compared to the three months ended March 31, 2019 was primarily attributable to (i) an increase in pre-clinical development activities of approximately $902,000 for our microchip-based contraceptive application, which we acquired in November 2019, (ii) an increase in costs related to development activities of approximately $ 893,000 for DARE-BV1, Ovaprene, DARE-HRT1 and DARE-VVA1, (iii) an increase in personnel costs of approximately $132,000 and (iv) an increase in stock-based compensation expense of approximately $22,000. Those increases were partially offset by (x) an increase in grant funding recorded as a reduction to research and development expenses of approximately $132,000 related to Ovaprene and approximately $978,000 related to preclinical expenses for our microchip-based contraceptive application,</w:t>
      </w:r>
    </w:p>
    <w:p>
      <w:pPr>
        <w:spacing w:after="0" w:line="3" w:lineRule="exact"/>
        <w:rPr>
          <w:sz w:val="20"/>
          <w:szCs w:val="20"/>
          <w:color w:val="auto"/>
        </w:rPr>
      </w:pPr>
    </w:p>
    <w:p>
      <w:pPr>
        <w:ind w:right="20" w:firstLine="8"/>
        <w:spacing w:after="0" w:line="261" w:lineRule="auto"/>
        <w:tabs>
          <w:tab w:leader="none" w:pos="2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costs related to development activities of approximately $74,000 for Sildenafil Cream, 3.6%, and DARE-FRT1 and (z) a decrease in costs related to pre-clinical development activities of approximately $79,000.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March 31, 2020 we accrued $12,500 of the $50,000 license maintenance fee payable in the second quarter of 2020 under our license agreement related to DARE-HRT1.</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license fees expense of $112,500 for the three months ended March 31, 2019 related to the accrual of deferred license fees due under our license agreement related to DARE-BV1.</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unaudited interim consolidated financial statements contained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decrease of $29,410 in other income for the three months ended March 31, 2020 as compared to the three months ended March 31, 2019 was primarily due to a decrease in interest earned on cash balances in the current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 These circumstances raise substantial doubt about our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March 31, 2020, our accumulated deficit was approximately $48.3 million, our cash and cash equivalents were approximately $5.0 million, and our working capital was approximately $4.6 million. We incurred a loss from operations of approximately $4.3 million, and had negative cash flow from operations of approximately $6.6 million during the three months ended March 31, 2020.</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2018, we entered into a common stock sales agreement, or our ATM agreement, under which we may sell shares of our common stock from time to time in "at-the-market" equity offerings (as defined in Rule 415 promulgated under the Securities Act of 1933, as amended). Under the terms and subject to the conditions of our equity line agreement we entered into in April 2020, we may sell up to $15.0 million in shares of our common stock to Lincoln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65" w:right="3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 xml:space="preserve">Park. As of the date of this report, the conditions that must be satisfied before we can begin to sell shares of our common stock under our equity line agreement have not been satisfied. See "—Recent Events—Equity Line," above. Our ability to raise capital under our ATM agreement and equity line agreement is subject to certain limitations. See the risk factor titled, </w:t>
      </w:r>
      <w:r>
        <w:rPr>
          <w:rFonts w:ascii="Arial" w:cs="Arial" w:eastAsia="Arial" w:hAnsi="Arial"/>
          <w:sz w:val="18"/>
          <w:szCs w:val="18"/>
          <w:i w:val="1"/>
          <w:iCs w:val="1"/>
          <w:color w:val="auto"/>
        </w:rPr>
        <w:t>The sale of our common stock through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ATM sales agreement or our equity line agreement may cause substantial dilution to our existing stockholders, and such sales, or the anticipation of such sales, may cause the price of our common stock to decline, </w:t>
      </w:r>
      <w:r>
        <w:rPr>
          <w:rFonts w:ascii="Arial" w:cs="Arial" w:eastAsia="Arial" w:hAnsi="Arial"/>
          <w:sz w:val="18"/>
          <w:szCs w:val="18"/>
          <w:color w:val="auto"/>
        </w:rPr>
        <w:t>in Part II, Item 1A, "Risk Factors," below.</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used to fund our operations comes from a variety of sources. During the three months ended March 31, 2020, we received</w:t>
      </w:r>
    </w:p>
    <w:p>
      <w:pPr>
        <w:spacing w:after="0" w:line="9" w:lineRule="exact"/>
        <w:rPr>
          <w:sz w:val="20"/>
          <w:szCs w:val="20"/>
          <w:color w:val="auto"/>
        </w:rPr>
      </w:pPr>
    </w:p>
    <w:p>
      <w:pPr>
        <w:jc w:val="both"/>
        <w:ind w:firstLine="8"/>
        <w:spacing w:after="0" w:line="251" w:lineRule="auto"/>
        <w:tabs>
          <w:tab w:leader="none" w:pos="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million upfront non-refundable license fee payment under our license agreement with Bayer HealthCare, LLC, (2) approximately $5.2 million in net proceeds from the sales of an aggregate of 3,308,003 shares of our common stock under our ATM agreement; and (3) approximately $1.7 million upon the exercise of warrants to purchase 1.7 million shares of our common stock. Subsequent to March 31, 2020 and through May 12, 2020, we received (1) approximately $2.0 million in net proceeds from the sales of an aggregate of 1,864,485 shares of our common stock under our ATM agreement; (2) approximately $428,000 under an existing grant from the National Institutes of Health that funded a portion of the Ovaprene PCT clinical study costs; and (3) received a loan of approximately $367,000 under the Paycheck Protection Program of the Coronavirus Aid, Relief, and Economic Security Act administered by the U.S. Small Business Administration. For further discussion of the Paycheck Protection Program loan, see Note 11 to our unaudited interim consolidated financial statements contained in this report.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continue to expect our expenses to increase significantly in 2020 as compared to 2019 as we continue the development of our product candidates, with a focus on DARE-BV1, Sildenafil Cream, 3.6%, Ovaprene, and DARE-HRT1, as discussed above, and as we incur license expenses associated therewith. We also expect that delaying commencement of our planned clinical study of Ovaprene in light of disruptions resulting from the COVID-19 pandemic will result in significantly less research and development expenses in 2020 than previously anticipated.</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16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Based on our current operating plan estimates, we will not have sufficient cash to satisfy our working capital needs and other liquidity requirements over at least the next 12 months from the date of issuance of the accompanying interim consolidated financial statements.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will continue to seek to raise capital through the sale of shares of our common stock under our ATM agreement and our equity line agreement, if and when the conditions required to be satisfied to beginning selling thereunder are satisfied, however, when we can effect such sales and the amount of shares we can sell under these agreements depends on a variety of factors to be determined by us from time to time, including, among others, market conditions, the trading price of our common stock and our determination as to the appropriate sources of funding for our operations. We are also currently evaluating a variety of capital raising options, including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spacing w:after="0" w:line="1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us and our stockholders, and the uncertainty and volatility in the capital markets caused by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71" w:right="339" w:bottom="1440" w:gutter="0" w:footer="0" w:header="0"/>
        </w:sectPr>
      </w:pPr>
    </w:p>
    <w:bookmarkStart w:id="32" w:name="page33"/>
    <w:bookmarkEnd w:id="32"/>
    <w:p>
      <w:pPr>
        <w:jc w:val="both"/>
        <w:spacing w:after="0" w:line="252" w:lineRule="auto"/>
        <w:rPr>
          <w:sz w:val="20"/>
          <w:szCs w:val="20"/>
          <w:color w:val="auto"/>
        </w:rPr>
      </w:pPr>
      <w:r>
        <w:rPr>
          <w:rFonts w:ascii="Arial" w:cs="Arial" w:eastAsia="Arial" w:hAnsi="Arial"/>
          <w:sz w:val="18"/>
          <w:szCs w:val="18"/>
          <w:color w:val="auto"/>
        </w:rPr>
        <w:t>COVID-19 pandemic may negatively impact the availability and cost of capital and investor sentiment.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40" w:type="dxa"/>
            <w:vAlign w:val="bottom"/>
          </w:tcPr>
          <w:p>
            <w:pPr>
              <w:ind w:left="28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(6,597,546)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(3,308,484)</w:t>
            </w:r>
          </w:p>
        </w:tc>
      </w:tr>
      <w:tr>
        <w:trPr>
          <w:trHeight w:val="277"/>
        </w:trPr>
        <w:tc>
          <w:tcPr>
            <w:tcW w:w="8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6,887,708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81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7,621</w:t>
            </w:r>
          </w:p>
        </w:tc>
      </w:tr>
      <w:tr>
        <w:trPr>
          <w:trHeight w:val="250"/>
        </w:trPr>
        <w:tc>
          <w:tcPr>
            <w:tcW w:w="81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(3,300,863)</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three months ended March 31, 2020 included the net loss of $4.3 million, decreased by non-cash stock-based compensation expense of approximately $161,000. Components providing operating cash were a $448,000 increase in accounts payable, an increase of $1.0 million in deferred license revenue and a decrease in other receivables of $125,000. Components reducing operating cash were a $2.7 million increase in prepaid expenses, a $408,000 decrease in accrued expenses and a $931,000 decrease in deferred grant funding.</w:t>
      </w:r>
    </w:p>
    <w:p>
      <w:pPr>
        <w:spacing w:after="0" w:line="3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three months ended March 31, 2019 included the net loss of $3.1 million, decreased by non-cash stock-based compensation expense of $98,000. Major components reducing operating cash in this period were a $201,000 increase in prepaid expenses, a $136,000 increase in other receivables, and a $134,000 decrease of accounts payable. Components providing operating cash in this period were a $59,000 increase of accrued expenses and a $55,000 increase in other non-current assets and deferred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financing activities for the three months ended March 31, 2020 consisted of approximately $5.2 million of net proceeds from the sales of an aggregate of 3,308,003 shares of our common stock in "at-the-market" offerings completed during the quarter and approximately $1.7 million upon the exercise of warrants to purchase 1.7 million shares of our common stock.</w:t>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cash was provided by financing activities for the three months ended March 31,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cash was provided by or used in investing activities for the three months ended March 31, 2020 and March 31,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3 to our unaudited interim consolidated financial statements contained in this report.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0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conclusion of the three months ended March 31, 2020,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March 31, 2020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2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2019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2019 10-K other than as described below:</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novel coronavirus (COVID-19) pandemic and efforts to reduce its spread could negatively impact our business, including by increasing the cost and timelines for our clinical development programs.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COVID-19 pandemic and efforts to reduce its spread remain a rapidly evolving and uncertain risk to our business, operating results, financial condition and stock price. In large part, the extent to which the pandemic affects us will depend on future developments that are beyond our knowledge or control, including, but not limited to, the duration and severity of the pandemic, governmental and individual organization actions and policies implemented to reduce transmission of the disease, and the speed with which and degree to which normal economic and operating conditions resume.</w:t>
      </w:r>
    </w:p>
    <w:p>
      <w:pPr>
        <w:spacing w:after="0" w:line="1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longer the COVID-19 pandemic persists, the greater the potential for significant adverse impact to our business operations and those of the contract research organizations (CROs), contract manufacturing organizations (CMOs) and other third-party consultants and vendors on which we depend to, among other things, conduct our clinical and nonclinical studies, supply our clinical trial materials, and assist with regulatory affairs necessary to advance our programs.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research and development activities and production and supply of clinical trial materials.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increase in personnel working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COVID-19 pandemic could cause delays in current timelines for our planned clinical studies. As of the date of this report, we expect to commence and conduct our planned clinical studies such that we can report topline data for the Phase 3 study of DARE-BV1 and the Phase 1 study of DARE-HRT1 in 2020, the Phase 2b study of Sildenafil Cream, 3.6% in 2021, and the pivotal study of Ovaprene in 2022. However, the COVID-19 pandemic may adversely impact these expectations. For example, clinical site initiation and/or patient enrollment may be significantly delayed or suspended as a result of personnel and other resource constraints of healthcare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the COVID-19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We currently do not have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24"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adequate capital to complete all of our planned clinical studies on our current timelines. If we cannot raise capital when needed, on favorable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a key aspect of our business strategy is to seek collaborations with partners, such as large pharmaceutical companies, that are willing to conduct later-stage clinical trials and further develop and commercialize our product candidates. As a result of the COVID-19 pandemic, potential and current partners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 We do not have, and do not currently plan to develop, the internal sales, marketing and distribution infrastructure necessary to independently market and sell our product candidates, if approved.</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not developed a specific and comprehensive contingency plan designed to address the challenges and risks presented by the COVID-19 pandemic and, even if and when we do develop such a plan, there can be no assurance that such plan will be effective in mitigating the potential adverse effects on our business, financial condition and results of operations.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extent to which the COVID-19 pandemic and efforts to reduce its spread impacts our business, financial condition and results of operations is uncertain and cannot be predicted with reasonable accuracy at this time and will depend on future developments that are also uncertain and cannot be predicted with reasonable accuracy at this time, including new information that may emerge concerning the degree to which COVID-19 is contagious and virulent, the effect of actions taken in the United States and other countries to contain and treat COVID-19, and further actions implemented to contain and treat the disease and its impact, among others.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COVID-19 pandemic may also have the effect of heightening many of the other risks and uncertainties described the “Risk Factors” section of our 2019 10-K.</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 of our common stock through our ATM sales agreement or our equity line agreement may cause substantial dilution to our existing stockholders, and such sales, or the anticipation of such sales, may cause the price of our common stock to decline.</w:t>
      </w:r>
    </w:p>
    <w:p>
      <w:pPr>
        <w:spacing w:after="0" w:line="1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January 2018, we entered into a common stock sales agreement with H.C. Wainwright &amp; Co., LLC, in connection with an “at the market” offering, under which, from time to time, we may offer and sell shares of our common stock. We refer to this agreement as our “ATM agreement.” In April 2020, we entered into a purchase agreement with Lincoln Park Capital Fund, LLC, pursuant to which Lincoln Park is obligated to purchase up to $15.0 million in shares of our common stock, at our sole discretion, subject to the terms and conditions set forth in the agreement, including that a registration statement covering the resale by Lincoln Park of shares that have been and may be issued under the purchase agreement is declared effective by the SEC. We refer to this agreement as our “equity line agreement.” The purchase price for the shares we may sell under our equity line agreement will vary based the market price of our common stock at the time we initiate a sale. Although we have the right to control whether we sell any shares, if at all, under these agreements, and we generally have the right to control the timing and amount of any such sales, we are subject to certain restrictions, including those that limit the number of shares we may sell. For example, based on our current public float, during any 12-month period, we may not sell securities under our shelf registration statement pursuant to General Instruction I.B.6 to Form S-3 having an aggregate market value of more than one-third of our public float, which limits the amount of shares we can sell under our ATM agreement. In addition, with respect to our equity line agreement, we may not sell shares to Lincoln Park in excess of the Exchange Cap (unless we obtain stockholder approval or the average price per share of all sales to Lincoln Park equals or exceeds $1.0117) or if selling such shares would result in Lincoln Park beneficially owning more than 9.99% of our then outstanding shares of common stock. Accordingly, we may not be able to utilize our ATM agreement or our equity line agreement to raise additional capital when, or in the amounts, we desire. However, to the extent we do sell shares of our common stock under these agreements, such sales may result in substantial dilution to our existing stockholders, and such sales, or the anticipation of such sales, may cause the trading price of our common stock to decline.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7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6" w:lineRule="exact"/>
        <w:rPr>
          <w:sz w:val="20"/>
          <w:szCs w:val="20"/>
          <w:color w:val="auto"/>
        </w:rPr>
      </w:pPr>
    </w:p>
    <w:p>
      <w:pPr>
        <w:ind w:left="1520" w:hanging="864"/>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520" w:hanging="864"/>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520" w:hanging="864"/>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139"/>
          </w:cols>
          <w:pgMar w:left="320" w:top="724"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9"/>
        </w:trPr>
        <w:tc>
          <w:tcPr>
            <w:tcW w:w="5540" w:type="dxa"/>
            <w:vAlign w:val="bottom"/>
            <w:gridSpan w:val="20"/>
          </w:tcPr>
          <w:p>
            <w:pPr>
              <w:spacing w:after="0"/>
              <w:rPr>
                <w:sz w:val="20"/>
                <w:szCs w:val="20"/>
                <w:color w:val="auto"/>
              </w:rPr>
            </w:pPr>
            <w:r>
              <w:rPr>
                <w:rFonts w:ascii="Arial" w:cs="Arial" w:eastAsia="Arial" w:hAnsi="Arial"/>
                <w:sz w:val="18"/>
                <w:szCs w:val="18"/>
                <w:b w:val="1"/>
                <w:bCs w:val="1"/>
                <w:color w:val="auto"/>
              </w:rPr>
              <w:t>Item 6. Exhibits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6"/>
          </w:tcPr>
          <w:p>
            <w:pPr>
              <w:ind w:left="540"/>
              <w:spacing w:after="0"/>
              <w:rPr>
                <w:sz w:val="20"/>
                <w:szCs w:val="20"/>
                <w:color w:val="auto"/>
              </w:rPr>
            </w:pPr>
            <w:r>
              <w:rPr>
                <w:rFonts w:ascii="Arial" w:cs="Arial" w:eastAsia="Arial" w:hAnsi="Arial"/>
                <w:sz w:val="18"/>
                <w:szCs w:val="18"/>
                <w:b w:val="1"/>
                <w:bCs w:val="1"/>
                <w:color w:val="auto"/>
              </w:rPr>
              <w:t>Incorporated by Reference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40" w:type="dxa"/>
            <w:vAlign w:val="bottom"/>
            <w:gridSpan w:val="2"/>
          </w:tcPr>
          <w:p>
            <w:pPr>
              <w:ind w:left="220"/>
              <w:spacing w:after="0" w:line="193" w:lineRule="exact"/>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46"/>
        </w:trPr>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16"/>
          </w:tcPr>
          <w:p>
            <w:pPr>
              <w:ind w:left="1060"/>
              <w:spacing w:after="0"/>
              <w:rPr>
                <w:sz w:val="20"/>
                <w:szCs w:val="20"/>
                <w:color w:val="auto"/>
              </w:rPr>
            </w:pPr>
            <w:r>
              <w:rPr>
                <w:rFonts w:ascii="Arial" w:cs="Arial" w:eastAsia="Arial" w:hAnsi="Arial"/>
                <w:sz w:val="18"/>
                <w:szCs w:val="18"/>
                <w:b w:val="1"/>
                <w:bCs w:val="1"/>
                <w:color w:val="auto"/>
              </w:rPr>
              <w:t>Description of Exhibit</w:t>
            </w:r>
          </w:p>
        </w:tc>
        <w:tc>
          <w:tcPr>
            <w:tcW w:w="120" w:type="dxa"/>
            <w:vAlign w:val="bottom"/>
          </w:tcPr>
          <w:p>
            <w:pPr>
              <w:spacing w:after="0"/>
              <w:rPr>
                <w:sz w:val="21"/>
                <w:szCs w:val="21"/>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b w:val="1"/>
                <w:bCs w:val="1"/>
                <w:color w:val="auto"/>
              </w:rPr>
              <w:t>File No.</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24"/>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10.13(b)*</w:t>
            </w:r>
          </w:p>
        </w:tc>
        <w:tc>
          <w:tcPr>
            <w:tcW w:w="160" w:type="dxa"/>
            <w:vAlign w:val="bottom"/>
          </w:tcPr>
          <w:p>
            <w:pPr>
              <w:spacing w:after="0"/>
              <w:rPr>
                <w:sz w:val="24"/>
                <w:szCs w:val="24"/>
                <w:color w:val="auto"/>
              </w:rPr>
            </w:pPr>
          </w:p>
        </w:tc>
        <w:tc>
          <w:tcPr>
            <w:tcW w:w="36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Amendment No. 1 to Employment Agreement</w:t>
              </w:r>
            </w:hyperlink>
          </w:p>
        </w:tc>
        <w:tc>
          <w:tcPr>
            <w:tcW w:w="6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between Daré Bioscience, Inc. and Sabrina</w:t>
              </w:r>
            </w:hyperlink>
          </w:p>
        </w:tc>
        <w:tc>
          <w:tcPr>
            <w:tcW w:w="780" w:type="dxa"/>
            <w:vAlign w:val="bottom"/>
            <w:gridSpan w:val="10"/>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17"/>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Martucci Johnson dated as of March 9, 2020</w:t>
              </w:r>
            </w:hyperlink>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10.14(b)*</w:t>
            </w:r>
          </w:p>
        </w:tc>
        <w:tc>
          <w:tcPr>
            <w:tcW w:w="160" w:type="dxa"/>
            <w:vAlign w:val="bottom"/>
          </w:tcPr>
          <w:p>
            <w:pPr>
              <w:spacing w:after="0"/>
              <w:rPr>
                <w:sz w:val="24"/>
                <w:szCs w:val="24"/>
                <w:color w:val="auto"/>
              </w:rPr>
            </w:pPr>
          </w:p>
        </w:tc>
        <w:tc>
          <w:tcPr>
            <w:tcW w:w="36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Amendment No. 1 to Employment Agreement</w:t>
              </w:r>
            </w:hyperlink>
          </w:p>
        </w:tc>
        <w:tc>
          <w:tcPr>
            <w:tcW w:w="6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8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44">
              <w:r>
                <w:rPr>
                  <w:rFonts w:ascii="Arial" w:cs="Arial" w:eastAsia="Arial" w:hAnsi="Arial"/>
                  <w:sz w:val="18"/>
                  <w:szCs w:val="18"/>
                  <w:color w:val="0000FF"/>
                  <w:w w:val="99"/>
                </w:rPr>
                <w:t>between Daré Bioscience, Inc. and Lisa Walters-</w:t>
              </w:r>
            </w:hyperlink>
          </w:p>
        </w:tc>
        <w:tc>
          <w:tcPr>
            <w:tcW w:w="36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40" w:type="dxa"/>
            <w:vAlign w:val="bottom"/>
            <w:gridSpan w:val="17"/>
          </w:tcPr>
          <w:p>
            <w:pPr>
              <w:spacing w:after="0" w:line="182" w:lineRule="exact"/>
              <w:rPr>
                <w:rFonts w:ascii="Arial" w:cs="Arial" w:eastAsia="Arial" w:hAnsi="Arial"/>
                <w:sz w:val="18"/>
                <w:szCs w:val="18"/>
                <w:color w:val="0000FF"/>
              </w:rPr>
            </w:pPr>
            <w:hyperlink w:anchor="page44">
              <w:r>
                <w:rPr>
                  <w:rFonts w:ascii="Arial" w:cs="Arial" w:eastAsia="Arial" w:hAnsi="Arial"/>
                  <w:sz w:val="18"/>
                  <w:szCs w:val="18"/>
                  <w:color w:val="0000FF"/>
                </w:rPr>
                <w:t>Hoffert dated as of March 9, 2020</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20"/>
                <w:szCs w:val="20"/>
                <w:color w:val="auto"/>
              </w:rPr>
              <w:t>10-K</w:t>
            </w:r>
          </w:p>
        </w:tc>
        <w:tc>
          <w:tcPr>
            <w:tcW w:w="1120" w:type="dxa"/>
            <w:vAlign w:val="bottom"/>
            <w:vMerge w:val="restart"/>
          </w:tcPr>
          <w:p>
            <w:pPr>
              <w:jc w:val="right"/>
              <w:ind w:right="46"/>
              <w:spacing w:after="0"/>
              <w:rPr>
                <w:sz w:val="20"/>
                <w:szCs w:val="20"/>
                <w:color w:val="auto"/>
              </w:rPr>
            </w:pPr>
            <w:r>
              <w:rPr>
                <w:rFonts w:ascii="Arial" w:cs="Arial" w:eastAsia="Arial" w:hAnsi="Arial"/>
                <w:sz w:val="20"/>
                <w:szCs w:val="20"/>
                <w:color w:val="auto"/>
              </w:rPr>
              <w:t>001-36395</w:t>
            </w:r>
          </w:p>
        </w:tc>
        <w:tc>
          <w:tcPr>
            <w:tcW w:w="120" w:type="dxa"/>
            <w:vAlign w:val="bottom"/>
          </w:tcPr>
          <w:p>
            <w:pPr>
              <w:spacing w:after="0" w:line="20" w:lineRule="exact"/>
              <w:rPr>
                <w:sz w:val="1"/>
                <w:szCs w:val="1"/>
                <w:color w:val="auto"/>
              </w:rPr>
            </w:pPr>
          </w:p>
        </w:tc>
        <w:tc>
          <w:tcPr>
            <w:tcW w:w="1220" w:type="dxa"/>
            <w:vAlign w:val="bottom"/>
            <w:vMerge w:val="restart"/>
          </w:tcPr>
          <w:p>
            <w:pPr>
              <w:jc w:val="right"/>
              <w:ind w:right="226"/>
              <w:spacing w:after="0"/>
              <w:rPr>
                <w:sz w:val="20"/>
                <w:szCs w:val="20"/>
                <w:color w:val="auto"/>
              </w:rPr>
            </w:pPr>
            <w:r>
              <w:rPr>
                <w:rFonts w:ascii="Arial" w:cs="Arial" w:eastAsia="Arial" w:hAnsi="Arial"/>
                <w:sz w:val="20"/>
                <w:szCs w:val="20"/>
                <w:color w:val="auto"/>
                <w:w w:val="98"/>
              </w:rPr>
              <w:t>3/27/2020</w:t>
            </w:r>
          </w:p>
        </w:tc>
        <w:tc>
          <w:tcPr>
            <w:tcW w:w="120" w:type="dxa"/>
            <w:vAlign w:val="bottom"/>
          </w:tcPr>
          <w:p>
            <w:pPr>
              <w:spacing w:after="0" w:line="20" w:lineRule="exact"/>
              <w:rPr>
                <w:sz w:val="1"/>
                <w:szCs w:val="1"/>
                <w:color w:val="auto"/>
              </w:rPr>
            </w:pPr>
          </w:p>
        </w:tc>
        <w:tc>
          <w:tcPr>
            <w:tcW w:w="1000" w:type="dxa"/>
            <w:vAlign w:val="bottom"/>
            <w:vMerge w:val="restart"/>
          </w:tcPr>
          <w:p>
            <w:pPr>
              <w:ind w:left="20"/>
              <w:spacing w:after="0"/>
              <w:rPr>
                <w:sz w:val="20"/>
                <w:szCs w:val="20"/>
                <w:color w:val="auto"/>
              </w:rPr>
            </w:pPr>
            <w:r>
              <w:rPr>
                <w:rFonts w:ascii="Arial" w:cs="Arial" w:eastAsia="Arial" w:hAnsi="Arial"/>
                <w:sz w:val="20"/>
                <w:szCs w:val="20"/>
                <w:color w:val="auto"/>
              </w:rPr>
              <w:t>10.16+</w:t>
            </w: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Borders>
              <w:bottom w:val="single" w:sz="8" w:color="0000FF"/>
            </w:tcBorders>
            <w:gridSpan w:val="13"/>
          </w:tcPr>
          <w:p>
            <w:pPr>
              <w:spacing w:after="0"/>
              <w:rPr>
                <w:rFonts w:ascii="Arial" w:cs="Arial" w:eastAsia="Arial" w:hAnsi="Arial"/>
                <w:sz w:val="18"/>
                <w:szCs w:val="18"/>
                <w:color w:val="0000FF"/>
                <w:w w:val="99"/>
              </w:rPr>
            </w:pPr>
            <w:hyperlink r:id="rId31">
              <w:r>
                <w:rPr>
                  <w:rFonts w:ascii="Arial" w:cs="Arial" w:eastAsia="Arial" w:hAnsi="Arial"/>
                  <w:sz w:val="18"/>
                  <w:szCs w:val="18"/>
                  <w:color w:val="0000FF"/>
                  <w:w w:val="99"/>
                </w:rPr>
                <w:t>License Agreement dated as of January 10, 2020</w:t>
              </w:r>
            </w:hyperlink>
          </w:p>
        </w:tc>
        <w:tc>
          <w:tcPr>
            <w:tcW w:w="300" w:type="dxa"/>
            <w:vAlign w:val="bottom"/>
            <w:gridSpan w:val="4"/>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between Bayer HealthCare LLC and Daré</w:t>
              </w:r>
            </w:hyperlink>
          </w:p>
        </w:tc>
        <w:tc>
          <w:tcPr>
            <w:tcW w:w="90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40" w:type="dxa"/>
            <w:vAlign w:val="bottom"/>
            <w:gridSpan w:val="17"/>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Bioscience, Inc.</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Certification of principal executive officer pursuant</w:t>
              </w:r>
            </w:hyperlink>
          </w:p>
        </w:tc>
        <w:tc>
          <w:tcPr>
            <w:tcW w:w="2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to Rule 13a-14(a)/15d-14(a) of the Securities</w:t>
              </w:r>
            </w:hyperlink>
          </w:p>
        </w:tc>
        <w:tc>
          <w:tcPr>
            <w:tcW w:w="660" w:type="dxa"/>
            <w:vAlign w:val="bottom"/>
            <w:gridSpan w:val="8"/>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Exchange Act of 1934, as amended</w:t>
              </w:r>
            </w:hyperlink>
          </w:p>
        </w:tc>
        <w:tc>
          <w:tcPr>
            <w:tcW w:w="1380" w:type="dxa"/>
            <w:vAlign w:val="bottom"/>
            <w:gridSpan w:val="14"/>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of principal financial officer pursuant to</w:t>
              </w:r>
            </w:hyperlink>
          </w:p>
        </w:tc>
        <w:tc>
          <w:tcPr>
            <w:tcW w:w="1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Rule 13a-14(a)/15d-14(a) of the Securities</w:t>
              </w:r>
            </w:hyperlink>
          </w:p>
        </w:tc>
        <w:tc>
          <w:tcPr>
            <w:tcW w:w="86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Exchange Act of 1934, as amended</w:t>
              </w:r>
            </w:hyperlink>
          </w:p>
        </w:tc>
        <w:tc>
          <w:tcPr>
            <w:tcW w:w="1380" w:type="dxa"/>
            <w:vAlign w:val="bottom"/>
            <w:gridSpan w:val="14"/>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of principal executive officer pursuant</w:t>
              </w:r>
            </w:hyperlink>
          </w:p>
        </w:tc>
        <w:tc>
          <w:tcPr>
            <w:tcW w:w="26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to 18 U.S.C. §1350, as adopted pursuant to</w:t>
              </w:r>
            </w:hyperlink>
          </w:p>
        </w:tc>
        <w:tc>
          <w:tcPr>
            <w:tcW w:w="760" w:type="dxa"/>
            <w:vAlign w:val="bottom"/>
            <w:gridSpan w:val="9"/>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1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Section 906 of the Sarbanes-Oxley Act of 2002</w:t>
              </w:r>
            </w:hyperlink>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of principal financial officer pursuant to</w:t>
              </w:r>
            </w:hyperlink>
          </w:p>
        </w:tc>
        <w:tc>
          <w:tcPr>
            <w:tcW w:w="1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40" w:type="dxa"/>
            <w:vAlign w:val="bottom"/>
            <w:gridSpan w:val="17"/>
          </w:tcPr>
          <w:p>
            <w:pPr>
              <w:spacing w:after="0" w:line="182" w:lineRule="exact"/>
              <w:rPr>
                <w:rFonts w:ascii="Arial" w:cs="Arial" w:eastAsia="Arial" w:hAnsi="Arial"/>
                <w:sz w:val="18"/>
                <w:szCs w:val="18"/>
                <w:color w:val="0000FF"/>
              </w:rPr>
            </w:pPr>
            <w:hyperlink w:anchor="page49">
              <w:r>
                <w:rPr>
                  <w:rFonts w:ascii="Arial" w:cs="Arial" w:eastAsia="Arial" w:hAnsi="Arial"/>
                  <w:sz w:val="18"/>
                  <w:szCs w:val="18"/>
                  <w:color w:val="0000FF"/>
                </w:rPr>
                <w:t>18 U.S.C. §1350, as adopted pursuant to Section</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49">
              <w:r>
                <w:rPr>
                  <w:rFonts w:ascii="Arial" w:cs="Arial" w:eastAsia="Arial" w:hAnsi="Arial"/>
                  <w:sz w:val="18"/>
                  <w:szCs w:val="18"/>
                  <w:color w:val="0000FF"/>
                </w:rPr>
                <w:t>906 of the Sarbanes-Oxley Act of 2002</w:t>
              </w:r>
            </w:hyperlink>
          </w:p>
        </w:tc>
        <w:tc>
          <w:tcPr>
            <w:tcW w:w="3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11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77"/>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5520" w:right="5140" w:hanging="5041"/>
        <w:spacing w:after="0" w:line="414"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34</w:t>
      </w:r>
    </w:p>
    <w:p>
      <w:pPr>
        <w:sectPr>
          <w:pgSz w:w="11900" w:h="16838" w:orient="portrait"/>
          <w:cols w:equalWidth="0" w:num="1">
            <w:col w:w="11240"/>
          </w:cols>
          <w:pgMar w:left="320" w:top="724" w:right="339" w:bottom="1440" w:gutter="0" w:footer="0" w:header="0"/>
        </w:sectPr>
      </w:pPr>
    </w:p>
    <w:bookmarkStart w:id="39" w:name="page40"/>
    <w:bookmarkEnd w:id="39"/>
    <w:p>
      <w:pPr>
        <w:ind w:left="840" w:right="260" w:hanging="838"/>
        <w:spacing w:after="0" w:line="246"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601(b)(10). The omitted information is not material and would likely cause competitive harm to the Company if publicly disclosed.</w:t>
      </w:r>
    </w:p>
    <w:p>
      <w:pPr>
        <w:spacing w:after="0" w:line="35" w:lineRule="exact"/>
        <w:rPr>
          <w:sz w:val="20"/>
          <w:szCs w:val="20"/>
          <w:color w:val="auto"/>
        </w:rPr>
      </w:pPr>
    </w:p>
    <w:p>
      <w:pPr>
        <w:ind w:left="840" w:hanging="836"/>
        <w:spacing w:after="0" w:line="238"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40"/>
          </w:cols>
          <w:pgMar w:left="780" w:top="733" w:right="3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Daré Bioscience, Inc.</w:t>
            </w:r>
          </w:p>
        </w:tc>
      </w:tr>
      <w:tr>
        <w:trPr>
          <w:trHeight w:val="601"/>
        </w:trPr>
        <w:tc>
          <w:tcPr>
            <w:tcW w:w="3420" w:type="dxa"/>
            <w:vAlign w:val="bottom"/>
          </w:tcPr>
          <w:p>
            <w:pPr>
              <w:spacing w:after="0"/>
              <w:rPr>
                <w:sz w:val="20"/>
                <w:szCs w:val="20"/>
                <w:color w:val="auto"/>
              </w:rPr>
            </w:pPr>
            <w:r>
              <w:rPr>
                <w:rFonts w:ascii="Arial" w:cs="Arial" w:eastAsia="Arial" w:hAnsi="Arial"/>
                <w:sz w:val="18"/>
                <w:szCs w:val="18"/>
                <w:color w:val="auto"/>
              </w:rPr>
              <w:t>Date: May 14, 2020</w:t>
            </w:r>
          </w:p>
        </w:tc>
        <w:tc>
          <w:tcPr>
            <w:tcW w:w="2280" w:type="dxa"/>
            <w:vAlign w:val="bottom"/>
          </w:tcPr>
          <w:p>
            <w:pPr>
              <w:ind w:left="18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Sabrina Martucci Johnson</w:t>
            </w:r>
          </w:p>
        </w:tc>
      </w:tr>
      <w:tr>
        <w:trPr>
          <w:trHeight w:val="243"/>
        </w:trPr>
        <w:tc>
          <w:tcPr>
            <w:tcW w:w="34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Sabrina Martucci Johnson</w:t>
            </w:r>
          </w:p>
        </w:tc>
      </w:tr>
      <w:tr>
        <w:trPr>
          <w:trHeight w:val="256"/>
        </w:trPr>
        <w:tc>
          <w:tcPr>
            <w:tcW w:w="34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420" w:type="dxa"/>
            <w:vAlign w:val="bottom"/>
          </w:tcPr>
          <w:p>
            <w:pPr>
              <w:spacing w:after="0"/>
              <w:rPr>
                <w:sz w:val="20"/>
                <w:szCs w:val="20"/>
                <w:color w:val="auto"/>
              </w:rPr>
            </w:pPr>
            <w:r>
              <w:rPr>
                <w:rFonts w:ascii="Arial" w:cs="Arial" w:eastAsia="Arial" w:hAnsi="Arial"/>
                <w:sz w:val="18"/>
                <w:szCs w:val="18"/>
                <w:color w:val="auto"/>
              </w:rPr>
              <w:t>Date: May 14, 2020</w:t>
            </w:r>
          </w:p>
        </w:tc>
        <w:tc>
          <w:tcPr>
            <w:tcW w:w="2280" w:type="dxa"/>
            <w:vAlign w:val="bottom"/>
          </w:tcPr>
          <w:p>
            <w:pPr>
              <w:ind w:left="18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Lisa Walters-Hoffert</w:t>
            </w:r>
          </w:p>
        </w:tc>
      </w:tr>
      <w:tr>
        <w:trPr>
          <w:trHeight w:val="243"/>
        </w:trPr>
        <w:tc>
          <w:tcPr>
            <w:tcW w:w="34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Lisa Walters-Hoffert</w:t>
            </w:r>
          </w:p>
        </w:tc>
      </w:tr>
      <w:tr>
        <w:trPr>
          <w:trHeight w:val="257"/>
        </w:trPr>
        <w:tc>
          <w:tcPr>
            <w:tcW w:w="34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34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59"/>
        </w:trPr>
        <w:tc>
          <w:tcPr>
            <w:tcW w:w="34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c>
          <w:tcPr>
            <w:tcW w:w="5500" w:type="dxa"/>
            <w:vAlign w:val="bottom"/>
          </w:tcPr>
          <w:p>
            <w:pPr>
              <w:spacing w:after="0"/>
              <w:rPr>
                <w:sz w:val="24"/>
                <w:szCs w:val="24"/>
                <w:color w:val="auto"/>
              </w:rPr>
            </w:pPr>
          </w:p>
        </w:tc>
      </w:tr>
    </w:tbl>
    <w:p>
      <w:pPr>
        <w:sectPr>
          <w:pgSz w:w="11900" w:h="16838" w:orient="portrait"/>
          <w:cols w:equalWidth="0" w:num="1">
            <w:col w:w="11240"/>
          </w:cols>
          <w:pgMar w:left="320" w:top="72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10.13(b)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EMPLOYMENT AGREEMENT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This Amendment No. 1 to Employment Agreement (this “</w:t>
      </w:r>
      <w:r>
        <w:rPr>
          <w:rFonts w:ascii="Arial" w:cs="Arial" w:eastAsia="Arial" w:hAnsi="Arial"/>
          <w:sz w:val="18"/>
          <w:szCs w:val="18"/>
          <w:b w:val="1"/>
          <w:bCs w:val="1"/>
          <w:color w:val="auto"/>
        </w:rPr>
        <w:t>Amendment No. 1</w:t>
      </w:r>
      <w:r>
        <w:rPr>
          <w:rFonts w:ascii="Arial" w:cs="Arial" w:eastAsia="Arial" w:hAnsi="Arial"/>
          <w:sz w:val="18"/>
          <w:szCs w:val="18"/>
          <w:color w:val="auto"/>
        </w:rPr>
        <w:t>”) is entered into as of March 9, 2020, between Daré Bioscience, Inc.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individual who is an executive of the Company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WHEREAS, the Company and Executive are parties to that certain employment agreement made as of August 15, 2017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WHEREAS, the Company and Executive desire to amend the Original Agreement as stated herein and effective as of the date first set forth above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NOW, THEREFORE, in consideration of the agreements herein contained and for other good and valuable consideration, the receipt and sufficiency of which is hereby acknowledged, the parties hereto hereby agree as follows:</w:t>
      </w:r>
    </w:p>
    <w:p>
      <w:pPr>
        <w:spacing w:after="0" w:line="9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Amendments to the Original Agreement</w:t>
      </w:r>
      <w:r>
        <w:rPr>
          <w:rFonts w:ascii="Arial" w:cs="Arial" w:eastAsia="Arial" w:hAnsi="Arial"/>
          <w:sz w:val="18"/>
          <w:szCs w:val="18"/>
          <w:color w:val="auto"/>
        </w:rPr>
        <w:t>. As of the Effective Date:</w:t>
      </w:r>
    </w:p>
    <w:p>
      <w:pPr>
        <w:spacing w:after="0" w:line="131" w:lineRule="exact"/>
        <w:rPr>
          <w:sz w:val="20"/>
          <w:szCs w:val="20"/>
          <w:color w:val="auto"/>
        </w:rPr>
      </w:pPr>
    </w:p>
    <w:p>
      <w:pPr>
        <w:ind w:left="980" w:hanging="324"/>
        <w:spacing w:after="0" w:line="250" w:lineRule="auto"/>
        <w:tabs>
          <w:tab w:leader="none" w:pos="1255" w:val="left"/>
        </w:tabs>
        <w:numPr>
          <w:ilvl w:val="0"/>
          <w:numId w:val="32"/>
        </w:numPr>
        <w:rPr>
          <w:rFonts w:ascii="Arial" w:cs="Arial" w:eastAsia="Arial" w:hAnsi="Arial"/>
          <w:sz w:val="20"/>
          <w:szCs w:val="20"/>
          <w:color w:val="auto"/>
        </w:rPr>
      </w:pPr>
      <w:r>
        <w:rPr>
          <w:rFonts w:ascii="Arial" w:cs="Arial" w:eastAsia="Arial" w:hAnsi="Arial"/>
          <w:sz w:val="18"/>
          <w:szCs w:val="18"/>
          <w:color w:val="auto"/>
        </w:rPr>
        <w:t>The second sentence of Section 4(d) of the Original Agreement is hereby amended and restated in its entirety to read as follows:</w:t>
      </w:r>
    </w:p>
    <w:p>
      <w:pPr>
        <w:spacing w:after="0" w:line="98" w:lineRule="exact"/>
        <w:rPr>
          <w:sz w:val="20"/>
          <w:szCs w:val="20"/>
          <w:color w:val="auto"/>
        </w:rPr>
      </w:pPr>
    </w:p>
    <w:p>
      <w:pPr>
        <w:jc w:val="both"/>
        <w:ind w:left="1300"/>
        <w:spacing w:after="0" w:line="251" w:lineRule="auto"/>
        <w:rPr>
          <w:sz w:val="20"/>
          <w:szCs w:val="20"/>
          <w:color w:val="auto"/>
        </w:rPr>
      </w:pPr>
      <w:r>
        <w:rPr>
          <w:rFonts w:ascii="Arial" w:cs="Arial" w:eastAsia="Arial" w:hAnsi="Arial"/>
          <w:sz w:val="18"/>
          <w:szCs w:val="18"/>
          <w:color w:val="auto"/>
        </w:rPr>
        <w:t>For purposes of this Agreement, “Cause” means (i) Executive’s act(s) of gross negligence, willful misconduct or material dishonesty in the course of Executive’s employment hereunder, provided that the Board of Directors of the Company (the “Board”) first provides Executive with written notice of such conduct and thirty (30) days to cure such conduct, if curable (with the determination as to whether such conduct is curable to be made by the Board in its sole discretion); (ii) misappropriation (or attempted misappropriation) by Executive of any assets of the Company or any of its affiliates; (iii) the commission or attempted commission of any act of fraud or embezzlement by Executive; (iv) willful violation of any law or regulation which adversely and materially affects the Executive’s ability to discharge the Executive’s duties or has a direct, substantial and adverse effect on the Company; (v) Executive’s material breach of this Agreement provided that the Company first provides Executive with written notice of such conduct and thirty (30) days to cure such conduct, if curable (with the determination as to whether such conduct is curable to be made by the Board in its sole discretion); (vi) any other intentional misconduct by Executive adversely affecting the business or affairs of the Company or any of its affiliates; or (v) any material failure by Executive to comply with the Company's written policies or rules, as they may be in effect from time to time during her employment with the Company, including, without limitation, the Company’s corporate code of conduct and ethics and whistleblower policy.</w:t>
      </w:r>
    </w:p>
    <w:p>
      <w:pPr>
        <w:spacing w:after="0" w:line="101" w:lineRule="exact"/>
        <w:rPr>
          <w:sz w:val="20"/>
          <w:szCs w:val="20"/>
          <w:color w:val="auto"/>
        </w:rPr>
      </w:pPr>
    </w:p>
    <w:p>
      <w:pPr>
        <w:ind w:left="980" w:hanging="324"/>
        <w:spacing w:after="0" w:line="261" w:lineRule="auto"/>
        <w:tabs>
          <w:tab w:leader="none" w:pos="1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second sentence of Section 4(g) of the Original Agreement is hereby amended and restated in its entirety to read as follows:</w:t>
      </w:r>
    </w:p>
    <w:p>
      <w:pPr>
        <w:spacing w:after="0" w:line="90"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For purposes of this Agreement, “Good Reason” means the existence of any one or more of the following conditions without the Executive’s consent, provided Executive submits written notice to the Company within 45 days of when such condition(s) first arose specifying the condition(s): (i) a material change in the Executive’s title or reporting relationships (ii) a change in the Executive’s position with the Company which materially reduces the Executive’s authority, duties or responsibilities, or the assignment to the Executive of duties materially inconsistent with the Executive’s position with the Company; (iii) a material reduction in the Executive’s then current Base Salary; (iv) a relocation of Executive’s place of employment by more than 35 miles from the geographic location at which such employee primarily provided services to the Company immediately before such relocation; and (v) a material breach by the Company of this Agreement</w:t>
      </w:r>
    </w:p>
    <w:p>
      <w:pPr>
        <w:spacing w:after="0" w:line="97" w:lineRule="exact"/>
        <w:rPr>
          <w:sz w:val="20"/>
          <w:szCs w:val="20"/>
          <w:color w:val="auto"/>
        </w:rPr>
      </w:pPr>
    </w:p>
    <w:p>
      <w:pPr>
        <w:jc w:val="both"/>
        <w:ind w:left="340" w:hanging="332"/>
        <w:spacing w:after="0" w:line="25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specifically provided in this Amendment No. 1, no other amendments, revisions or changes are made to the Original Agreement. All other terms and conditions of the Original Agreement remain in full force and effect. This Amendment No. 1 may be attached to and shall form a part of the Original Agreement. This Amendment No. 1 may be executed in counterparts, each of which shall be deemed to be an original and all of which together shall be deemed to be one and the same instrument. Delivery of an executed counterpart of a signature page to this Amendment by facsimile or in electronic format (e.g., “pdf”) or by other electronic means shall be effective as delivery of a manually executed counterpart of this Amendment No. 1. This Amendment No. 1 will be binding upon and inure to the benefit of the parties hereto and their respective heirs, executors, personal representatives, successors and permitted assigns.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1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10.13(b)</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No. 1 as of the date first written above.</w:t>
      </w: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COMPANY</w:t>
      </w:r>
    </w:p>
    <w:p>
      <w:pPr>
        <w:spacing w:after="0" w:line="1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Daré Bioscience, Inc.</w:t>
      </w:r>
    </w:p>
    <w:p>
      <w:pPr>
        <w:spacing w:after="0" w:line="200" w:lineRule="exact"/>
        <w:rPr>
          <w:sz w:val="20"/>
          <w:szCs w:val="20"/>
          <w:color w:val="auto"/>
        </w:rPr>
      </w:pPr>
    </w:p>
    <w:p>
      <w:pPr>
        <w:spacing w:after="0" w:line="25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H. RASTETTER</w:t>
      </w:r>
    </w:p>
    <w:p>
      <w:pPr>
        <w:spacing w:after="0" w:line="5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William H. Rastetter, Ph.D.</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 Chair of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77"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SABRINA MARTUCCI JOHNSON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Sabrina Martucci Johnson</w:t>
      </w:r>
    </w:p>
    <w:p>
      <w:pPr>
        <w:sectPr>
          <w:pgSz w:w="11900" w:h="16838" w:orient="portrait"/>
          <w:cols w:equalWidth="0" w:num="1">
            <w:col w:w="11240"/>
          </w:cols>
          <w:pgMar w:left="320" w:top="11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10.14(b)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EMPLOYMENT AGREEMENT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This Amendment No. 1 to Employment Agreement (this “</w:t>
      </w:r>
      <w:r>
        <w:rPr>
          <w:rFonts w:ascii="Arial" w:cs="Arial" w:eastAsia="Arial" w:hAnsi="Arial"/>
          <w:sz w:val="18"/>
          <w:szCs w:val="18"/>
          <w:b w:val="1"/>
          <w:bCs w:val="1"/>
          <w:color w:val="auto"/>
        </w:rPr>
        <w:t>Amendment No. 1</w:t>
      </w:r>
      <w:r>
        <w:rPr>
          <w:rFonts w:ascii="Arial" w:cs="Arial" w:eastAsia="Arial" w:hAnsi="Arial"/>
          <w:sz w:val="18"/>
          <w:szCs w:val="18"/>
          <w:color w:val="auto"/>
        </w:rPr>
        <w:t>”) is entered into as of March 9, 2020, between Daré Bioscience, Inc.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individual who is an executive of the Company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WHEREAS, the Company and Executive are parties to that certain employment agreement made as of August 15, 2017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WHEREAS, the Company and Executive desire to amend the Original Agreement as stated herein and effective as of the date first set forth above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NOW, THEREFORE, in consideration of the agreements herein contained and for other good and valuable consideration, the receipt and sufficiency of which is hereby acknowledged, the parties hereto hereby agree as follows:</w:t>
      </w:r>
    </w:p>
    <w:p>
      <w:pPr>
        <w:spacing w:after="0" w:line="9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Amendments to the Original Agreement</w:t>
      </w:r>
      <w:r>
        <w:rPr>
          <w:rFonts w:ascii="Arial" w:cs="Arial" w:eastAsia="Arial" w:hAnsi="Arial"/>
          <w:sz w:val="18"/>
          <w:szCs w:val="18"/>
          <w:color w:val="auto"/>
        </w:rPr>
        <w:t>. As of the Effective Date:</w:t>
      </w:r>
    </w:p>
    <w:p>
      <w:pPr>
        <w:spacing w:after="0" w:line="131" w:lineRule="exact"/>
        <w:rPr>
          <w:sz w:val="20"/>
          <w:szCs w:val="20"/>
          <w:color w:val="auto"/>
        </w:rPr>
      </w:pPr>
    </w:p>
    <w:p>
      <w:pPr>
        <w:ind w:left="980" w:hanging="324"/>
        <w:spacing w:after="0" w:line="250" w:lineRule="auto"/>
        <w:tabs>
          <w:tab w:leader="none" w:pos="1255" w:val="left"/>
        </w:tabs>
        <w:numPr>
          <w:ilvl w:val="0"/>
          <w:numId w:val="36"/>
        </w:numPr>
        <w:rPr>
          <w:rFonts w:ascii="Arial" w:cs="Arial" w:eastAsia="Arial" w:hAnsi="Arial"/>
          <w:sz w:val="20"/>
          <w:szCs w:val="20"/>
          <w:color w:val="auto"/>
        </w:rPr>
      </w:pPr>
      <w:r>
        <w:rPr>
          <w:rFonts w:ascii="Arial" w:cs="Arial" w:eastAsia="Arial" w:hAnsi="Arial"/>
          <w:sz w:val="18"/>
          <w:szCs w:val="18"/>
          <w:color w:val="auto"/>
        </w:rPr>
        <w:t>The second sentence of Section 4(d) of the Original Agreement is hereby amended and restated in its entirety to read as follows:</w:t>
      </w:r>
    </w:p>
    <w:p>
      <w:pPr>
        <w:spacing w:after="0" w:line="98" w:lineRule="exact"/>
        <w:rPr>
          <w:sz w:val="20"/>
          <w:szCs w:val="20"/>
          <w:color w:val="auto"/>
        </w:rPr>
      </w:pPr>
    </w:p>
    <w:p>
      <w:pPr>
        <w:jc w:val="both"/>
        <w:ind w:left="1300"/>
        <w:spacing w:after="0" w:line="251" w:lineRule="auto"/>
        <w:rPr>
          <w:sz w:val="20"/>
          <w:szCs w:val="20"/>
          <w:color w:val="auto"/>
        </w:rPr>
      </w:pPr>
      <w:r>
        <w:rPr>
          <w:rFonts w:ascii="Arial" w:cs="Arial" w:eastAsia="Arial" w:hAnsi="Arial"/>
          <w:sz w:val="18"/>
          <w:szCs w:val="18"/>
          <w:color w:val="auto"/>
        </w:rPr>
        <w:t>For purposes of this Agreement, “Cause” means (i) Executive’s act(s) of gross negligence, willful misconduct or material dishonesty in the course of Executive’s employment hereunder, provided that the Board of Directors of the Company (the “Board”) first provides Executive with written notice of such conduct and thirty (30) days to cure such conduct, if curable (with the determination as to whether such conduct is curable to be made by the Board in its sole discretion); (ii) misappropriation (or attempted misappropriation) by Executive of any assets of the Company or any of its affiliates; (iii) the commission or attempted commission of any act of fraud or embezzlement by Executive; (iv) willful violation of any law or regulation which adversely and materially affects the Executive’s ability to discharge the Executive’s duties or has a direct, substantial and adverse effect on the Company; (v) Executive’s material breach of this Agreement provided that the Company first provides Executive with written notice of such conduct and thirty (30) days to cure such conduct, if curable (with the determination as to whether such conduct is curable to be made by the Board in its sole discretion); (vi) any other intentional misconduct by Executive adversely affecting the business or affairs of the Company or any of its affiliates; or (v) any material failure by Executive to comply with the Company's written policies or rules, as they may be in effect from time to time during her employment with the Company, including, without limitation, the Company’s corporate code of conduct and ethics and whistleblower policy.</w:t>
      </w:r>
    </w:p>
    <w:p>
      <w:pPr>
        <w:spacing w:after="0" w:line="101" w:lineRule="exact"/>
        <w:rPr>
          <w:sz w:val="20"/>
          <w:szCs w:val="20"/>
          <w:color w:val="auto"/>
        </w:rPr>
      </w:pPr>
    </w:p>
    <w:p>
      <w:pPr>
        <w:ind w:left="980" w:hanging="324"/>
        <w:spacing w:after="0" w:line="261" w:lineRule="auto"/>
        <w:tabs>
          <w:tab w:leader="none" w:pos="1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second sentence of Section 4(g) of the Original Agreement is hereby amended and restated in its entirety to read as follows:</w:t>
      </w:r>
    </w:p>
    <w:p>
      <w:pPr>
        <w:spacing w:after="0" w:line="90"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For purposes of this Agreement, “Good Reason” means the existence of any one or more of the following conditions without the Executive’s consent, provided Executive submits written notice to the Company within 45 days of when such condition(s) first arose specifying the condition(s): (i) a material change in the Executive’s title or reporting relationships (ii) a change in the Executive’s position with the Company which materially reduces the Executive’s authority, duties or responsibilities, or the assignment to the Executive of duties materially inconsistent with the Executive’s position with the Company; (iii) a material reduction in the Executive’s then current Base Salary; (iv) a relocation of Executive’s place of employment by more than 35 miles from the geographic location at which such employee primarily provided services to the Company immediately before such relocation; and (v) a material breach by the Company of this Agreement</w:t>
      </w:r>
    </w:p>
    <w:p>
      <w:pPr>
        <w:spacing w:after="0" w:line="97" w:lineRule="exact"/>
        <w:rPr>
          <w:sz w:val="20"/>
          <w:szCs w:val="20"/>
          <w:color w:val="auto"/>
        </w:rPr>
      </w:pPr>
    </w:p>
    <w:p>
      <w:pPr>
        <w:jc w:val="both"/>
        <w:ind w:left="340" w:hanging="332"/>
        <w:spacing w:after="0" w:line="252"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specifically provided in this Amendment No. 1, no other amendments, revisions or changes are made to the Original Agreement. All other terms and conditions of the Original Agreement remain in full force and effect. This Amendment No. 1 may be attached to and shall form a part of the Original Agreement. This Amendment No. 1 may be executed in counterparts, each of which shall be deemed to be an original and all of which together shall be deemed to be one and the same instrument. Delivery of an executed counterpart of a signature page to this Amendment by facsimile or in electronic format (e.g., “pdf”) or by other electronic means shall be effective as delivery of a manually executed counterpart of this Amendment No. 1. This Amendment No. 1 will be binding upon and inure to the benefit of the parties hereto and their respective heirs, executors, personal representatives, successors and permitted assigns.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1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10.14(b)</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No. 1 as of the date first written above.</w:t>
      </w: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COMPANY</w:t>
      </w:r>
    </w:p>
    <w:p>
      <w:pPr>
        <w:spacing w:after="0" w:line="1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Daré Bioscience, Inc.</w:t>
      </w:r>
    </w:p>
    <w:p>
      <w:pPr>
        <w:spacing w:after="0" w:line="200" w:lineRule="exact"/>
        <w:rPr>
          <w:sz w:val="20"/>
          <w:szCs w:val="20"/>
          <w:color w:val="auto"/>
        </w:rPr>
      </w:pPr>
    </w:p>
    <w:p>
      <w:pPr>
        <w:spacing w:after="0" w:line="25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H. RASTETTER</w:t>
      </w:r>
    </w:p>
    <w:p>
      <w:pPr>
        <w:spacing w:after="0" w:line="5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William H. Rastetter, Ph.D.</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 Chair of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77"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LISA WALTERS-HOFFERT</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Lisa Walters-Hoffert</w:t>
      </w:r>
    </w:p>
    <w:p>
      <w:pPr>
        <w:sectPr>
          <w:pgSz w:w="11900" w:h="16838" w:orient="portrait"/>
          <w:cols w:equalWidth="0" w:num="1">
            <w:col w:w="11240"/>
          </w:cols>
          <w:pgMar w:left="320" w:top="11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93" w:lineRule="exact"/>
        <w:rPr>
          <w:sz w:val="20"/>
          <w:szCs w:val="20"/>
          <w:color w:val="auto"/>
        </w:rPr>
      </w:pPr>
    </w:p>
    <w:p>
      <w:pPr>
        <w:ind w:left="920" w:hanging="440"/>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1460" w:right="280" w:hanging="534"/>
        <w:spacing w:after="0" w:line="238"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8"/>
          <w:szCs w:val="18"/>
          <w:color w:val="auto"/>
        </w:rPr>
      </w:pPr>
    </w:p>
    <w:p>
      <w:pPr>
        <w:jc w:val="both"/>
        <w:ind w:left="1460" w:right="280" w:hanging="534"/>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460" w:right="280" w:hanging="534"/>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1460" w:right="280" w:hanging="534"/>
        <w:spacing w:after="0" w:line="238"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460" w:right="280" w:hanging="534"/>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460" w:right="280" w:hanging="534"/>
        <w:spacing w:after="0" w:line="246"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71" w:lineRule="exact"/>
        <w:rPr>
          <w:sz w:val="20"/>
          <w:szCs w:val="20"/>
          <w:color w:val="auto"/>
        </w:rPr>
      </w:pPr>
    </w:p>
    <w:p>
      <w:pPr>
        <w:ind w:left="920" w:hanging="440"/>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1460" w:right="280" w:hanging="534"/>
        <w:spacing w:after="0" w:line="238"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8"/>
          <w:szCs w:val="18"/>
          <w:color w:val="auto"/>
        </w:rPr>
      </w:pPr>
    </w:p>
    <w:p>
      <w:pPr>
        <w:jc w:val="both"/>
        <w:ind w:left="1460" w:right="280" w:hanging="534"/>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460" w:right="280" w:hanging="534"/>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1460" w:right="280" w:hanging="534"/>
        <w:spacing w:after="0" w:line="238"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jc w:val="both"/>
        <w:ind w:left="920" w:right="220" w:hanging="440"/>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460" w:right="280" w:hanging="534"/>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460" w:right="280" w:hanging="534"/>
        <w:spacing w:after="0" w:line="246"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2020,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4"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2020,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lowerLetter"/>
      <w:start w:val="2"/>
    </w:lvl>
  </w:abstractNum>
  <w:abstractNum w:abstractNumId="11">
    <w:nsid w:val="54E49EB4"/>
    <w:multiLevelType w:val="hybridMultilevel"/>
    <w:lvl w:ilvl="0">
      <w:lvlJc w:val="left"/>
      <w:lvlText w:val="%1."/>
      <w:numFmt w:val="decimal"/>
      <w:start w:val="4"/>
    </w:lvl>
  </w:abstractNum>
  <w:abstractNum w:abstractNumId="12">
    <w:nsid w:val="71F32454"/>
    <w:multiLevelType w:val="hybridMultilevel"/>
    <w:lvl w:ilvl="0">
      <w:lvlJc w:val="left"/>
      <w:lvlText w:val="%1."/>
      <w:numFmt w:val="decimal"/>
      <w:start w:val="5"/>
    </w:lvl>
  </w:abstractNum>
  <w:abstractNum w:abstractNumId="13">
    <w:nsid w:val="2CA88611"/>
    <w:multiLevelType w:val="hybridMultilevel"/>
    <w:lvl w:ilvl="0">
      <w:lvlJc w:val="left"/>
      <w:lvlText w:val="%1."/>
      <w:numFmt w:val="decimal"/>
      <w:start w:val="6"/>
    </w:lvl>
  </w:abstractNum>
  <w:abstractNum w:abstractNumId="14">
    <w:nsid w:val="836C40E"/>
    <w:multiLevelType w:val="hybridMultilevel"/>
    <w:lvl w:ilvl="0">
      <w:lvlJc w:val="left"/>
      <w:lvlText w:val="%1."/>
      <w:numFmt w:val="decimal"/>
      <w:start w:val="7"/>
    </w:lvl>
  </w:abstractNum>
  <w:abstractNum w:abstractNumId="15">
    <w:nsid w:val="2901D82"/>
    <w:multiLevelType w:val="hybridMultilevel"/>
    <w:lvl w:ilvl="0">
      <w:lvlJc w:val="left"/>
      <w:lvlText w:val="%1."/>
      <w:numFmt w:val="decimal"/>
      <w:start w:val="8"/>
    </w:lvl>
  </w:abstractNum>
  <w:abstractNum w:abstractNumId="16">
    <w:nsid w:val="3A95F874"/>
    <w:multiLevelType w:val="hybridMultilevel"/>
    <w:lvl w:ilvl="0">
      <w:lvlJc w:val="left"/>
      <w:lvlText w:val="%1."/>
      <w:numFmt w:val="decimal"/>
      <w:start w:val="9"/>
    </w:lvl>
  </w:abstractNum>
  <w:abstractNum w:abstractNumId="17">
    <w:nsid w:val="8138641"/>
    <w:multiLevelType w:val="hybridMultilevel"/>
    <w:lvl w:ilvl="0">
      <w:lvlJc w:val="left"/>
      <w:lvlText w:val="%1."/>
      <w:numFmt w:val="decimal"/>
      <w:start w:val="10"/>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Letter"/>
      <w:start w:val="25"/>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1" Type="http://schemas.openxmlformats.org/officeDocument/2006/relationships/hyperlink" Target="http://www.sec.gov/Archives/edgar/data/1401914/000140191420000042/exhibit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2020-05-14T15:11:34Z</dcterms:created>
  <dcterms:modified xsi:type="dcterms:W3CDTF">2020-05-14T15:11:34Z</dcterms:modified>
</cp:coreProperties>
</file>