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80"/>
        <w:spacing w:after="0"/>
        <w:tabs>
          <w:tab w:leader="none" w:pos="6780" w:val="left"/>
          <w:tab w:leader="none" w:pos="7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CERULEAN 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20-4139823</w:t>
            </w:r>
          </w:p>
        </w:tc>
      </w:tr>
      <w:tr>
        <w:trPr>
          <w:trHeight w:val="149"/>
        </w:trPr>
        <w:tc>
          <w:tcPr>
            <w:tcW w:w="6080" w:type="dxa"/>
            <w:vAlign w:val="bottom"/>
          </w:tcPr>
          <w:p>
            <w:pPr>
              <w:jc w:val="center"/>
              <w:ind w:right="35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9"/>
              </w:rPr>
              <w:t>840 Memorial Drive</w:t>
            </w:r>
          </w:p>
        </w:tc>
        <w:tc>
          <w:tcPr>
            <w:tcW w:w="1480" w:type="dxa"/>
            <w:vAlign w:val="bottom"/>
          </w:tcPr>
          <w:p>
            <w:pPr>
              <w:spacing w:after="0"/>
              <w:rPr>
                <w:sz w:val="24"/>
                <w:szCs w:val="24"/>
                <w:color w:val="auto"/>
              </w:rPr>
            </w:pPr>
          </w:p>
        </w:tc>
      </w:tr>
      <w:tr>
        <w:trPr>
          <w:trHeight w:val="227"/>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080" w:type="dxa"/>
            <w:vAlign w:val="bottom"/>
          </w:tcPr>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(617) 551-9600</w:t>
            </w:r>
          </w:p>
        </w:tc>
        <w:tc>
          <w:tcPr>
            <w:tcW w:w="1480" w:type="dxa"/>
            <w:vAlign w:val="bottom"/>
          </w:tcPr>
          <w:p>
            <w:pPr>
              <w:spacing w:after="0"/>
              <w:rPr>
                <w:sz w:val="24"/>
                <w:szCs w:val="24"/>
                <w:color w:val="auto"/>
              </w:rPr>
            </w:pPr>
          </w:p>
        </w:tc>
      </w:tr>
      <w:tr>
        <w:trPr>
          <w:trHeight w:val="190"/>
        </w:trPr>
        <w:tc>
          <w:tcPr>
            <w:tcW w:w="608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2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817"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817"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817"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8640" w:space="160"/>
            <w:col w:w="260" w:space="100"/>
            <w:col w:w="160" w:space="180"/>
            <w:col w:w="1920"/>
          </w:cols>
          <w:pgMar w:left="240" w:top="226" w:right="239" w:bottom="817" w:gutter="0" w:footer="0" w:header="0"/>
          <w:type w:val="continuous"/>
        </w:sectPr>
      </w:pPr>
    </w:p>
    <w:p>
      <w:pPr>
        <w:spacing w:after="0" w:line="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Number of shares of the registrant’s Common Stock, $ 0.0001 par value, outstanding on August 8, 2014: 20,124,764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817"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gridSpan w:val="8"/>
            <w:vMerge w:val="restart"/>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700" w:type="dxa"/>
            <w:vAlign w:val="bottom"/>
            <w:gridSpan w:val="8"/>
            <w:vMerge w:val="restart"/>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Page No.</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8"/>
            <w:vMerge w:val="continue"/>
          </w:tcPr>
          <w:p>
            <w:pPr>
              <w:spacing w:after="0"/>
              <w:rPr>
                <w:sz w:val="13"/>
                <w:szCs w:val="13"/>
                <w:color w:val="auto"/>
              </w:rPr>
            </w:pPr>
          </w:p>
        </w:tc>
        <w:tc>
          <w:tcPr>
            <w:tcW w:w="7700" w:type="dxa"/>
            <w:vAlign w:val="bottom"/>
            <w:gridSpan w:val="8"/>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Financial Statements</w:t>
              </w:r>
            </w:hyperlink>
          </w:p>
        </w:tc>
        <w:tc>
          <w:tcPr>
            <w:tcW w:w="806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2014 and December 31, 2013 (unaudited)</w:t>
              </w:r>
            </w:hyperlink>
          </w:p>
        </w:tc>
        <w:tc>
          <w:tcPr>
            <w:tcW w:w="266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89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June 30, 2014 and 2013 (unaudited)</w:t>
              </w:r>
            </w:hyperlink>
          </w:p>
        </w:tc>
        <w:tc>
          <w:tcPr>
            <w:tcW w:w="7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8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for the Six Months Ended June 30, 2014 and 2013 (unaudited)</w:t>
              </w:r>
            </w:hyperlink>
          </w:p>
        </w:tc>
        <w:tc>
          <w:tcPr>
            <w:tcW w:w="142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4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 (unaudited)</w:t>
              </w:r>
            </w:hyperlink>
          </w:p>
        </w:tc>
        <w:tc>
          <w:tcPr>
            <w:tcW w:w="480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9"/>
              </w:rPr>
            </w:pPr>
            <w:hyperlink w:anchor="page12">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8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680" w:type="dxa"/>
            <w:vAlign w:val="bottom"/>
            <w:gridSpan w:val="15"/>
          </w:tcPr>
          <w:p>
            <w:pPr>
              <w:spacing w:after="0"/>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Quantitative and Qualitative Disclosures About Market Risk</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22">
              <w:r>
                <w:rPr>
                  <w:rFonts w:ascii="Times New Roman" w:cs="Times New Roman" w:eastAsia="Times New Roman" w:hAnsi="Times New Roman"/>
                  <w:sz w:val="18"/>
                  <w:szCs w:val="18"/>
                  <w:b w:val="1"/>
                  <w:bCs w:val="1"/>
                  <w:color w:val="0000EE"/>
                  <w:w w:val="9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502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23">
              <w:r>
                <w:rPr>
                  <w:rFonts w:ascii="Times New Roman" w:cs="Times New Roman" w:eastAsia="Times New Roman" w:hAnsi="Times New Roman"/>
                  <w:sz w:val="18"/>
                  <w:szCs w:val="18"/>
                  <w:b w:val="1"/>
                  <w:bCs w:val="1"/>
                  <w:color w:val="0000EE"/>
                  <w:w w:val="98"/>
                </w:rPr>
                <w:t>PART II. OTHER INFORMATION</w:t>
              </w:r>
            </w:hyperlink>
          </w:p>
        </w:tc>
        <w:tc>
          <w:tcPr>
            <w:tcW w:w="800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23">
              <w:r>
                <w:rPr>
                  <w:rFonts w:ascii="Times New Roman" w:cs="Times New Roman" w:eastAsia="Times New Roman" w:hAnsi="Times New Roman"/>
                  <w:sz w:val="18"/>
                  <w:szCs w:val="18"/>
                  <w:b w:val="1"/>
                  <w:bCs w:val="1"/>
                  <w:color w:val="0000EE"/>
                  <w:w w:val="98"/>
                </w:rPr>
                <w:t>Risk Factors</w:t>
              </w:r>
            </w:hyperlink>
          </w:p>
        </w:tc>
        <w:tc>
          <w:tcPr>
            <w:tcW w:w="870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9"/>
              </w:rPr>
            </w:pPr>
            <w:hyperlink w:anchor="page58">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510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80" w:type="dxa"/>
            <w:vAlign w:val="bottom"/>
            <w:gridSpan w:val="15"/>
          </w:tcPr>
          <w:p>
            <w:pPr>
              <w:spacing w:after="0"/>
              <w:rPr>
                <w:rFonts w:ascii="Times New Roman" w:cs="Times New Roman" w:eastAsia="Times New Roman" w:hAnsi="Times New Roman"/>
                <w:sz w:val="18"/>
                <w:szCs w:val="18"/>
                <w:b w:val="1"/>
                <w:bCs w:val="1"/>
                <w:color w:val="0000EE"/>
              </w:rPr>
            </w:pPr>
            <w:hyperlink w:anchor="page58">
              <w:r>
                <w:rPr>
                  <w:rFonts w:ascii="Times New Roman" w:cs="Times New Roman" w:eastAsia="Times New Roman" w:hAnsi="Times New Roman"/>
                  <w:sz w:val="18"/>
                  <w:szCs w:val="18"/>
                  <w:b w:val="1"/>
                  <w:bCs w:val="1"/>
                  <w:color w:val="0000EE"/>
                </w:rPr>
                <w:t>Exhibits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6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59">
              <w:r>
                <w:rPr>
                  <w:rFonts w:ascii="Times New Roman" w:cs="Times New Roman" w:eastAsia="Times New Roman" w:hAnsi="Times New Roman"/>
                  <w:sz w:val="18"/>
                  <w:szCs w:val="18"/>
                  <w:b w:val="1"/>
                  <w:bCs w:val="1"/>
                  <w:color w:val="0000EE"/>
                  <w:w w:val="97"/>
                </w:rPr>
                <w:t>Signatures</w:t>
              </w:r>
            </w:hyperlink>
          </w:p>
        </w:tc>
        <w:tc>
          <w:tcPr>
            <w:tcW w:w="886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8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64,271,000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65,394,000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2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65,739,000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loan payable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3,274,000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Convertible promissory notes payable to shareholders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5,963,000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15,146,000</w:t>
            </w:r>
          </w:p>
        </w:tc>
        <w:tc>
          <w:tcPr>
            <w:tcW w:w="0" w:type="dxa"/>
            <w:vAlign w:val="bottom"/>
          </w:tcPr>
          <w:p>
            <w:pPr>
              <w:spacing w:after="0"/>
              <w:rPr>
                <w:sz w:val="1"/>
                <w:szCs w:val="1"/>
                <w:color w:val="auto"/>
              </w:rPr>
            </w:pPr>
          </w:p>
        </w:tc>
      </w:tr>
      <w:tr>
        <w:trPr>
          <w:trHeight w:val="223"/>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payable —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5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1,968,000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4,455,000</w:t>
            </w:r>
          </w:p>
        </w:tc>
        <w:tc>
          <w:tcPr>
            <w:tcW w:w="0" w:type="dxa"/>
            <w:vAlign w:val="bottom"/>
          </w:tcPr>
          <w:p>
            <w:pPr>
              <w:spacing w:after="0"/>
              <w:rPr>
                <w:sz w:val="1"/>
                <w:szCs w:val="1"/>
                <w:color w:val="auto"/>
              </w:rPr>
            </w:pPr>
          </w:p>
        </w:tc>
      </w:tr>
      <w:tr>
        <w:trPr>
          <w:trHeight w:val="230"/>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120,000,000 shares designated, 20,123,013 and 785,531 shares issued and outstanding at June 30, 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2013,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166,562,000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8"/>
              </w:rPr>
              <w:t>(108,756,000)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(98,439,000)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57,808,000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(94,299,000)</w:t>
            </w:r>
          </w:p>
        </w:tc>
        <w:tc>
          <w:tcPr>
            <w:tcW w:w="0" w:type="dxa"/>
            <w:vAlign w:val="bottom"/>
          </w:tcPr>
          <w:p>
            <w:pPr>
              <w:spacing w:after="0"/>
              <w:rPr>
                <w:sz w:val="1"/>
                <w:szCs w:val="1"/>
                <w:color w:val="auto"/>
              </w:rPr>
            </w:pPr>
          </w:p>
        </w:tc>
      </w:tr>
      <w:tr>
        <w:trPr>
          <w:trHeight w:val="22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65,739,000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22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1"/>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3,195,000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4,143,000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1,392,000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3,539,000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4,587,000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7,682,000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10,038,000</w:t>
            </w:r>
          </w:p>
        </w:tc>
        <w:tc>
          <w:tcPr>
            <w:tcW w:w="0" w:type="dxa"/>
            <w:vAlign w:val="bottom"/>
          </w:tcPr>
          <w:p>
            <w:pPr>
              <w:spacing w:after="0"/>
              <w:rPr>
                <w:sz w:val="1"/>
                <w:szCs w:val="1"/>
                <w:color w:val="auto"/>
              </w:rPr>
            </w:pPr>
          </w:p>
        </w:tc>
      </w:tr>
      <w:tr>
        <w:trPr>
          <w:trHeight w:val="331"/>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(326,000)</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(729,000)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(2,493,000)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(2,493,000)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504,000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other (expense) — 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(2,715,000)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(427,000)</w:t>
            </w: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(7,403,000)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(4,893,000)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(10,317,000)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(10,465,000)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Basic and diluted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Basic and diluted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16,883,716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614,662</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8,835,351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0"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7620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926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7" w:lineRule="exact"/>
        <w:rPr>
          <w:sz w:val="20"/>
          <w:szCs w:val="20"/>
          <w:color w:val="auto"/>
        </w:rPr>
      </w:pPr>
    </w:p>
    <w:p>
      <w:pPr>
        <w:ind w:left="360"/>
        <w:spacing w:after="0"/>
        <w:tabs>
          <w:tab w:leader="none" w:pos="8900" w:val="left"/>
          <w:tab w:leader="none" w:pos="1032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color w:val="auto"/>
        </w:rPr>
        <w:t>$(10,317,000)</w:t>
      </w:r>
      <w:r>
        <w:rPr>
          <w:sz w:val="20"/>
          <w:szCs w:val="20"/>
          <w:color w:val="auto"/>
        </w:rPr>
        <w:tab/>
      </w:r>
      <w:r>
        <w:rPr>
          <w:rFonts w:ascii="Times New Roman" w:cs="Times New Roman" w:eastAsia="Times New Roman" w:hAnsi="Times New Roman"/>
          <w:sz w:val="18"/>
          <w:szCs w:val="18"/>
          <w:color w:val="auto"/>
        </w:rPr>
        <w:t>$(10,465,000)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343,000</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443,000</w:t>
            </w:r>
          </w:p>
        </w:tc>
      </w:tr>
      <w:tr>
        <w:trPr>
          <w:trHeight w:val="216"/>
        </w:trPr>
        <w:tc>
          <w:tcPr>
            <w:tcW w:w="7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rent expense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(9,000)</w:t>
            </w:r>
          </w:p>
        </w:tc>
      </w:tr>
      <w:tr>
        <w:trPr>
          <w:trHeight w:val="234"/>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carrying value of preferred stock warrant liability</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(504,000)</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(251,000)</w:t>
            </w:r>
          </w:p>
        </w:tc>
      </w:tr>
      <w:tr>
        <w:trPr>
          <w:trHeight w:val="90"/>
        </w:trPr>
        <w:tc>
          <w:tcPr>
            <w:tcW w:w="74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121,000</w:t>
            </w:r>
          </w:p>
        </w:tc>
      </w:tr>
      <w:tr>
        <w:trPr>
          <w:trHeight w:val="216"/>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229,000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315,000</w:t>
            </w:r>
          </w:p>
        </w:tc>
      </w:tr>
      <w:tr>
        <w:trPr>
          <w:trHeight w:val="216"/>
        </w:trPr>
        <w:tc>
          <w:tcPr>
            <w:tcW w:w="7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(174,000)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7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(335,000)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860,000</w:t>
            </w:r>
          </w:p>
        </w:tc>
      </w:tr>
      <w:tr>
        <w:trPr>
          <w:trHeight w:val="216"/>
        </w:trPr>
        <w:tc>
          <w:tcPr>
            <w:tcW w:w="7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(1,053,000)</w:t>
            </w:r>
          </w:p>
        </w:tc>
      </w:tr>
      <w:tr>
        <w:trPr>
          <w:trHeight w:val="27"/>
        </w:trPr>
        <w:tc>
          <w:tcPr>
            <w:tcW w:w="7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(7,895,000)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(10,123,000)</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133,000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promissory notes, net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loans payable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(1,640,000)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(1,511,000)</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initial public offering, net</w:t>
            </w: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59,861,000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66,676,000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(1,495,000)</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58,783,000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(11,623,000)</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16,707,000</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64,271,000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5,084,000</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4"/>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redeemable convertible preferred stock into common stock</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81,525,000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7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notes and accrued interest into common stock, net</w:t>
            </w:r>
          </w:p>
        </w:tc>
        <w:tc>
          <w:tcPr>
            <w:tcW w:w="1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20,138,000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of warrants to additional paid in capital</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424,000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 — Interest paid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234,000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364,000</w:t>
            </w:r>
          </w:p>
        </w:tc>
      </w:tr>
      <w:tr>
        <w:trPr>
          <w:trHeight w:val="20"/>
        </w:trPr>
        <w:tc>
          <w:tcPr>
            <w:tcW w:w="7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OPERATIONS</w:t>
      </w:r>
    </w:p>
    <w:p>
      <w:pPr>
        <w:spacing w:after="0" w:line="117" w:lineRule="exact"/>
        <w:rPr>
          <w:rFonts w:ascii="Times New Roman" w:cs="Times New Roman" w:eastAsia="Times New Roman" w:hAnsi="Times New Roman"/>
          <w:sz w:val="18"/>
          <w:szCs w:val="18"/>
          <w:b w:val="1"/>
          <w:bCs w:val="1"/>
          <w:color w:val="auto"/>
        </w:rPr>
      </w:pPr>
    </w:p>
    <w:p>
      <w:pPr>
        <w:ind w:left="460" w:right="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Cerulean Pharma Inc. (the “Company”) was incorporated on November 28, 2005 as a Delaware corporation and is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Cambridge, Massachusetts. The Company was formed to develop novel, nanotechnology-based therapeutics in the areas of oncology and other diseases. During 2013, the Company formed a wholly-owned subsidiary, Cerulean Pharma Australia Pty Ltd, as an Australian-based proprietary limited company. The activity in the subsidiary to date has been insignificant.</w:t>
      </w:r>
    </w:p>
    <w:p>
      <w:pPr>
        <w:spacing w:after="0" w:line="68"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consolidated financial statements include the accounts of the Company and its wholly-owned subsidiary.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Company’s audited financial statements as of and for the year ended December 31, 2013 and notes thereto, included in the Company’s prospectus filed with the SEC pursuant to Rule 424(b)(4) on April 14, 2014 (the “Prospectus”).</w:t>
      </w:r>
    </w:p>
    <w:p>
      <w:pPr>
        <w:spacing w:after="0" w:line="295" w:lineRule="exact"/>
        <w:rPr>
          <w:rFonts w:ascii="Times New Roman" w:cs="Times New Roman" w:eastAsia="Times New Roman" w:hAnsi="Times New Roman"/>
          <w:sz w:val="18"/>
          <w:szCs w:val="18"/>
          <w:b w:val="1"/>
          <w:bCs w:val="1"/>
          <w:color w:val="auto"/>
        </w:rPr>
      </w:pPr>
    </w:p>
    <w:p>
      <w:pPr>
        <w:ind w:left="460" w:right="1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consolidated financial statements. In the opinion of the Company’s management, the accompanying unaudited interim consolidated financial statements contain all adjustments that are necessary to present fairly the Company’s financial position as of June 30, 2014 and the results of its operations for the three and six months ended June 30, 2014 and 2013 and cash flows for the six months ended June 30, 2014 and 2013. Such adjustments are of a normal and recurring nature. The results for the six months ended June 30, 2014 are not indicative of the results for the year ending December 31, 2014, or for any future period.</w:t>
      </w:r>
    </w:p>
    <w:p>
      <w:pPr>
        <w:spacing w:after="0" w:line="75" w:lineRule="exact"/>
        <w:rPr>
          <w:rFonts w:ascii="Times New Roman" w:cs="Times New Roman" w:eastAsia="Times New Roman" w:hAnsi="Times New Roman"/>
          <w:sz w:val="18"/>
          <w:szCs w:val="18"/>
          <w:b w:val="1"/>
          <w:bCs w:val="1"/>
          <w:color w:val="auto"/>
        </w:rPr>
      </w:pPr>
    </w:p>
    <w:p>
      <w:pPr>
        <w:ind w:left="4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15, 2014, the Company completed the sale of 8,500,000 shares of its common stock in its initial public offering (the “IPO”), at a price to the public of $7.00 per share. On May 7, 2014 the Company completed the sale of an additional 1,069,715 shares of common stock at a price to the public of $7.00 per share under a partial exercise by the underwriters of their option to purchase additional shares of common stock. The sale of the shares to public resulted in net proceeds of $59.9 million after deducting underwriting discounts and commissions and offering expenses payable by the Company.</w:t>
      </w:r>
    </w:p>
    <w:p>
      <w:pPr>
        <w:spacing w:after="0" w:line="75" w:lineRule="exact"/>
        <w:rPr>
          <w:rFonts w:ascii="Times New Roman" w:cs="Times New Roman" w:eastAsia="Times New Roman" w:hAnsi="Times New Roman"/>
          <w:sz w:val="18"/>
          <w:szCs w:val="18"/>
          <w:b w:val="1"/>
          <w:bCs w:val="1"/>
          <w:color w:val="auto"/>
        </w:rPr>
      </w:pPr>
    </w:p>
    <w:p>
      <w:pPr>
        <w:ind w:left="4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preparation for the IPO, the Company’s board of directors and stockholders approved a 1- for-14.5074 reverse stock split of the Company’s common stock effective March 31, 2014. All share and per share amounts in the consolidated financial statements contained herein and notes thereto have been retroactively adjusted, where necessary, to give effect to this reverse stock split. In connection with the closing of the IPO, all of the Company’s outstanding redeemable convertible preferred stock and convertible notes automatically converted into shares of common stock as of April 15, 2014, resulting in the issuance by the Company of an additional 9,728,237 shares of common stock. The significant increase in shares outstanding in April 2014 is expected to impact the year-over-year comparability of the Company’s net loss per share calculations over the next year.</w:t>
      </w:r>
    </w:p>
    <w:p>
      <w:pPr>
        <w:spacing w:after="0" w:line="79"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completion of the IPO on April 15, 2014, the Company’s outstanding warrants to purchase 1,857,226 shares of the Company’s preferred stock automatically converted into warrants to purchase an aggregate of 128,663 shares of the Company’s common stock and, as a result, the Company reclassified the warrant liability to additional paid-in capital.</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Company’s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June 2014, the Financial Accounting Standards Board (the “FASB”) issued Accounting Standards Update (“ASU”)</w:t>
      </w:r>
    </w:p>
    <w:p>
      <w:pPr>
        <w:spacing w:after="0" w:line="27" w:lineRule="exact"/>
        <w:rPr>
          <w:sz w:val="20"/>
          <w:szCs w:val="20"/>
          <w:color w:val="auto"/>
        </w:rPr>
      </w:pPr>
    </w:p>
    <w:p>
      <w:pPr>
        <w:ind w:left="460" w:right="120"/>
        <w:spacing w:after="0" w:line="252" w:lineRule="auto"/>
        <w:rPr>
          <w:sz w:val="20"/>
          <w:szCs w:val="20"/>
          <w:color w:val="auto"/>
        </w:rPr>
      </w:pPr>
      <w:r>
        <w:rPr>
          <w:rFonts w:ascii="Times New Roman" w:cs="Times New Roman" w:eastAsia="Times New Roman" w:hAnsi="Times New Roman"/>
          <w:sz w:val="18"/>
          <w:szCs w:val="18"/>
          <w:color w:val="auto"/>
        </w:rPr>
        <w:t xml:space="preserve">No. 2014-10, </w:t>
      </w:r>
      <w:r>
        <w:rPr>
          <w:rFonts w:ascii="Times New Roman" w:cs="Times New Roman" w:eastAsia="Times New Roman" w:hAnsi="Times New Roman"/>
          <w:sz w:val="18"/>
          <w:szCs w:val="18"/>
          <w:i w:val="1"/>
          <w:iCs w:val="1"/>
          <w:color w:val="auto"/>
        </w:rPr>
        <w:t>Development Stage Entities: Elimination of Certain Financial Reporting Requirements, Including an Amendment to 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 Guidance in Topic 810, Consolidation</w:t>
      </w:r>
      <w:r>
        <w:rPr>
          <w:rFonts w:ascii="Times New Roman" w:cs="Times New Roman" w:eastAsia="Times New Roman" w:hAnsi="Times New Roman"/>
          <w:sz w:val="18"/>
          <w:szCs w:val="18"/>
          <w:color w:val="auto"/>
        </w:rPr>
        <w:t>. This accounting standard eliminates all incremental financial reporting requirements from U.S.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development stage entities, thereby improving financial reporting by reducing the cost and complexity associated with providing such information. The Company will no longer be required to present inception-to-date information. This ASU is effective on a prospective basis for annual and interim reporting periods beginning on or after December 15, 2014, with early adoption permitted. The Company has elected to early adopt the ASU for its June 30, 2014 financial statements. The Company’s adoption of this standard as of June 30, 2014 did not have a material impact on the Company’s consolidated financial statements.</w:t>
      </w:r>
    </w:p>
    <w:p>
      <w:pPr>
        <w:spacing w:after="0" w:line="81" w:lineRule="exact"/>
        <w:rPr>
          <w:sz w:val="20"/>
          <w:szCs w:val="20"/>
          <w:color w:val="auto"/>
        </w:rPr>
      </w:pPr>
    </w:p>
    <w:p>
      <w:pPr>
        <w:jc w:val="both"/>
        <w:ind w:left="460" w:right="2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32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During periods in which the Company earns net income, the Company would allocate participating securities a proportional share of net income determined by dividing total weighted average participating securities by the sum of the total weighted average common shares and participating securities (the “two-class method”). The Company’s preferred stock participated in dividends declared by the Company and were therefore considered to be participating securities. Participating securities have the effect of diluting both basic and diluted earnings per share during periods in which the Company earns net income. During periods in which the Company incurs a net loss, the Company allocates no portion of the loss to participating securities because they had no contractual obligation to share in the losses of the Company. The Company computes diluted loss per common share after giving consideration to the dilutive effect of stock options, warrants and shares of unvested restricted stock that are outstanding to the period, except where the inclusion of such nonparticipating securities would be antidilutive.</w:t>
      </w:r>
    </w:p>
    <w:p>
      <w:pPr>
        <w:spacing w:after="0" w:line="81" w:lineRule="exact"/>
        <w:rPr>
          <w:rFonts w:ascii="Times New Roman" w:cs="Times New Roman" w:eastAsia="Times New Roman" w:hAnsi="Times New Roman"/>
          <w:sz w:val="18"/>
          <w:szCs w:val="18"/>
          <w:b w:val="1"/>
          <w:bCs w:val="1"/>
          <w:color w:val="auto"/>
        </w:rPr>
      </w:pPr>
    </w:p>
    <w:p>
      <w:pPr>
        <w:ind w:left="46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reported a net loss for all periods presented and therefore, diluted net loss per common share is the same as basic net loss per common share.</w:t>
      </w:r>
    </w:p>
    <w:p>
      <w:pPr>
        <w:spacing w:after="0" w:line="53"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potentially dilutive securities that were outstanding, prior to the use of the two-class method, have been excluded from the computation of diluted weighted-average shares outstanding, because the inclusion of such securities would have an antidilutive impact due to the losses reported (in common stock equivalent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1,755,786</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1,111,611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6,992,694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gridSpan w:val="5"/>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Total accrued expenses</w:t>
            </w:r>
          </w:p>
        </w:tc>
        <w:tc>
          <w:tcPr>
            <w:tcW w:w="10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2,110,000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520" w:type="dxa"/>
            <w:vAlign w:val="bottom"/>
            <w:gridSpan w:val="2"/>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PAYABLE TO SHAREHOLDERS</w:t>
      </w:r>
    </w:p>
    <w:p>
      <w:pPr>
        <w:spacing w:after="0" w:line="121" w:lineRule="exact"/>
        <w:rPr>
          <w:rFonts w:ascii="Times New Roman" w:cs="Times New Roman" w:eastAsia="Times New Roman" w:hAnsi="Times New Roman"/>
          <w:sz w:val="18"/>
          <w:szCs w:val="18"/>
          <w:b w:val="1"/>
          <w:bCs w:val="1"/>
          <w:color w:val="auto"/>
        </w:rPr>
      </w:pPr>
    </w:p>
    <w:p>
      <w:pPr>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2013, the Company issued convertible promissory notes in the amount of $8,824,000, to existing investors, with a stated interest rate of 7%. Outstanding principal and unpaid accrued interest due under the notes were automatically converted into shares of the Company’s common stock upon the closing of the Company’s IPO on April 15, 2014.</w:t>
      </w:r>
    </w:p>
    <w:p>
      <w:pPr>
        <w:spacing w:after="0" w:line="68"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2014, the Company issued convertible promissory notes in the aggregate amount of $6,000,000 to existing investors and a convertible promissory note in the amount of $2,500,000 to a new investor. All the notes had a stated interest rate of 7%. Outstanding principal and unpaid accrued interest due under the notes were automatically converted into shares of the Company’s common stock upon the closing of the Company’s IPO on April 15, 2014, at a conversion price equal to 77.5% of the IPO price. The Company recorded a loss on the extinguishment of the notes of $2,493,000 in April of 2014, equal to the difference between the fair value of the shares into which the notes converted and the carrying amount of the notes upon the closing of the Company’s IPO.</w:t>
      </w:r>
    </w:p>
    <w:p>
      <w:pPr>
        <w:spacing w:after="0" w:line="33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w:t>
      </w:r>
    </w:p>
    <w:p>
      <w:pPr>
        <w:spacing w:after="0" w:line="121"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recorded aggregate stock-based compensation expense related to the issuance of stock option awards in the following line items in the accompanying consolidated statement of operations: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3"/>
                <w:szCs w:val="13"/>
                <w:color w:val="auto"/>
              </w:rPr>
            </w:pPr>
          </w:p>
        </w:tc>
        <w:tc>
          <w:tcPr>
            <w:tcW w:w="19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$ 116,000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133,000</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76,000</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196,000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289,000</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$ 343,000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based on the assumptions noted in the table below, except for the performance-based option grants. The fair value of the performance-based options were determined by utilizing a Monte Carlo model to simulate a wide range of possible future stock prices for the Company’s common stock.</w:t>
      </w:r>
    </w:p>
    <w:p>
      <w:pPr>
        <w:spacing w:after="0" w:line="68"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option-pricing model for stock options granted to employees and directors in exchange for board services during the three and six months ended June 30, 2014 and the six months ended June 30, 2013 are as follows: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5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448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 years</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1.93%-1.97%</w:t>
            </w:r>
          </w:p>
        </w:tc>
        <w:tc>
          <w:tcPr>
            <w:tcW w:w="6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1.83%-2.00%</w:t>
            </w:r>
          </w:p>
        </w:tc>
        <w:tc>
          <w:tcPr>
            <w:tcW w:w="7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59%-60%</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5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r>
      <w:tr>
        <w:trPr>
          <w:trHeight w:val="346"/>
        </w:trPr>
        <w:tc>
          <w:tcPr>
            <w:tcW w:w="4480" w:type="dxa"/>
            <w:vAlign w:val="bottom"/>
          </w:tcPr>
          <w:p>
            <w:pPr>
              <w:spacing w:after="0"/>
              <w:rPr>
                <w:sz w:val="24"/>
                <w:szCs w:val="24"/>
                <w:color w:val="auto"/>
              </w:rPr>
            </w:pPr>
          </w:p>
        </w:tc>
        <w:tc>
          <w:tcPr>
            <w:tcW w:w="1860" w:type="dxa"/>
            <w:vAlign w:val="bottom"/>
          </w:tcPr>
          <w:p>
            <w:pPr>
              <w:jc w:val="right"/>
              <w:ind w:right="1415"/>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for employee, directors and nonemployee awards under all equity and stock option plans during the six months ended June 30, 2014 is presented below:</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2014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1,062,694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7,028,000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745,910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6.81</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(39,530)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3.34</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(13,288)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7.35</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June 30,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1,755,786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expected to vest — June 30, 2014</w:t>
            </w:r>
          </w:p>
        </w:tc>
        <w:tc>
          <w:tcPr>
            <w:tcW w:w="134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5.72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693,000</w:t>
            </w: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1,047,066</w:t>
            </w:r>
          </w:p>
        </w:tc>
        <w:tc>
          <w:tcPr>
            <w:tcW w:w="5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 June 30, 2014</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655,945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240"/>
        <w:spacing w:after="0" w:line="266" w:lineRule="auto"/>
        <w:rPr>
          <w:sz w:val="20"/>
          <w:szCs w:val="20"/>
          <w:color w:val="auto"/>
        </w:rPr>
      </w:pPr>
      <w:r>
        <w:rPr>
          <w:rFonts w:ascii="Times New Roman" w:cs="Times New Roman" w:eastAsia="Times New Roman" w:hAnsi="Times New Roman"/>
          <w:sz w:val="18"/>
          <w:szCs w:val="18"/>
          <w:color w:val="auto"/>
        </w:rPr>
        <w:t>The weighted-average per share grant date fair value of options granted during the three and six months ended June 30, 2014 was $3.24 and $3.82, respectively. The Company did not grant any stock options during the three months ended June 30, 2013. The weighted-average per share grant date fair value of options granted during the six months ended June 30, 2013 was $2.67.</w:t>
      </w:r>
    </w:p>
    <w:p>
      <w:pPr>
        <w:spacing w:after="0" w:line="68"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nonemployee awards of $12,000 and $13,000 for the three months ended June 30, 2014 and 2013, respectively, and $24,000 and $22,000 for the six months ended June 30, 2014 and 2013, respectively. The compensation expense related to the nonemployee awards is included in the total stock-based compensation each year and is subject to re-measurement until the options vest. The Black-Scholes assumptions used to estimate fair value for the three months ended June 30, 2014 and 2013 were as follows: risk-free rate of 2.03% to 2.48% and 1.19% to 2.06%, respectively, estimated volatility of 55% to 59% and 55% to 56%, respectively, remaining contractual life of seven years and no expected dividends. The Black-Scholes assumptions used to estimate fair value for the six months ended June 30, 2014 and 2013 were as follows: risk-free rate of 2.03% to 2.48% and 1.11% to 2.06%, respectively, estimated volatility of 55% to 59% and 55% to 79%, respectively, remaining contractual life of seven years and no expected dividends. The Company did not grant any nonemployee stock option grants for the six months ended June 30, 2014 and 2013, except for a performance award grant in the 2013 period, to the board chairman for non-board related services.</w:t>
      </w:r>
    </w:p>
    <w:p>
      <w:pPr>
        <w:spacing w:after="0" w:line="334"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jc w:val="both"/>
        <w:ind w:left="4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instruments consist of cash equivalents, accounts payable, accrued expenses, debt obligations, and preferred stock warrants. The carrying amount of accounts payable and accrued expenses are considered a reasonable estimate of their fair value, due to the short-term maturity of these instruments. The carrying amount of debt is also considered to be a reasonable estimate of the fair value based on the short term nature of the debt and because the debt bears interest at the prevailing market rate for instruments with similar characteristics.</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68" w:lineRule="exact"/>
        <w:rPr>
          <w:rFonts w:ascii="Times New Roman" w:cs="Times New Roman" w:eastAsia="Times New Roman" w:hAnsi="Times New Roman"/>
          <w:sz w:val="18"/>
          <w:szCs w:val="18"/>
          <w:b w:val="1"/>
          <w:bCs w:val="1"/>
          <w:color w:val="auto"/>
        </w:rPr>
      </w:pPr>
    </w:p>
    <w:p>
      <w:pPr>
        <w:ind w:left="4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5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that are accessible at the market date for identical unrestricted assets or liabilities.</w:t>
      </w:r>
    </w:p>
    <w:p>
      <w:pPr>
        <w:spacing w:after="0" w:line="117" w:lineRule="exact"/>
        <w:rPr>
          <w:rFonts w:ascii="Times New Roman" w:cs="Times New Roman" w:eastAsia="Times New Roman" w:hAnsi="Times New Roman"/>
          <w:sz w:val="18"/>
          <w:szCs w:val="18"/>
          <w:b w:val="1"/>
          <w:bCs w:val="1"/>
          <w:color w:val="auto"/>
        </w:rPr>
      </w:pPr>
    </w:p>
    <w:p>
      <w:pPr>
        <w:ind w:left="460" w:right="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119"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A summary of the financial assets and liabilities that are measured on a recurring basis at fair value as of June 30, 2014 and December 31, 2013, is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20" w:type="dxa"/>
            <w:vAlign w:val="bottom"/>
            <w:gridSpan w:val="3"/>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Pr>
          <w:p>
            <w:pPr>
              <w:spacing w:after="0"/>
              <w:rPr>
                <w:sz w:val="10"/>
                <w:szCs w:val="10"/>
                <w:color w:val="auto"/>
              </w:rPr>
            </w:pPr>
          </w:p>
        </w:tc>
        <w:tc>
          <w:tcPr>
            <w:tcW w:w="1340" w:type="dxa"/>
            <w:vAlign w:val="bottom"/>
            <w:gridSpan w:val="2"/>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8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5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June 30, 2014</w:t>
            </w:r>
          </w:p>
        </w:tc>
        <w:tc>
          <w:tcPr>
            <w:tcW w:w="1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8"/>
              </w:rPr>
              <w:t>64,135,000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8"/>
              </w:rPr>
              <w:t>64,135,000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5,233,000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5,233,000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928,000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loan agreements are Level 2 measurements in the fair value hierarchy.</w:t>
      </w:r>
    </w:p>
    <w:p>
      <w:pPr>
        <w:spacing w:after="0" w:line="117" w:lineRule="exact"/>
        <w:rPr>
          <w:sz w:val="20"/>
          <w:szCs w:val="20"/>
          <w:color w:val="auto"/>
        </w:rPr>
      </w:pPr>
    </w:p>
    <w:p>
      <w:pPr>
        <w:ind w:left="460" w:right="60"/>
        <w:spacing w:after="0" w:line="255" w:lineRule="auto"/>
        <w:rPr>
          <w:sz w:val="20"/>
          <w:szCs w:val="20"/>
          <w:color w:val="auto"/>
        </w:rPr>
      </w:pPr>
      <w:r>
        <w:rPr>
          <w:rFonts w:ascii="Times New Roman" w:cs="Times New Roman" w:eastAsia="Times New Roman" w:hAnsi="Times New Roman"/>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transfers between levels have occurred during the periods presented.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reconciliation of the Company’s preferred stock warrant liabilities measured at fair value on a recurring basis using unobservable inputs (Level 3)</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Preferred Stock Warrant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2"/>
                <w:szCs w:val="12"/>
                <w:color w:val="auto"/>
              </w:rPr>
            </w:pPr>
          </w:p>
        </w:tc>
        <w:tc>
          <w:tcPr>
            <w:tcW w:w="114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00" w:type="dxa"/>
            <w:vAlign w:val="bottom"/>
          </w:tcPr>
          <w:p>
            <w:pPr>
              <w:spacing w:after="0"/>
              <w:rPr>
                <w:sz w:val="12"/>
                <w:szCs w:val="12"/>
                <w:color w:val="auto"/>
              </w:rPr>
            </w:pPr>
          </w:p>
        </w:tc>
        <w:tc>
          <w:tcPr>
            <w:tcW w:w="7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2012</w:t>
            </w:r>
          </w:p>
        </w:tc>
        <w:tc>
          <w:tcPr>
            <w:tcW w:w="1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$ 7,000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fair value recorded in other income</w:t>
            </w:r>
          </w:p>
        </w:tc>
        <w:tc>
          <w:tcPr>
            <w:tcW w:w="17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(135,000)</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(113,000)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2013</w:t>
            </w:r>
          </w:p>
        </w:tc>
        <w:tc>
          <w:tcPr>
            <w:tcW w:w="2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$ 4,000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510,000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Preferred Stock Warrant</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2"/>
                <w:szCs w:val="12"/>
                <w:color w:val="auto"/>
              </w:rPr>
            </w:pPr>
          </w:p>
        </w:tc>
        <w:tc>
          <w:tcPr>
            <w:tcW w:w="114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00" w:type="dxa"/>
            <w:vAlign w:val="bottom"/>
          </w:tcPr>
          <w:p>
            <w:pPr>
              <w:spacing w:after="0"/>
              <w:rPr>
                <w:sz w:val="12"/>
                <w:szCs w:val="12"/>
                <w:color w:val="auto"/>
              </w:rPr>
            </w:pPr>
          </w:p>
        </w:tc>
        <w:tc>
          <w:tcPr>
            <w:tcW w:w="7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2013</w:t>
            </w:r>
          </w:p>
        </w:tc>
        <w:tc>
          <w:tcPr>
            <w:tcW w:w="1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$ 4,000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fair value recorded in other income</w:t>
            </w:r>
          </w:p>
        </w:tc>
        <w:tc>
          <w:tcPr>
            <w:tcW w:w="28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(227,000)</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(275,000)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common stock warrants</w:t>
            </w:r>
          </w:p>
        </w:tc>
        <w:tc>
          <w:tcPr>
            <w:tcW w:w="28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(159,000)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(263,000)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(424,000)</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June 30, 2014</w:t>
            </w:r>
          </w:p>
        </w:tc>
        <w:tc>
          <w:tcPr>
            <w:tcW w:w="17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5" w:right="3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Company’s warrants were valued using the Black-Scholes option-pricing model. The following assumptions were used in the Black-Scholes option pricing model to determine the fair value of the preferred stock warrant liability:</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 years</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2.29%-2.90%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64%-65%</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preferred stock warrant liability was reclassified into additional paid-in capital at its fair value in connection with the IPO on April 15, 2014.</w:t>
      </w:r>
    </w:p>
    <w:p>
      <w:pPr>
        <w:spacing w:after="0" w:line="370"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record a federal or state income tax benefit for the Company’s losses for the three and six months ended June 30, 2014 and 2013 due to the Company’s conclusion that the valuation allowance is required.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2014, the Company converted convertible promissory notes held by existing investors to common shares, as described in Note 5.</w:t>
      </w:r>
    </w:p>
    <w:p>
      <w:pPr>
        <w:spacing w:after="0" w:line="117"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2014, the Company converted all outstanding shares of the Company’s preferred stock held by existing investors into 6,826,004 shares of the Company’s common stock.</w:t>
      </w:r>
    </w:p>
    <w:p>
      <w:pPr>
        <w:spacing w:after="0" w:line="53" w:lineRule="exact"/>
        <w:rPr>
          <w:rFonts w:ascii="Times New Roman" w:cs="Times New Roman" w:eastAsia="Times New Roman" w:hAnsi="Times New Roman"/>
          <w:sz w:val="18"/>
          <w:szCs w:val="18"/>
          <w:b w:val="1"/>
          <w:bCs w:val="1"/>
          <w:color w:val="auto"/>
        </w:rPr>
      </w:pPr>
    </w:p>
    <w:p>
      <w:pPr>
        <w:ind w:left="4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2013, the Company entered into a laboratory, equipment sharing, services and license agreement with an entity affiliated with one of the Company’s directors. This agreement was terminated on April 1, 2014 and at June 30, 2014, $4,000 was included in accounts receivable, prepaid expenses and other assets in connection with this agreement. On April 1, 2014, the Company sold used equipment to this entity and received proceeds for sale of equipment of $30,000 from such sale.</w:t>
      </w:r>
    </w:p>
    <w:p>
      <w:pPr>
        <w:spacing w:after="0" w:line="32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11, 2014, the Company signed a lease amendment to expand its leased premises at 840 Memorial Drive, Cambridge, Massachusetts, by approximately 8,628 rentable square feet. The amendment has a commencement date of July 15, 2014 and the lease expires on February 29, 2016. Total base rent for the additional rented space through the end of the lease term amounts to $514,000.</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Our nanoparticle-drug conjugate product candidates consist of proprietary polymers that are covalently linked to anti-cancer therapeutics, or payloads. We believe these nanoparticle-drug conjugates dynamically target tumors by exploiting the leakiness of new blood vessels in tumors as an entry portal into tumor tissue, followed by active uptake into tumor cells and the sustained release of the anti-cancer payload inside the tumor cells.</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devoted substantially all of our resources to our drug discovery and development efforts, including conducting clinical trials for our product candidates, protecting our intellectual property and the general and administrative support of these operations. To date, we have generated no revenue from product sales. We expect that it will be several years before we commercialize a product candidate, if ever. Through June 30, 2014, we have funded our operations primarily through $84.2 million in proceeds from the sale of shares of our convertible preferred stock, net proceeds of $59.9 million from sales of our shares to the public, $17.3 million in proceeds from our sale of convertible promissory notes, and $10.0 million in proceeds from borrowings under our loan and security agreement with Lighthouse Capital Partners VI, L.P., or Lighthouse Capital.</w:t>
      </w:r>
    </w:p>
    <w:p>
      <w:pPr>
        <w:spacing w:after="0" w:line="188"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since our incorporation. As of June 30, 2014, we had an accumulated deficit of $108.8 million. We incurred net losses of approximately $7.4 million and $4.9 million for the three months ended June 30, 2014 and 2013, respectively, and $10.3 million and $10.5 million and for the six months ended June 30, 2014 and 2013, respectively.</w:t>
      </w:r>
    </w:p>
    <w:p>
      <w:pPr>
        <w:spacing w:after="0" w:line="17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from discovery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April 15, 2014, we completed the sale of 8,500,000 shares of common stock in our initial public offering at a price to the public of $7.00 per share. On May 7, 2014, we completed the sale of an additional 1,069,715 shares of common stock at a price to the public of $7.00 per share, pursuant to a partial exercise by the underwriters of their option to purchase additional shares of common stock. The sale of the shares to the public resulted in net proceeds of $59.9 million after deducting underwriting discounts and commissions and offering expenses payable by the Company.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each of the following occurred in the second quarter of 2014 in connection with the completion of our IPO on April 15, 2014:</w:t>
      </w:r>
    </w:p>
    <w:p>
      <w:pPr>
        <w:spacing w:after="0" w:line="131"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convertible preferred stock into 6,826,004 shares of our common stock;</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$17.8 million of outstanding principal and accrued interest on convertible notes into 2,902,233 shares of our common stock; and</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warrants to purchase 1,857,226 shares of convertible preferred stock warrants to purchase 128,663 shares of our common stock and our reclassification of the $0.4 million warrant liability to additional paid-in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455" w:right="2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84"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To date, our only revenue has consisted of a government tax credit that we received in 2010 and payments in 2011, 2012, 2013, and 2014 from four material transfer agreements and a research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consists of costs incurred in connection with the discovery and development of our nanoparticle-drug conjugate platform and our product candidates. These expenses consist primarily of:</w:t>
      </w:r>
    </w:p>
    <w:p>
      <w:pPr>
        <w:spacing w:after="0" w:line="67"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investigative sites that conduct our clinical trials and consultants that conduct a portion of our preclinical studies;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scientific consultants and advisors;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trial materials;</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of fixed assets and other allocated expenses, including direct and allocated expenses for rent and maintenance of facilities and equipment;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supplies, reagents, active pharmaceutical ingredients and other direct and indirect costs in support of our preclinical activities;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products and technology;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non-clinical activities and regulatory approvals.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initiate and continue clinical testing of CRLX301 and advance our earlier-stage research and development projects.</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an unaudited summary of our research and development expenses for the three and six months ended June 30, 2014 and 2013 (in thousands):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7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Pr>
          <w:p>
            <w:pPr>
              <w:spacing w:after="0"/>
              <w:rPr>
                <w:sz w:val="15"/>
                <w:szCs w:val="15"/>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CRLX101</w:t>
            </w:r>
          </w:p>
        </w:tc>
        <w:tc>
          <w:tcPr>
            <w:tcW w:w="3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$ 1,875</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1,301</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$2,768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3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1,004</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524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Nanoparticle-drug conjugate platform</w:t>
            </w:r>
          </w:p>
        </w:tc>
        <w:tc>
          <w:tcPr>
            <w:tcW w:w="3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3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337</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$ 2,648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3,195</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4,143</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80" w:type="dxa"/>
            <w:vAlign w:val="bottom"/>
            <w:vMerge w:val="restart"/>
          </w:tcPr>
          <w:p>
            <w:pPr>
              <w:jc w:val="right"/>
              <w:ind w:right="1693"/>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our research and development programs.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CRLX101</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initiated a randomized, Phase 2 clinical trial of CRLX101 in combination with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patients with relapsed renal cell carcinoma. We are supporting a Phase 2 investigator-sponsored trial, (or “IST”) of CRLX101 as monotherapy in patients with relapsed ovarian cancer and a Phase 2 IST of CRLX101 in combination with Avastin in patients with relapsed platinum-resistant ovarian cancer. Assuming positive results from the IST in relapsed ovarian cancer of CRLX101 in combination with Avastin, we expect to initiate, in 2015, a Phase 2 randomized clinical trial of CRLX101 in combination with Avastin in this indication. We are supporting a Phase 1b/2 IST of CRLX101 in combination with chemoradiotherapy, consisting of capecitabine and radiotherapy, in patients with early stage rectal cancer (typically non-metastatic) being treated in a neoadjuvant setting, and, assuming favorable results from this trial, we expect to commence a randomized, Phase 2 clinical trial of CRLX101 in combination with chemoradiotherapy in this indication in 2015. We refer to this form of treatment as neoadjuvant therapy, and we refer to patients who receive neoadjuvant therapy as patients with neoadjuvant rectal cancer.</w:t>
      </w:r>
    </w:p>
    <w:p>
      <w:pPr>
        <w:spacing w:after="0" w:line="185"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76"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Under our license agreement with Calando Pharmaceuticals, Inc., or “Calando”, pursuant to which we obtained rights to CRLX101, or the CRLX101 Agreement, we will be required to make regulatory and commercial milestone payments in an aggregate amount of up to $32.8 million to Calando upon the achievement of specified regulatory and commercial milestones.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CRLX301</w:t>
      </w:r>
    </w:p>
    <w:p>
      <w:pPr>
        <w:spacing w:after="0" w:line="119"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We are currently conducting preclinical studies of CRLX301 and intend to commence clinical trials by the end of 2014. We cannot accurately predict future research and development expenses for our CRLX301 program because such costs are dependent on a number of variables, including, among others, the cost and design of any additional clinical trials, the duration of the regulatory process and the results of the planned Phase 1 clinical trials and any future trials.</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Under our license agreement with Calando pursuant to which we obtained rights to Calando’s cyclodextrin system for purposes of conjugating or complexing certain other therapeutic agents to the system, or the Platform Agreement, we will be required to pay a $250,000 clinical development milestone to Calando when we initiate our Phase 1 clinical trial of CRLX301. We intend to initiate the Phase 1 clinical trial and pay this milestone by the end of 2014. We may also be required to make regulatory and commercial milestone payments in an aggregate amount of up to $17.8 million to Calando upon the achievement of specified regulatory and commercial milestones. Further, under the Platform Agreement, if we, or one of our affiliates, sell CRLX301, we are required to pay tiered royalty payments ranging from low- to mid-single digits, as a percentage of worldwide net sales, depending on whether there is patent protection for CRLX301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 double digits.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Nanoparticle-drug conjugates</w:t>
      </w:r>
    </w:p>
    <w:p>
      <w:pPr>
        <w:spacing w:after="0" w:line="11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expect that the expenses related to our nanoparticle-drug conjugate will continue to increase as we seek to identify additional targets for preclinical research and add personnel to these projects. We cannot accurately predict future research and development expenses for our nanoparticle-drug conjugate because such costs are dependent on a number of variables, including the success of preclinical studies on any such nanoparticle-drug conjugates.</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successful development of any of our product candidates is highly uncertain. As such, at this time, we cannot reasonably predict with certainty the duration and costs of the current or future clinical trials of any of our product candidates or if, when or to what extent we will generate revenues from any commercialization and sale of any of our product candidates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that obtain marketing approval. We may never succeed in achieving regulatory approval for any of our product candidates. The duration, costs and timing of clinical trials and development of our product candidates will depend on a variety of factors, including:</w:t>
      </w:r>
    </w:p>
    <w:p>
      <w:pPr>
        <w:spacing w:after="0" w:line="67"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rate of progress of our ongoing as well as any additional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other research and development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ongoing as well as any additional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and the terms and success of those partnerships, if any, including the timing and amount of payments that we might receive from potential strategic partners;</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commercialize and achieve market acceptance for any of our product candidates that we are developing or may develop in the future;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and maintaining, enforcing and defending intellectual property-related claims.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Any change in the outcome of any of these variables with respect to the development of a product candidate could mean a significant change in the cost and timing associated with the development of that product candidate. For example, if the U.S. Food and Drug Administration, or the FDA, or a comparable non-U.S.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8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when, or to what extent, we will generate revenues from the commercialization and sale of any of our product candidates. We anticipate that we will make determinations as to which additional programs to pursue and how much funding to direct to each program on an ongoing basis in response to the scientific and clinical success of each product candidate, as well as our ongoing assessment of the product candidate’s commercial potential. We will need to raise additional capital in the future in order to complete the development and commercialization of CRLX101 and CRLX301 and to fund the development of our other product candidates.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our executive, finance, business development, marketing,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for, among others, the following reasons:</w:t>
      </w:r>
    </w:p>
    <w:p>
      <w:pPr>
        <w:spacing w:after="0" w:line="131" w:lineRule="exact"/>
        <w:rPr>
          <w:sz w:val="20"/>
          <w:szCs w:val="20"/>
          <w:color w:val="auto"/>
        </w:rPr>
      </w:pPr>
    </w:p>
    <w:p>
      <w:pPr>
        <w:ind w:left="900" w:right="8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increased general and administrative expenses to support our research and development activities, which we expect to expand as we continue to pursue the development of our product candidates;</w:t>
      </w:r>
    </w:p>
    <w:p>
      <w:pPr>
        <w:spacing w:after="0" w:line="67"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general and administrative expenses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81"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begin to incur expenses related to sales and marketing of our product candidates in anticipation of commercial launch before we receive regulatory approval of a product candidate.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The primary objective of our investment policy is capital preservation.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amortization of debt discount and amortization of deferred financing costs associated with our debt facility with Lighthouse Capital and interest expense on our convertible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Loss on extinguishment of debt is associated with the loss recorded on the conversion of the 2014 convertible notes, equal to the difference between the fair value of shares into which the notes converted and the carrying amount of the notes upon the closing of the Company’s IPO on April 15,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Preferred Stock Warrant Liability</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preferred stock warrant liability is associated with warrants to purchase shares of our preferred stock issued to lenders and investors. The change in fair value consists of the calculated change in value based upon the fair value of the underlying security at the end of each reporting period as calculated using the Black-Scholes option-pricing model. The preferred stock warrants were automatically adjusted on the date of the closing of the IPO, April 15, 2014 to provide for the issuance of shares of common stock upon their exercise. The preferred stock warrant liability has been reclassed to additional paid-in capital as of April 15,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2014 and 2013 (Unaudited)</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June 30, 2014 and 2013, together with the changes in those items in dollars and as a percentage (in thousands, except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2,648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637</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(4,644)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(2,759)</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(2,453)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(7,403)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(2,510)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21" w:lineRule="exact"/>
        <w:rPr>
          <w:sz w:val="20"/>
          <w:szCs w:val="20"/>
          <w:color w:val="auto"/>
        </w:rPr>
      </w:pPr>
    </w:p>
    <w:p>
      <w:pPr>
        <w:jc w:val="both"/>
        <w:ind w:right="4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June 30, 2014 was $33,000 compared to $0 for the three months ended June 30, 2013. We recorded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 2014 in connection with a material transfer agreement. Pursuant to the agreements, we received payments in exchange for providing research services utilizing our proprietary technology for research purposes.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 by program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and 2013, together with the change in spending by program in dollars and as a percentage (in thousands, except percentages):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Dollar</w:t>
            </w:r>
          </w:p>
        </w:tc>
        <w:tc>
          <w:tcPr>
            <w:tcW w:w="4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CRLX101</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$ 574</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1,004</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(644)</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Nanoparticle-drug conjugate platform</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697</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(464)</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3,195</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(547)</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June 30, 2014 was $2.7 million compared to $3.2 million for the three months ended June 30, 2013, a decrease of $0.5 million, or 17%. The $0.6 million increase in CRLX101 expense was primarily the result of initiating the randomized Phase 2 trial in renal cell carcinoma. Clinical trial expenses increased by $0.7 million due to setting up clinical sites and laboratories, contract research organization, or CRO, and investigator fees. These increases were offset by a decrease in IST clinical trial expenses and clinical consultant fees of $0.1 million. The decrease in spending on the CRLX301 program for the three months ended June 30, 2014 was the result of lower cost chemistry, manufacturing, and controls, or CMC, activities to complete material for the Phase 1 clinical trial compared to higher cost CMC development activities during the three months ended June 30, 2013. Expenses associated with our nanoparticle-drug conjugate platform decreased $0.5 million, mainly as a result of reduced staff in new discovery research as our primary emphasis shifted to the development of our existing product candidates.</w:t>
      </w:r>
    </w:p>
    <w:p>
      <w:pPr>
        <w:spacing w:after="0" w:line="18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three months ended June 30, 2014 was $2.0 million compared to $1.4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June 30, 2013, an increase of $0.6 million, or 43%. The increase was mainly due to the incremental costs of being a public company, including financial printing services associated with required filings, cash retainer fees paid to Board members, insurance for directors and officers, and increased recruitment fees.</w:t>
      </w:r>
    </w:p>
    <w:p>
      <w:pPr>
        <w:spacing w:after="0" w:line="177"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expense, net for the three months ended June 30, 2014 was $2.8 million compared to $0.3 million net expense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June 30, 2013, an increase of $2.5 million. The increase in net expense primarily resulted from a loss incurred on the conversion of our 2014 convertible notes to common stock of $2.5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2014 and 2013 (Unaudited)</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six months ended June 30, 2014 and 2013, together with the changes in those items in dollars and as a percentage (in thousands, except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(2,531)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175</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2,436</w:t>
            </w: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5"/>
              </w:rPr>
              <w:t>(2,288)</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148</w:t>
            </w: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21" w:lineRule="exact"/>
        <w:rPr>
          <w:sz w:val="20"/>
          <w:szCs w:val="20"/>
          <w:color w:val="auto"/>
        </w:rPr>
      </w:pPr>
    </w:p>
    <w:p>
      <w:pPr>
        <w:jc w:val="both"/>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six months ended June 30, 2014 was $80,000 compared to $0 for the six months ended June 30, 2013. We recorded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2014 in connection with two material transfer agreements. Pursuant to the agreements, we received payments in exchange for providing research services utilizing our proprietary technology for research purposes.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 by program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and 2013, together with the change in spending by program in dollars and as a percentage (in thousands, except percentages):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4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3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CRLX101</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(1,332)</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Nanoparticle-drug conjugate platform</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(877)</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(2,531)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for the six months ended June 30, 2014 was $4.1 million compared to $6.7 million for the six months ended June 30, 2013, a decrease of $2.6 million, or 38%. The decrease was reflected across all programs. The $0.2 million decrease in CRLX101 expense was primarily the result of a decrease in external research expenses of $0.1 million and a decrease in development expenses of $0.1 million. The decrease in spending on the CRLX301 program for the six months ended June 30, 2014 compared to the six months ended June 30, 2013 was the result of our completion of development activities, such as investigational new drug, or IND, enabling studies and process development, early in 2013. Expenses associated with our nanoparticle-drug conjugate platform decreased $0.9 million, mainly as a result of reduced staff in new discovery research as our primary emphasis shifted to the development of our existing product candidates. The $0.1 million decrease in overhead expense was due mainly to a reduction in retainer-based advisory agreements and reduced depreciation expense.</w:t>
      </w:r>
    </w:p>
    <w:p>
      <w:pPr>
        <w:spacing w:after="0" w:line="181"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six months ended June 30, 2014 was $3.5 million compared to $3.4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June 30, 2013, an increase of $0.1 million, or 3%. The increase was the result of a $0.1 million increase in stock-based compensation expense for the six months ended June 30, 2014 compared to the six months ended June 30, 2013.</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expense, net for the six months ended June 30, 2014 was $2.7 million compared to $0.4 million net expense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June 30, 2013, an increase of $2.3 million. The increase in net expense primarily resulted from a loss incurred on the conversion of convertible debt to common stock of $2.5 million and a $0.1 million increase in interest expense. The increase was offset by a decrease of $0.3 million due to a decrease in the value of the preferred stock warrant liability.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From our incorporation through June 30, 2014, we have raised an aggregate of $171.4 million to fund our operations, of which $84.2 million was from the sale of preferred stock, $59.9 million was from our initial public offering, $17.3 million was from the sale of convertible promissory notes, and $10.0 million was from borrowings under our loan and security agreement with Lighthouse Capital. As of June 30, 2014, we had cash and cash equivalents of approximately $64.3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2011, we entered into a loan and security agreement, or the “loan agreement”, with Lighthouse Capital. The loan agreement permitted us to borrow up to an aggregate principal amount of $10.0 million. We borrowed $5.0 million in March 2012 and an additional $5.0 million in August 2012. The loan agreement is secured by substantially all of our assets other than our intellectual property. We have also granted Lighthouse Capital a negative pledge with respect to our intellectual property, which, among other things, prohibits us from selling, transferring, assigning, mortgaging, pledging, leasing, granting a security interest in or otherwise encumbering our intellectual property. The loan agreement includes restrictive covenants that may restrict our ability to obtain further debt or equity financing. The aggregate principal amount outstanding under the loan agreement accrues interest at an annual rate of 8.25% and is payable in 36 monthly payments beginning on December 1, 2012, with a one-time final payment of 6% of the original principal amount due on December 1, 2015. As of June 30, 2014, there was $5.0 million in aggregate principal amount outstanding under the loan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2013, we issued and sold convertible promissory notes, or our 2013 convertible notes, in an aggregate principal amount of $8.8 million to certain of our stockholders. Our 2013 convertible notes accrued interest at an annual rate of 7%. In connection with the completion of our IPO on April 15, 2014, all principal and accrued interest under our 2013 convertible notes converted into an aggregate of 1,319,302 shares of our common stock, at the IPO price of $7.00 per share.</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2014, we issued and sold convertible promissory notes, or our 2014 convertible notes, in an aggregate principal amount of $8.5 million to certain of our stockholders and one additional purchaser. The 2014 convertible notes accrued interest at an annual rate of 7%. In connection with the completion of our IPO on April 15, 2014, all principal and accrued interest under our 2014 convertible notes converted into an aggregate of 1,582,931 shares of our common stock, at 77.5% of the IPO per share price, or $5.43 per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third-party clinical research and development services, contract manufacturing services, laboratory and related supplies, clinical trial costs, legal and other regulatory expenses and general overhead costs.</w:t>
      </w:r>
    </w:p>
    <w:p>
      <w:pPr>
        <w:spacing w:after="0" w:line="16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as of June 30, 2014 will fund our operating expenses, debt service and capital expenditure requirements into the first quarter of 2016, which we expect will enable us to fund our planned randomized Phase 2 clinical trial of CRLX101 in combination with Avastin in relapsed renal cell carcinoma, to support the ongoing CRLX101 ISTs and to fund our planned Phase 1 clinical trial of CRLX301. We have based these estimates on assumptions that may prove to be wrong, and we may exhaust our capital resources sooner than we currently expect. If we achieve positive results from our ISTs in relapsed ovarian cancer and/or neoadjuvant rectal cancer, and determine to initiate randomized Phase 2 clinical trials, we will need to raise additional capital to complete those clinical trials. In addition, the process of testing product candidates in clinical trials is costly, and the timing of progress in clinical trials is uncertain. Because our drug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95"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of CRLX101;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of CRLX301;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supply of our product candidates and costs thereof;</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drug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we pursue;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collaborative agreements and achieve milestones under those agreements;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and technologies.</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period set forth below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net use of cash in all periods resulted primarily from our net losses adjusted for non-cash charges and changes in components of working capital.</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$7.9 million for the six months ended June 30, 2014 compared with $10.1 million for the six months ended June 30, 2013, a decrease of $2.2 million. The decrease primarily resulted from a $2.5 million decrease in research and development expense, offset by a $0.2 million increase in general and administrative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$2,000 for the six months ended June 30, 2014 compared to $5,000 used in investing activities for the six months ended June 30, 2013. The change of $7,000 was due to the result of proceeds from the sale of property and equipment of $40,000 for the six months ended June 30, 2014 compared to no proceeds for the six months ended June 30, 2013. The proceeds were offset by purchases of additional research laboratory equipment and employee computers during the six months ended June 30, 2014 of $38,000 compared to similar purchases of $5,000 in the six months ended June 30, 2013.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$66.7 million during the six months ended June 30, 2014 compared to net cash used in financing activities of $1.5 million during the six months ended June 30, 2013. During the six months ended June 30, 2014, we raised net proceeds of $59.9 million through our initial public offering and $8.3 million through the sale of convertible promissory notes. We repaid indebtedness under the loan agreement with Lighthouse Capital in the amount of $1.6 million during the six months ended June 30, 2014 compared to repayments of $1.5 million during the six months ended June 30, 2013. We received $0.1 million of proceeds from the exercise of common stock options for the six months ended June 30, 2014 compared to $16,000 for the six months ended June 30, 2013.</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On July 11, 2014, we signed a lease amendment to expand our leased premises at 840 Memorial Drive, Cambridge, MA, by approximately 8,628 rentable square feet. The amendment has a commencement date of July 15, 2014 and the lease expires on February 29, 2016. Total base rent for the additional rented space through the end of the lease term amounts to $514,000.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June 2014, the Financial Accounting Standards Board, or the “FASB”, issued Accounting Standards Update, or “ASU,” No. 2014-10,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Stage Entities: Elimination of Certain Financial Reporting Requirements, Including an Amendment to Variable Interest Entities Guidance in Topic 810, Consolidation</w:t>
      </w:r>
      <w:r>
        <w:rPr>
          <w:rFonts w:ascii="Times New Roman" w:cs="Times New Roman" w:eastAsia="Times New Roman" w:hAnsi="Times New Roman"/>
          <w:sz w:val="18"/>
          <w:szCs w:val="18"/>
          <w:color w:val="auto"/>
        </w:rPr>
        <w:t>. This accounting standard eliminates all incremental financial reporting requirements from U.S. GAAP for development stage entities,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improving financial reporting by reducing the cost and complexity associated with providing the information. We will no longer be required to present inception-to-date information. This ASU is effective on a prospective basis for annual and interim reporting periods beginning on or after December 15, 2014, with early adoption permitted. We have elected to early adopt the ASU for our June 30, 2014 financial statements. Our adoption of this standard as of June 30, 2014 did not have a material impact on our condensed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June 30, 2014, we had cash and cash equivalents of approximately $64.3 million, consisting primarily of investments in United States Treasuries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and principal financial officer, to allow timely decisions regarding required disclosure.</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June 30,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June 30, 2014, that has materially affected, or is reasonably likely to materially affect, our internal control over financial reporting.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risks. We caution you that the following important factors, among others, could cause our actual results to differ materially from those expressed in forward-looking statements made by us or on our behalf in filings with the SEC, press releases, communications with investors and oral statements. Any or all of our forward-looking statements in this Quarterly Report on Form 10-Q and in any other public statements we make may turn out to be wrong. They can be affected by inaccurate assumptions we might make or by known or unknown risks and uncertainties. Many factors mentioned in the discussion below will be important in determining future results. Consequently, no forward-looking statement can be relied upon. Actual future results may differ materially from those anticipated in our forward-looking statements. We undertake no obligation to update any forward-looking statements, whether as a result of new information, future events or otherwise. You are advised, however, to consult any further disclosure we make in our reports filed with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Since incorporation, we have incurred significant operating losses. As of June 30, 2014, we had an accumulated deficit of $108.8 million. We do not know whether or when we will become profitable. We have not generated any revenues to date from product sales and have financed our operations primarily through the public offering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95" w:lineRule="exact"/>
        <w:rPr>
          <w:sz w:val="20"/>
          <w:szCs w:val="20"/>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company-sponsored clinical trials of CRLX101, our most advanced product candidate, including single-arm trials and randomized trials;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ongoing and any new investigator-sponsored clinical trials, or ISTs, of CRLX101;</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our planned Phase 1 clinical trial of CRLX301, our second most advanced product candidate;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development of additional product candidates utilizing our Dynamic Tumor Targeting Platform;</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440" w:right="660" w:hanging="324"/>
        <w:spacing w:after="0" w:line="28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future, establish a sales, marketing and distribution infrastructure in the United States and scale up external manufacturing capabilities to commercialize any products for which we may obtain regulatory approval;</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quality and scientific personnel; and</w:t>
      </w:r>
    </w:p>
    <w:p>
      <w:pPr>
        <w:spacing w:after="0" w:line="130" w:lineRule="exact"/>
        <w:rPr>
          <w:rFonts w:ascii="Times New Roman" w:cs="Times New Roman" w:eastAsia="Times New Roman" w:hAnsi="Times New Roman"/>
          <w:sz w:val="18"/>
          <w:szCs w:val="18"/>
          <w:color w:val="auto"/>
        </w:rPr>
      </w:pPr>
    </w:p>
    <w:p>
      <w:pPr>
        <w:ind w:left="440" w:right="240" w:hanging="324"/>
        <w:spacing w:after="0" w:line="282"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addition, although we successfully completed and received the net proceeds from our recently completed initial public offering, or our IPO, given our planned expenditures for the next several years, including, without limitation, expenditures in connection with our clinical trials of CRLX101, our independent registered public accounting firm may conclude, in connection with the preparation of our financial statements for fiscal year 2014 or any other subsequent period that there is substantial doubt regarding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pharmaceutical products.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initiate planned clinical trials of CRLX101, continue to support ongoing and any new ISTs of CRLX101, prepare for and initiate a Phase 1 clinical trial of CRLX301 and continue research and development and initiate additional clinical trials of, and seek regulatory approval for, these and other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plan to use the net proceeds from our IPO primarily to fund our ongoing research and development efforts. We will be required to expend significant funds in order to advance development of CRLX101, CRLX301 and our other potential product candidates. The net proceeds from our IPO and our existing cash and cash equivalents will not be sufficient to fund all of the efforts that we plan to undertake, such as our planned Phase 2 trial of CRLX101 in ovarian cancer and our planned Phase 2 trial of CRLX101 in patients with rectal cancer who are being treated through the administration of therapeutics prior to surgery (we refer to this form of treatment as neoadjuvant therapy and to patients who receive neoadjuvant therapy as patients with neoadjuvant rectal cancer), or to fund completion of clinical development of any of our product candidates. Accordingly, we will be required to obtain further funding through public or private equity offerings, debt financings, collaborations or licensing arrangements or other sources. Adequate and additional funding may not be available to us on acceptable terms or at all. If we elect to obtain any additional debt financing, our ability to do so may be limited by covenants we have made under our loan and security agreement with Lighthouse Capital Partners VI, L.P., or Lighthouse Capital, and our pledge to Lighthouse Capital of substantially all of our assets, other than our intellectual property, as collateral. We have also granted Lighthouse Capital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89"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as of June 30, 2014 will enable us to fund our operating expenses, debt service and capital expenditure requirements into the first quarter of 2016. We have based this estimate on assumptions that may prove to be wrong, and we could use our capital resources sooner than we currently expect. Our future capital requirements will depend on many factors, including:</w:t>
      </w:r>
    </w:p>
    <w:p>
      <w:pPr>
        <w:spacing w:after="0" w:line="82" w:lineRule="exact"/>
        <w:rPr>
          <w:sz w:val="20"/>
          <w:szCs w:val="20"/>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product candidates we pursue;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440" w:right="260" w:hanging="324"/>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30" w:lineRule="exact"/>
        <w:rPr>
          <w:rFonts w:ascii="Times New Roman" w:cs="Times New Roman" w:eastAsia="Times New Roman" w:hAnsi="Times New Roman"/>
          <w:sz w:val="18"/>
          <w:szCs w:val="18"/>
          <w:color w:val="auto"/>
        </w:rPr>
      </w:pPr>
    </w:p>
    <w:p>
      <w:pPr>
        <w:ind w:left="440" w:right="220" w:hanging="324"/>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technology;</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59"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and/or license and development agreements with collaboration partners. We do not have any committed external source of funds. To the extent that we raise additional capital through the sale of equity or convertible debt securities, your ownership interest may be materially diluted, and the terms 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such securities could include liquidation or other preferences that adversely affect your rights as a common stockholder.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5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As of June 30, 2014, we had $5.0 million of outstanding borrowings under our loan and security agreement with Lighthouse Capital, which we are required to repay in monthly installments through November 2015. We do not intend to use the net proceeds of our IPO to prepay any of these borrowings. We could in the future incur additional indebtedness beyond our borrowings from Lighthouse Capital.</w:t>
      </w:r>
    </w:p>
    <w:p>
      <w:pPr>
        <w:spacing w:after="0" w:line="176"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Our outstanding indebtedness combined with our other financial obligations and contractual commitments, including any additional indebtedness beyond our borrowings from Lighthouse Capital, could have significant adverse consequences, including:</w:t>
      </w:r>
    </w:p>
    <w:p>
      <w:pPr>
        <w:spacing w:after="0" w:line="67" w:lineRule="exact"/>
        <w:rPr>
          <w:sz w:val="20"/>
          <w:szCs w:val="20"/>
          <w:color w:val="auto"/>
        </w:rPr>
      </w:pPr>
    </w:p>
    <w:p>
      <w:pPr>
        <w:ind w:left="440" w:right="420" w:hanging="324"/>
        <w:spacing w:after="0" w:line="28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2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Failure to make payments or comply with other covenants under our existing debt instruments could result in an event of default and acceleration of amounts due. If an event of default occurs and Lighthouse Capital accelerates the amounts due, we may not be able to make accelerated payments, and Lighthouse Capital could seek to enforce security interests in the collateral securing such indebtedness, which includes substantially all of our assets other than our intellectual property.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drugs and with radiotherapy.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we have never had a product candidate receive approval or clearance from the FDA or a non-U.S. regulatory authority. While the FDA has approved nanoparticles such as Doxil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(doxorubicin hydrochloride liposome injection) and Abraxane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product candidates, if any, than we expect.</w:t>
      </w:r>
    </w:p>
    <w:p>
      <w:pPr>
        <w:spacing w:after="0" w:line="1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particularly dependent on the success of our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7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 open-label, randomized Phase 2 clinical trial of CRLX101 as monotherapy in patients with advanced NSCLC who had progressed through one or two prior regimens of chemotherapy. This Phase 2 clinical trial failed to meet its primary endpoint of improvement in overall survival of the CRLX101-treated group as compared to the control arm of the study, which was best supportive care.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successful completion of clinical trials, the success of CRLX101 will also depend on several other factors, including the following:</w:t>
      </w:r>
    </w:p>
    <w:p>
      <w:pPr>
        <w:spacing w:after="0" w:line="131" w:lineRule="exact"/>
        <w:rPr>
          <w:sz w:val="20"/>
          <w:szCs w:val="20"/>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the FDA or other applicable regulatory authorities;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for CRLX101, if any;</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 party raw materials suppliers and manufacturers;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 party manufacturers to obtain finished drug products that are appropriately packaged for sale;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of commercial sales if and when approved;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CRLX101 following any marketing approval;</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if and when approved, by patients, the medical community and third party payors;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pricing sufficient to realize a meaningful return on our investment;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therapies.</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spacing w:after="0" w:line="82" w:lineRule="exact"/>
        <w:rPr>
          <w:sz w:val="20"/>
          <w:szCs w:val="20"/>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w:t>
      </w:r>
    </w:p>
    <w:p>
      <w:pPr>
        <w:spacing w:after="0" w:line="130" w:lineRule="exact"/>
        <w:rPr>
          <w:rFonts w:ascii="Times New Roman" w:cs="Times New Roman" w:eastAsia="Times New Roman" w:hAnsi="Times New Roman"/>
          <w:sz w:val="18"/>
          <w:szCs w:val="18"/>
          <w:color w:val="auto"/>
        </w:rPr>
      </w:pPr>
    </w:p>
    <w:p>
      <w:pPr>
        <w:ind w:left="440" w:right="80" w:hanging="324"/>
        <w:spacing w:after="0" w:line="282"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ectPr>
          <w:pgSz w:w="11900" w:h="16842" w:orient="portrait"/>
          <w:cols w:equalWidth="0" w:num="1">
            <w:col w:w="11360"/>
          </w:cols>
          <w:pgMar w:left="240" w:top="455" w:right="299" w:bottom="0" w:gutter="0" w:footer="0" w:header="0"/>
        </w:sectPr>
      </w:pP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focusing the clinical development of CRLX101 on combinations with Avastin in relapsed renal cell carcinoma and relapsed ovarian cancer and with capecitabine and radiotherapy in neoadjuvant rectal cancer and may focus on additional combinations in the future. If the FDA revokes</w:t>
      </w:r>
    </w:p>
    <w:p>
      <w:pPr>
        <w:sectPr>
          <w:pgSz w:w="11900" w:h="16842" w:orient="portrait"/>
          <w:cols w:equalWidth="0" w:num="1">
            <w:col w:w="11360"/>
          </w:cols>
          <w:pgMar w:left="240" w:top="455" w:right="299"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its approval of, or if safety, efficacy, manufacturing or supply</w:t>
      </w:r>
    </w:p>
    <w:p>
      <w:pPr>
        <w:spacing w:after="0" w:line="16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219"/>
          </w:cols>
          <w:pgMar w:left="240" w:top="117" w:right="1440"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arise with, Avastin, capecitabine, or any other therapeutic that we use in combination with CRLX101 in the future, we may be unable to market CRLX101 or may experience significant regulatory delays or supply shortages, and our business could be materially harmed.</w:t>
      </w:r>
    </w:p>
    <w:p>
      <w:pPr>
        <w:spacing w:after="0" w:line="15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There are ongoing ISTs evaluating CRLX101 (1) in combination with Avastin in patients with relapsed renal cell carcinoma, (2) in combination with Avastin in patients with relapsed ovarian cancer and (3) in combination with capecitabine (capecitabine) and radiotherapy in patients with neoadjuvant rectal cancer, have commenced a company-sponsored trial of CRLX101 in combination with Avastin in patients with relapsed renal cell carcinoma, and we expect to commence company-sponsored trials of CRLX101 in combination with Avastin in patients with relapsed ovarian cancer and in combination with capecitabine and radiotherapy in patients with neoadjuvant rectal cancer. Avastin is currently approved to treat various cancers, and the combination of capecitabine and radiotherapy is currently the standard of care in neoadjuvant rectal cancer in the United States. However, we did not develop or obtain regulatory approval for, and we do not manufacture or sell, Avastin or capecitabine. We may also seek to develop our product candidates in combination with other therapeutics in the future.</w:t>
      </w:r>
    </w:p>
    <w:p>
      <w:pPr>
        <w:spacing w:after="0" w:line="18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If the FDA revokes its approval of either Avastin or capecitabine, we will not be able to market CRLX101 in combination with such revoked therapeutic. If safety or efficacy issues arise with Avastin or capecitabine or any other therapeutics that we seek to combine with our product candidates in the future, we may experience significant regulatory delays, and the FDA may require us to redesign or terminate the applicable clinical trials. Moreover, if Avastin or capecitabine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Avastin or capecitabine, as applicable. If capecitabine and radiotherapy is replaced as the standard of care for treatment of neoadjuvant rectal cancer, the results, if any, of the ongoing IST or our planned company-sponsored clinical trial in neoadjuvant rectal cancer may be less meaningful, and the FDA may require us to conduct additional clinical trials of CRLX101 prior to any regulatory approval in this indication. In addition, if manufacturing, cost or other issues result in a supply shortage of Avastin, capecitabine or any other combination therapeutics, we may not be able to complete clinical development of CRLX101 on our current timeline or at all.</w:t>
      </w:r>
    </w:p>
    <w:p>
      <w:pPr>
        <w:spacing w:after="0" w:line="18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Even if CRLX101 were to receive regulatory approval and be commercialized for use in combination with Avastin or capecitabine or another therapeutic, we would continue to be subject to the risk that the FDA could revoke its approval of Avastin or capecitabine, that safety, efficacy, manufacturing, cost or supply issues could arise with one of these therapeutic agents, or that capecitabine and radiotherapy may be replaced as the standard of care in patients with neoadjuvant rectal cancer. This could result in CRLX101 being removed from the market or being less successful commercially.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hypothesis regarding the role of HIF in cancer cells proves incorrect, it may adversely affect our ability to commercialize and market CRLX101.</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believe that the anti-cancer activity shown by CRLX101 in preclinical tumor models is due in part to its inhibition of HIF, and we have prioritized the clinical development of CRLX101, among other criteria, on HIF-driven tumor types. While HIF-1a has become a target of increasing interest in cancer research and recent research suggests that HIF-1a is a master regulator for many cancer cell survival pathways, the science underlying HIF-1a is based on recent discoveries and not fully understood. Moreover, the exact role of HIF-2a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One of our product candidates is in clinical development, all of our other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demonstrate efficacy in a clinical trial or across a broad population of patients, the occurrence of severe or medically or commercially unacceptable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8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non-small cell lung cancer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Moreover, there are currently multiple open-label ISTs of CRLX101 ongoing, including: a Phase 1b/2 open-label IST of CRLX101 in combination with Avastin in patients with relapsed renal cell carcinoma; a two-part Phase 2 open-label IST in patients with relapsed ovarian cancer, consisting of a single-arm trial of CRLX101 as monotherapy and a single-arm combination trial of CRLX101 and Avastin; and a Phase 1b/2 open-label IST of CRLX101 in combination with chemoradiotherapy in patients with neoadjuvant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approval of a product, and flaws in the design of a clinical trial may not become apparent until the clinical trial is well advanced or completed. We have limited experience in designing clinical trials and may be unable to design and execute a clinical trial to support marketing approval. For example, we believe that sphincter preservation is a clinically meaningful endpoint for the treatment of neoadjuvant rectal cancer, but there can be no assurance that the FDA will agree.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18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5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marketing approval of our product candidates, including:</w:t>
      </w:r>
    </w:p>
    <w:p>
      <w:pPr>
        <w:spacing w:after="0" w:line="67" w:lineRule="exact"/>
        <w:rPr>
          <w:sz w:val="20"/>
          <w:szCs w:val="20"/>
          <w:color w:val="auto"/>
        </w:rPr>
      </w:pPr>
    </w:p>
    <w:p>
      <w:pPr>
        <w:ind w:left="440" w:right="620" w:hanging="324"/>
        <w:spacing w:after="0" w:line="313" w:lineRule="auto"/>
        <w:tabs>
          <w:tab w:leader="none" w:pos="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may produce unfavorable or inconclusive results, such as with our Phase 2 clinical trial of CRLX101 as monotherapy for patients with advanced non-small cell lung cancer who had progressed through one or two prior regimens of chemotherapy;</w:t>
      </w:r>
    </w:p>
    <w:p>
      <w:pPr>
        <w:spacing w:after="0" w:line="43" w:lineRule="exact"/>
        <w:rPr>
          <w:rFonts w:ascii="Times New Roman" w:cs="Times New Roman" w:eastAsia="Times New Roman" w:hAnsi="Times New Roman"/>
          <w:sz w:val="17"/>
          <w:szCs w:val="17"/>
          <w:color w:val="auto"/>
        </w:rPr>
      </w:pPr>
    </w:p>
    <w:p>
      <w:pPr>
        <w:ind w:left="440" w:hanging="324"/>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130" w:lineRule="exact"/>
        <w:rPr>
          <w:rFonts w:ascii="Times New Roman" w:cs="Times New Roman" w:eastAsia="Times New Roman" w:hAnsi="Times New Roman"/>
          <w:sz w:val="18"/>
          <w:szCs w:val="18"/>
          <w:color w:val="auto"/>
        </w:rPr>
      </w:pPr>
    </w:p>
    <w:p>
      <w:pPr>
        <w:ind w:left="440" w:right="20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440" w:right="14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party contractors, including those manufacturing our product candidates or components or ingredients thereof or conducting clinical trials on our behalf, may fail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44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440" w:right="28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67" w:lineRule="exact"/>
        <w:rPr>
          <w:rFonts w:ascii="Times New Roman" w:cs="Times New Roman" w:eastAsia="Times New Roman" w:hAnsi="Times New Roman"/>
          <w:sz w:val="18"/>
          <w:szCs w:val="18"/>
          <w:color w:val="auto"/>
        </w:rPr>
      </w:pPr>
    </w:p>
    <w:p>
      <w:pPr>
        <w:ind w:left="440" w:right="6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67" w:lineRule="exact"/>
        <w:rPr>
          <w:rFonts w:ascii="Times New Roman" w:cs="Times New Roman" w:eastAsia="Times New Roman" w:hAnsi="Times New Roman"/>
          <w:sz w:val="18"/>
          <w:szCs w:val="18"/>
          <w:color w:val="auto"/>
        </w:rPr>
      </w:pPr>
    </w:p>
    <w:p>
      <w:pPr>
        <w:ind w:left="440" w:right="4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440" w:right="260" w:hanging="324"/>
        <w:spacing w:after="0" w:line="26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we may have to suspend or terminate clinical trials of our product candidates for various reasons, including a finding that the participants are being exposed to unacceptable health risks, undesirable side effects or other unexpected characteristics of a product candidate;</w:t>
      </w:r>
    </w:p>
    <w:p>
      <w:pPr>
        <w:spacing w:after="0" w:line="81" w:lineRule="exact"/>
        <w:rPr>
          <w:rFonts w:ascii="Times New Roman" w:cs="Times New Roman" w:eastAsia="Times New Roman" w:hAnsi="Times New Roman"/>
          <w:sz w:val="18"/>
          <w:szCs w:val="18"/>
          <w:color w:val="auto"/>
        </w:rPr>
      </w:pPr>
    </w:p>
    <w:p>
      <w:pPr>
        <w:ind w:left="440" w:right="120" w:hanging="324"/>
        <w:spacing w:after="0" w:line="261"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undesirable side effects or other unexpected characteristics of the product candidate or findings of undesirable effects caused by a chemically or mechanistically similar drug or drug candidate;</w:t>
      </w:r>
    </w:p>
    <w:p>
      <w:pPr>
        <w:spacing w:after="0" w:line="85" w:lineRule="exact"/>
        <w:rPr>
          <w:rFonts w:ascii="Times New Roman" w:cs="Times New Roman" w:eastAsia="Times New Roman" w:hAnsi="Times New Roman"/>
          <w:sz w:val="18"/>
          <w:szCs w:val="18"/>
          <w:color w:val="auto"/>
        </w:rPr>
      </w:pPr>
    </w:p>
    <w:p>
      <w:pPr>
        <w:ind w:left="440" w:right="100" w:hanging="324"/>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non-U.S. regulatory authorities may disagree with our clinical trial design or our interpretation of data from preclinical studies and clinical trials;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40" w:right="80" w:hanging="324"/>
        <w:spacing w:after="0" w:line="28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67" w:lineRule="exact"/>
        <w:rPr>
          <w:rFonts w:ascii="Times New Roman" w:cs="Times New Roman" w:eastAsia="Times New Roman" w:hAnsi="Times New Roman"/>
          <w:sz w:val="18"/>
          <w:szCs w:val="18"/>
          <w:color w:val="auto"/>
        </w:rPr>
      </w:pPr>
    </w:p>
    <w:p>
      <w:pPr>
        <w:ind w:left="440" w:right="680" w:hanging="324"/>
        <w:spacing w:after="0" w:line="28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or manufactured product candidates or other materials necessary to conduct clinical trials of our product candidates may be insufficient, inadequate or not available at an acceptable cost, or we may experience interruptions in supply; and</w:t>
      </w:r>
    </w:p>
    <w:p>
      <w:pPr>
        <w:spacing w:after="0" w:line="67" w:lineRule="exact"/>
        <w:rPr>
          <w:rFonts w:ascii="Times New Roman" w:cs="Times New Roman" w:eastAsia="Times New Roman" w:hAnsi="Times New Roman"/>
          <w:sz w:val="18"/>
          <w:szCs w:val="18"/>
          <w:color w:val="auto"/>
        </w:rPr>
      </w:pPr>
    </w:p>
    <w:p>
      <w:pPr>
        <w:ind w:left="440" w:right="380" w:hanging="324"/>
        <w:spacing w:after="0" w:line="28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conduct, and may in the future conduct, clinical trials for certain of our product candidates at sites outside the United States, and the FDA may not accept data from trials conducted in such locations.</w:t>
      </w:r>
    </w:p>
    <w:p>
      <w:pPr>
        <w:spacing w:after="0" w:line="15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have conducted, and may in the future choose to conduct, one or more of our clinical trials outside the United States. For example, we intend to conduct the Phase 1 portion of a Phase 1/2a clinical trial of CRLX301 in patients with advanced solid tumor malignancies at two cancer centers in Australia commencing by late 2014.</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Generally, the patient population for any clinical trials conducted outside of the United States must be representative of the population for whom we intend to seek approval in the United States. In addition, while these clinical trials are subject to the applicable local laws, FDA acceptance of the data will be dependent upon its determination that the trials also complied with all applicable U.S. laws and regulations. Since we currently do not have an active IND in the United States for CRLX301, unless we are able to obtain an active IND, we would be unable to conduct clinical trials in the United States. There can be no assurance that the FDA will accept data from trials conducted outside of the United States and no assurance that we will be successful in obtaining an IND for CRLX301. If the FDA does not accept the data from our Phase1/2a clinical trial of CRLX301 in Australia or any future trial that we determine to conduct outside the United States, it would likely result in the need for additional trials, which would be costly and time-consuming and delay or permanently halt our development of CRLX301 or any future product candidates.</w:t>
      </w:r>
    </w:p>
    <w:p>
      <w:pPr>
        <w:spacing w:after="0" w:line="193"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spacing w:after="0" w:line="67" w:lineRule="exact"/>
        <w:rPr>
          <w:sz w:val="20"/>
          <w:szCs w:val="20"/>
          <w:color w:val="auto"/>
        </w:rPr>
      </w:pPr>
    </w:p>
    <w:p>
      <w:pPr>
        <w:ind w:left="440" w:hanging="324"/>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restrict or limit our ability to conduct our clinical trials;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clinical trials or other testing of our product candidates beyond the trials and testing that we contemplate, (2) we are unable to successfully complete clinical trials of our product candidates or other testing, (3) the results of these trials or tests are unfavorable, uncertain or are only modestly favorable, such as in our Phase 2 clinical trial of CRLX101 as monotherapy in patients with non-small cell lung cancer, or (4) there are unacceptable safety concerns associated with our product candidates, we, in addition to incurring additional costs, may:</w:t>
      </w:r>
    </w:p>
    <w:p>
      <w:pPr>
        <w:spacing w:after="0" w:line="93" w:lineRule="exact"/>
        <w:rPr>
          <w:sz w:val="20"/>
          <w:szCs w:val="20"/>
          <w:color w:val="auto"/>
        </w:rPr>
      </w:pPr>
    </w:p>
    <w:p>
      <w:pPr>
        <w:ind w:left="440" w:hanging="324"/>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22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request priority review by the FDA for CRLX101 and may also do so for our other product candidates in the future. The FDA may not grant priority review for CRLX101 or any of our other product candidates. Moreover, even if the FDA designated such products for priority review, that designation may not lead to a faster regulatory review or approval process and, in any event, would not assure FDA approval.</w:t>
      </w:r>
    </w:p>
    <w:p>
      <w:pPr>
        <w:spacing w:after="0" w:line="17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may be eligible for priority review designation for our product candidates, including CRLX101, if the FDA determines such product candidates offer major advances in treatment or provide a treatment where no adequate therapy exists. A priority review designation means that the goal for the FDA to review an application is six months, rather than the standard review period of ten months. We may request priority review for CRLX101 if and when we submit an NDA for CRLX101. Our current clinical development timeline assumes CRLX101 will receive priority review. The FDA has broad discretion with respect to whether or not to grant priority review status to a product candidate, so even if we believe a particular product candidate is eligible for such designation or status, the FDA may decide not to grant it. Thus, while the FDA has granted priority review to other oncology products, CRLX101 may not receive similar designation. Moreover, even if CRLX101 or one of our other product candidates is designated for priority review, such a designation does not necessarily mean a faster regulatory review process or necessarily confer any advantage with respect to approval compared to conventional FDA procedures. Receiving priority review from the FDA does not guarantee approval within the six-month review/approval cycle or thereafter.</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may in some instances be able to secure approval from the FDA or comparable non-U.S. regulatory authorities to use accelerated development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anticipate that we may seek an accelerated approval pathway for certain of our product candidates. For example, with respect to our development of CRLX101 for the treatment of neoadjuvant rectal cancer, if we receive positive results from the ongoing IST, we currently plan to commence a Phase 2 randomized clinical trial in 2015. Assuming positive pathologic complete response data from this Phase 2 trial, we would expect to commence a Phase 3 trial and file an NDA for accelerated approval based on a surrogate endpoint in this Phase 3 trial. Pathologic complete response would be considered a surrogate endpoint under this approach.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will otherwise evaluate our ability to seek and receive such accelerated approval. There can be no assurance that the FDA will agree that pathologic complete response is an appropriate surrogate endpoint or appropriate intermediate clinical endpoint for accelerated approval of CRLX101 for neoadjuvant rectal cancer.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non-U.S. authorities could also require us conduct further studies prior to considering our application or granting approval of any type. A failure to obtain accelerated approval or any other form of expedited development, review or approval for CRLX101 for neoadjuvant rectal cancer or any of our other product candidates would result in a longer time period to commercialization of such product candidate, could increase the cost of development of such product candidate and could harm our competitive position in the marketplace.</w:t>
      </w:r>
    </w:p>
    <w:p>
      <w:pPr>
        <w:spacing w:after="0" w:line="1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or undesirable side effects or other unexpected properties of CRLX101 or any of our other product candidates may be identified during development that could delay or prevent the product candidate’s marketing approval.</w:t>
      </w:r>
    </w:p>
    <w:p>
      <w:pPr>
        <w:spacing w:after="0" w:line="159"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side effects or other safety or toxicity issues in our ongoing clinical trials or in clinical trials we conduct in the future, whether due to the inclusion of camptotechin or docetaxel or another therapeutic as the anti-cancer payload in our NDCs or otherwise, we may not receive approval to market, or achieve the commercial success we anticipate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may preferentially concentrate in the liver.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22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 significant portion of the research that we are conducting involves the development of new NDCs based on our Dynamic Tumor Targeting Platform.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spacing w:after="0" w:line="86" w:lineRule="exact"/>
        <w:rPr>
          <w:sz w:val="20"/>
          <w:szCs w:val="20"/>
          <w:color w:val="auto"/>
        </w:rPr>
      </w:pPr>
    </w:p>
    <w:p>
      <w:pPr>
        <w:ind w:left="440" w:hanging="324"/>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designed NDCs may not demonstrate satisfactory efficacy or other benefits, either alone or in combination with other therapeutics; or</w:t>
      </w:r>
    </w:p>
    <w:p>
      <w:pPr>
        <w:spacing w:after="0" w:line="130" w:lineRule="exact"/>
        <w:rPr>
          <w:rFonts w:ascii="Times New Roman" w:cs="Times New Roman" w:eastAsia="Times New Roman" w:hAnsi="Times New Roman"/>
          <w:sz w:val="18"/>
          <w:szCs w:val="18"/>
          <w:color w:val="auto"/>
        </w:rPr>
      </w:pPr>
    </w:p>
    <w:p>
      <w:pPr>
        <w:ind w:left="440" w:right="200" w:hanging="324"/>
        <w:spacing w:after="0" w:line="282"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products that will receive marketing approval and achieve market acceptance.</w:t>
      </w:r>
    </w:p>
    <w:p>
      <w:pPr>
        <w:spacing w:after="0" w:line="162"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Our research programs to identify new product candidates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and the market opportunity for the product candidate may be smaller than we estimate.</w:t>
      </w:r>
    </w:p>
    <w:p>
      <w:pPr>
        <w:spacing w:after="0" w:line="17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CRLX101 or any of our other product candidates, if approved for commercial sale, will depend on a number of factors, including:</w:t>
      </w:r>
    </w:p>
    <w:p>
      <w:pPr>
        <w:spacing w:after="0" w:line="86" w:lineRule="exact"/>
        <w:rPr>
          <w:sz w:val="20"/>
          <w:szCs w:val="20"/>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alternative treatments;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or third-line therapy;</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pricing sufficient to realize a meaningful return on our investment;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approved products as well as competitive products and other therapies;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reimbursement from government payors, managed care plans and other third party payors;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spacing w:after="0" w:line="86" w:lineRule="exact"/>
        <w:rPr>
          <w:sz w:val="20"/>
          <w:szCs w:val="20"/>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drug or change the way the drug is administered;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21"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4" w:lineRule="exact"/>
        <w:rPr>
          <w:sz w:val="20"/>
          <w:szCs w:val="20"/>
          <w:color w:val="auto"/>
        </w:rPr>
      </w:pPr>
    </w:p>
    <w:p>
      <w:pPr>
        <w:ind w:right="940" w:firstLine="456"/>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5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other of our product candidates that we may seek to develop or commercialize in the future.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side effects or are less costly than any product candidates that we are currently developing or that we may develop, which could render our product candidates obsolete and noncompetitive.</w:t>
      </w:r>
    </w:p>
    <w:p>
      <w:pPr>
        <w:spacing w:after="0" w:line="18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Several companies are marketing and developing oncology products. Companies with marketed nanoparticle oncology products include Celgene Corporation (Abraxane indicated for breast cancer, NSCLC and pancreatic cancer) and Spectrum Pharmaceuticals (Marqibo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(vincristine sulfate liposome injection) indicated for relapsed Philadelphia chromosome-negative acute lymphoblastic leukemia). Companies with nanoparticle oncology product candidates in clinical development include BIND Therapeutics, Inc. (BIND 014 for NSCLC and metastatic castration-resistant prostate cancer), Celator Pharmaceuticals, Inc. (CPX-351 for acute myeloid leukemia), Celsion Corporation (ThermoDox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(lyso-thermosensitive liposomal doxorubicin) for solid tumors), Cytimmune Sciences, Inc. (CYT-6091 for oncology and autoimmune diseases) and Supratek Pharma Inc. (SP1049C for solid tumors). In addition, at least two companies have clinical-stage oncology product candidates that are irinotecan reformulations: Merrimack Pharmaceuticals’ liposomal irinotecan (MM-398 for pancreatic and colorectal cancer) and Nektar Therapeutics’ etirinotecan pegol (NKTR102 for breast cancer).</w:t>
      </w:r>
    </w:p>
    <w:p>
      <w:pPr>
        <w:spacing w:after="0" w:line="185"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products before we are able to obtain approval for ours, which could result in our competitors establishing a strong market position before we are able to enter the market.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7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8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and certain of our other NDCs would be treated as new chemical entities by the FDA and, therefore, if approved, should be afforded five years of data exclusivity,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to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84" w:lineRule="exact"/>
        <w:rPr>
          <w:sz w:val="20"/>
          <w:szCs w:val="20"/>
          <w:color w:val="auto"/>
        </w:rPr>
      </w:pPr>
    </w:p>
    <w:p>
      <w:pPr>
        <w:ind w:right="280" w:firstLine="456"/>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8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5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commercially sell any product that we may develop. For example, we may be sued if any product we develop allegedly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9" w:lineRule="exact"/>
        <w:rPr>
          <w:sz w:val="20"/>
          <w:szCs w:val="20"/>
          <w:color w:val="auto"/>
        </w:rPr>
      </w:pPr>
    </w:p>
    <w:p>
      <w:pPr>
        <w:ind w:left="440" w:hanging="32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Although we maintain general liability insurance of $2.0 million in the aggregate, umbrella insurance in the amount of $3.0 million in the aggregate and clinical trial liability insurance of $7.5 million in the aggregate, this insurance may not fully cover potential liabilities that we may incur. The cost of any product liability litigation or other proceeding, even if resolved in our favor, could be substantial. We will need to increase our insurance coverage if and when we begin selling any product candidate that receives marketing approval. In addition, insurance coverage is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5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rely on academic institutions to conduct and sponsor clinical trials relating to some of our product candidates. We do not control the design or administration of ISTs, and our reliance on third parties to conduct the ISTs could, depending on the actions of such third parties, jeopardize the validity of the clinical data generated and adversely affect our ability to obtain marketing approval from the FDA or other applicable regulatory authorities.</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Such arrangements provide us with certain information rights with respect to the ISTs, including access to and the ability to use and reference the data, including for our own regulatory filings, resulting from the investigator-sponsored trials. However, we do not control patient enrollment on, or the timing and reporting of the data from, ISTs, nor do we own the data from the ISTs. Moreover, if we are unable to confirm or replicate the results from the ISTs or if negative results are obtained,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then our ability to design and conduct any future clinical trials ourselves may be adversely affected.</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will be no independent review of the results of the ISTs. Therefore, the investigators may interpret the results of the ISTs more favorably than an independent review would.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currently rely on third party clinical research organizations, or CROs, to conduct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with third parties for the development and commercialization of our product candidates. If we fail to enter into such collaborations, or such collaborations are not successful, we may not be able to capitalize on the market potential of our product candidates.</w:t>
      </w:r>
    </w:p>
    <w:p>
      <w:pPr>
        <w:spacing w:after="0" w:line="15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31" w:lineRule="exact"/>
        <w:rPr>
          <w:sz w:val="20"/>
          <w:szCs w:val="20"/>
          <w:color w:val="auto"/>
        </w:rPr>
      </w:pPr>
    </w:p>
    <w:p>
      <w:pPr>
        <w:ind w:left="440" w:hanging="324"/>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30" w:lineRule="exact"/>
        <w:rPr>
          <w:rFonts w:ascii="Times New Roman" w:cs="Times New Roman" w:eastAsia="Times New Roman" w:hAnsi="Times New Roman"/>
          <w:sz w:val="18"/>
          <w:szCs w:val="18"/>
          <w:color w:val="auto"/>
        </w:rPr>
      </w:pPr>
    </w:p>
    <w:p>
      <w:pPr>
        <w:ind w:left="440" w:right="60" w:hanging="324"/>
        <w:spacing w:after="0" w:line="266"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40" w:right="420" w:hanging="324"/>
        <w:spacing w:after="0" w:line="282"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440" w:hanging="324"/>
        <w:spacing w:after="0" w:line="266"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440" w:right="220" w:hanging="324"/>
        <w:spacing w:after="0" w:line="282"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440" w:right="360" w:hanging="324"/>
        <w:spacing w:after="0" w:line="282"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440" w:right="320" w:hanging="324"/>
        <w:spacing w:after="0" w:line="282"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67" w:lineRule="exact"/>
        <w:rPr>
          <w:rFonts w:ascii="Times New Roman" w:cs="Times New Roman" w:eastAsia="Times New Roman" w:hAnsi="Times New Roman"/>
          <w:sz w:val="18"/>
          <w:szCs w:val="18"/>
          <w:color w:val="auto"/>
        </w:rPr>
      </w:pPr>
    </w:p>
    <w:p>
      <w:pPr>
        <w:ind w:left="440" w:right="160" w:hanging="324"/>
        <w:spacing w:after="0" w:line="282"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w:t>
      </w:r>
    </w:p>
    <w:p>
      <w:pPr>
        <w:spacing w:after="0" w:line="229"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76"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7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(i.e., sterile manufacture). In 2013, we experienced a batch contamination issue with the manufacture of a batch of CRLX301 drug substance, and the process of obtaining a new batch has taken several months and is not yet complete. Any additional performance failures on the part of our existing or future manufacturers could delay clinical development or marketing approval of our product candidates. 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89"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such arrangements with third party manufacturers, reliance on third party manufacturers entails additional risks, including:</w:t>
      </w:r>
    </w:p>
    <w:p>
      <w:pPr>
        <w:spacing w:after="0" w:line="67" w:lineRule="exact"/>
        <w:rPr>
          <w:sz w:val="20"/>
          <w:szCs w:val="20"/>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manufacturers to consistently produce intermediates, drug substance or drug product which meet required quality specifications;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Third party manufacturers may not be able to comply with current good manufacturing practices, or cGMP, regulations or similar regulatory requirements outside the United States.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4"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CRLX101, CRLX301 and any other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we generally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Although we generally do not begin a clinical trial unless we believe we have a sufficient supply of a product candidate to complete the clinical trial, any significant delay in the supply of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8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5"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4" w:lineRule="exact"/>
        <w:rPr>
          <w:sz w:val="20"/>
          <w:szCs w:val="20"/>
          <w:color w:val="auto"/>
        </w:rPr>
      </w:pPr>
    </w:p>
    <w:p>
      <w:pPr>
        <w:jc w:val="both"/>
        <w:ind w:right="20" w:firstLine="456"/>
        <w:spacing w:after="0" w:line="25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CRLX101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 party to several license agreements and certain aspects of our business depend on patents and/or patent applications owned by other companies or institutions. In particular, we hold exclusive licenses from Calando Pharmaceuticals, Inc., or Calando, and California Institute of Technology, or Caltech and have been assigned certain patents from Calando for CRLX101, CRLX301 and cyclodextrine polymer-based, or CDP-based, product candidates. We also hold an exclusive license from the State University of New York, or SUNY, related to taxane-containing NDCs, such as CRLX301. In addition, we hold an exclusive license from the Massachusetts Institute of Technology, or MIT, for polymeric NDC-based, or PNP-based, product candidates.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8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CDP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2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party to five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5"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MIT agreement, and which are relevant to our PNP-based NDCs, may have been generated using United States government funds. In addition,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our current or future PNP-based products or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76"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9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8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5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must therefore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62" w:lineRule="exact"/>
        <w:rPr>
          <w:sz w:val="20"/>
          <w:szCs w:val="20"/>
          <w:color w:val="auto"/>
        </w:rPr>
      </w:pPr>
    </w:p>
    <w:p>
      <w:pPr>
        <w:ind w:right="520" w:firstLine="456"/>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7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The FDA and other agencies, including the Department of Justice,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8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67" w:lineRule="exact"/>
        <w:rPr>
          <w:sz w:val="20"/>
          <w:szCs w:val="20"/>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72"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 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 party payors will play a primary role in the recommendation and prescription of any product candidates for which we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9" w:lineRule="exact"/>
        <w:rPr>
          <w:sz w:val="20"/>
          <w:szCs w:val="20"/>
          <w:color w:val="auto"/>
        </w:rPr>
      </w:pPr>
    </w:p>
    <w:p>
      <w:pPr>
        <w:ind w:left="440" w:hanging="324"/>
        <w:spacing w:after="0" w:line="266"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ectPr>
          <w:pgSz w:w="11900" w:h="16838" w:orient="portrait"/>
          <w:cols w:equalWidth="0" w:num="1">
            <w:col w:w="11380"/>
          </w:cols>
          <w:pgMar w:left="240" w:top="455" w:right="279" w:bottom="1440" w:gutter="0" w:footer="0" w:header="0"/>
        </w:sectPr>
      </w:pP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40" w:right="80" w:hanging="324"/>
        <w:spacing w:after="0" w:line="261"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civil whistleblower or qui tam actions, against individuals or entities for,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440" w:right="200" w:hanging="324"/>
        <w:spacing w:after="0" w:line="261"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85" w:lineRule="exact"/>
        <w:rPr>
          <w:rFonts w:ascii="Times New Roman" w:cs="Times New Roman" w:eastAsia="Times New Roman" w:hAnsi="Times New Roman"/>
          <w:sz w:val="18"/>
          <w:szCs w:val="18"/>
          <w:color w:val="auto"/>
        </w:rPr>
      </w:pPr>
    </w:p>
    <w:p>
      <w:pPr>
        <w:jc w:val="both"/>
        <w:ind w:left="440" w:right="420" w:hanging="324"/>
        <w:spacing w:after="0" w:line="266"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8"/>
          <w:szCs w:val="18"/>
          <w:color w:val="auto"/>
        </w:rPr>
      </w:pPr>
    </w:p>
    <w:p>
      <w:pPr>
        <w:ind w:left="440" w:hanging="324"/>
        <w:spacing w:after="0" w:line="282"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requires applicable manufacturers of covered drugs to report payments and other transfers of value to physicians and teaching hospitals;</w:t>
      </w:r>
    </w:p>
    <w:p>
      <w:pPr>
        <w:spacing w:after="0" w:line="130" w:lineRule="exact"/>
        <w:rPr>
          <w:rFonts w:ascii="Times New Roman" w:cs="Times New Roman" w:eastAsia="Times New Roman" w:hAnsi="Times New Roman"/>
          <w:sz w:val="18"/>
          <w:szCs w:val="18"/>
          <w:color w:val="auto"/>
        </w:rPr>
      </w:pPr>
    </w:p>
    <w:p>
      <w:pPr>
        <w:ind w:left="440" w:right="180" w:hanging="324"/>
        <w:spacing w:after="0" w:line="261"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Affordability Reconciliation Act, or collectively the PPACA,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85" w:lineRule="exact"/>
        <w:rPr>
          <w:rFonts w:ascii="Times New Roman" w:cs="Times New Roman" w:eastAsia="Times New Roman" w:hAnsi="Times New Roman"/>
          <w:sz w:val="18"/>
          <w:szCs w:val="18"/>
          <w:color w:val="auto"/>
        </w:rPr>
      </w:pPr>
    </w:p>
    <w:p>
      <w:pPr>
        <w:ind w:left="440" w:right="180" w:hanging="324"/>
        <w:spacing w:after="0" w:line="258"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84"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non-U.S.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8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More recently, in March 2010, President Obama signed into law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the provisions of the PPACA of importance to our potential product candidates are the following:</w:t>
      </w:r>
    </w:p>
    <w:p>
      <w:pPr>
        <w:spacing w:after="0" w:line="131" w:lineRule="exact"/>
        <w:rPr>
          <w:sz w:val="20"/>
          <w:szCs w:val="20"/>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30" w:lineRule="exact"/>
        <w:rPr>
          <w:rFonts w:ascii="Times New Roman" w:cs="Times New Roman" w:eastAsia="Times New Roman" w:hAnsi="Times New Roman"/>
          <w:sz w:val="18"/>
          <w:szCs w:val="18"/>
          <w:color w:val="auto"/>
        </w:rPr>
      </w:pPr>
    </w:p>
    <w:p>
      <w:pPr>
        <w:ind w:left="440" w:right="280" w:hanging="324"/>
        <w:spacing w:after="0" w:line="282"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financial arrangements with physicians and teaching hospitals;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30" w:lineRule="exact"/>
        <w:rPr>
          <w:rFonts w:ascii="Times New Roman" w:cs="Times New Roman" w:eastAsia="Times New Roman" w:hAnsi="Times New Roman"/>
          <w:sz w:val="18"/>
          <w:szCs w:val="18"/>
          <w:color w:val="auto"/>
        </w:rPr>
      </w:pPr>
    </w:p>
    <w:p>
      <w:pPr>
        <w:ind w:left="440" w:right="260" w:hanging="324"/>
        <w:spacing w:after="0" w:line="282"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from the sales of our products, if any.</w:t>
      </w:r>
    </w:p>
    <w:p>
      <w:pPr>
        <w:spacing w:after="0" w:line="22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are highly dependent on the scientific, business development and clinical expertise of Dr. Oliver Fetzer, our chief executive officer, Mr. Christopher Guiffre, our chief business officer, and Dr. Edward Garmey, our chief medical officer, as well as other principal members of our management, scientific and clinical teams. The loss of this expertise could impede the achievement of our goals. Any of our employees may terminate their employment with us at any time. We do not maintain “key person” insurance for any of our executives or other employees.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finance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including finance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82" w:lineRule="exact"/>
        <w:rPr>
          <w:sz w:val="20"/>
          <w:szCs w:val="20"/>
          <w:color w:val="auto"/>
        </w:rPr>
      </w:pPr>
    </w:p>
    <w:p>
      <w:pPr>
        <w:ind w:left="440" w:right="20" w:hanging="324"/>
        <w:spacing w:after="0" w:line="266" w:lineRule="auto"/>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results from and any delays in our clinical trials, including the ongoing and any new ISTs of CRLX101, our planned Phase 2 and Phase 3 clinical trials of CRLX101 or our planned Phase 1 clinical trial of CRLX301, as well as results of regulatory reviews relating to the approval of our product candidates;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any collaboration or licensing arrangement;</w:t>
      </w:r>
    </w:p>
    <w:p>
      <w:pPr>
        <w:spacing w:after="0" w:line="130" w:lineRule="exact"/>
        <w:rPr>
          <w:rFonts w:ascii="Times New Roman" w:cs="Times New Roman" w:eastAsia="Times New Roman" w:hAnsi="Times New Roman"/>
          <w:sz w:val="18"/>
          <w:szCs w:val="18"/>
          <w:color w:val="auto"/>
        </w:rPr>
      </w:pPr>
    </w:p>
    <w:p>
      <w:pPr>
        <w:ind w:left="440" w:right="400" w:hanging="324"/>
        <w:spacing w:after="0" w:line="282"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and capital commitments;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440" w:right="120" w:hanging="324"/>
        <w:spacing w:after="0" w:line="282"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introduced or announced by our competitors, and the timing of these introductions or announcements;</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30" w:lineRule="exact"/>
        <w:rPr>
          <w:rFonts w:ascii="Times New Roman" w:cs="Times New Roman" w:eastAsia="Times New Roman" w:hAnsi="Times New Roman"/>
          <w:sz w:val="18"/>
          <w:szCs w:val="18"/>
          <w:color w:val="auto"/>
        </w:rPr>
      </w:pPr>
    </w:p>
    <w:p>
      <w:pPr>
        <w:ind w:left="440" w:right="400" w:hanging="324"/>
        <w:spacing w:after="0" w:line="282"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biotechnology and biopharmaceutical industries;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59" w:lineRule="exact"/>
        <w:rPr>
          <w:sz w:val="20"/>
          <w:szCs w:val="20"/>
          <w:color w:val="auto"/>
        </w:rPr>
      </w:pPr>
    </w:p>
    <w:p>
      <w:pPr>
        <w:jc w:val="both"/>
        <w:ind w:right="140" w:firstLine="456"/>
        <w:spacing w:after="0" w:line="272" w:lineRule="auto"/>
        <w:rPr>
          <w:sz w:val="20"/>
          <w:szCs w:val="20"/>
          <w:color w:val="auto"/>
        </w:rPr>
      </w:pPr>
      <w:r>
        <w:rPr>
          <w:rFonts w:ascii="Times New Roman" w:cs="Times New Roman" w:eastAsia="Times New Roman" w:hAnsi="Times New Roman"/>
          <w:sz w:val="17"/>
          <w:szCs w:val="17"/>
          <w:color w:val="auto"/>
        </w:rPr>
        <w:t>We believe that as of August 8, 2014, our executive officers, directors and principal stockholders, together with their respective affiliates, beneficially own approximately 68% of our common stock. Accordingly, these stockholders are able to exert a significant degree of influence over our management and affairs and over matters requiring stockholder approval, including the election of our board of directors and approval of significant corporate transactions.</w:t>
      </w:r>
    </w:p>
    <w:p>
      <w:pPr>
        <w:spacing w:after="0" w:line="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This concentration of ownership could have the effect of delaying or preventing a change in control of our company or otherwise discouraging a potential acquirer from attempting to obtain control of us, which in turn could have a material and adverse effect on the fair market value of our common stock.</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in the near future, which could cause the market price of our common stock to drop significantly, even if our business is doing well.</w:t>
      </w:r>
    </w:p>
    <w:p>
      <w:pPr>
        <w:spacing w:after="0" w:line="15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common stock. Of the approximately 20 million shares of our common stock outstanding as of August 8, 2014, approximately 10.6 million shares are currently subject to restrictions on transfer under 180-day lock-up arrangements with either the underwriters for our IPO or under stock option or restricted stock agreements or an investor rights agreement entered into between us and the holders of those shares. These restrictions are due to expire on October 7, 2014, resulting in these shares becoming eligible for public sale on October 8, 2014 if they are registered under the Securities Act of 1933, as amended, which we refer to as the Securities Act, or if they qualify for an exemption from registration under the Securities Act, including under Rules 144 or 701.</w:t>
      </w:r>
    </w:p>
    <w:p>
      <w:pPr>
        <w:spacing w:after="0" w:line="184"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Moreover, holders of an aggregate of approximately 7.6 million shares of our common stock have rights, subject to conditions, to require us to file registration statements covering their shares or to include their shares in Securities Act registration statements that we may file for ourselves or other stockholders. Once we register these shares, they can be freely sold in the public market, subject to the lock-up arrangements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ind w:right="240" w:firstLine="913"/>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for up to five years.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2" w:lineRule="exact"/>
        <w:rPr>
          <w:sz w:val="20"/>
          <w:szCs w:val="20"/>
          <w:color w:val="auto"/>
        </w:rPr>
      </w:pPr>
    </w:p>
    <w:p>
      <w:pPr>
        <w:ind w:left="440" w:right="480" w:hanging="324"/>
        <w:spacing w:after="0" w:line="282" w:lineRule="auto"/>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30" w:lineRule="exact"/>
        <w:rPr>
          <w:rFonts w:ascii="Times New Roman" w:cs="Times New Roman" w:eastAsia="Times New Roman" w:hAnsi="Times New Roman"/>
          <w:sz w:val="18"/>
          <w:szCs w:val="18"/>
          <w:color w:val="auto"/>
        </w:rPr>
      </w:pPr>
    </w:p>
    <w:p>
      <w:pPr>
        <w:ind w:left="440" w:right="380" w:hanging="324"/>
        <w:spacing w:after="0" w:line="282" w:lineRule="auto"/>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ind w:left="440" w:right="40" w:hanging="324"/>
        <w:spacing w:after="0" w:line="282" w:lineRule="auto"/>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9"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Furthermore, our loan and security agreement with Lighthouse Capital prohibits us from paying any dividends without the prior written consent of Lighthouse Capital. Accordingly, investors must rely on sales of their common stock after price appreciation, which may never occur, as the only way to realize any return on their investment.</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our bylaws or Delaware law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82" w:lineRule="exact"/>
        <w:rPr>
          <w:sz w:val="20"/>
          <w:szCs w:val="20"/>
          <w:color w:val="auto"/>
        </w:rPr>
      </w:pPr>
    </w:p>
    <w:p>
      <w:pPr>
        <w:ind w:left="440" w:hanging="324"/>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are elected at one time;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 or to call special meetings;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make, alter or repeal our by-laws; and</w:t>
      </w:r>
    </w:p>
    <w:p>
      <w:pPr>
        <w:spacing w:after="0" w:line="130" w:lineRule="exact"/>
        <w:rPr>
          <w:rFonts w:ascii="Times New Roman" w:cs="Times New Roman" w:eastAsia="Times New Roman" w:hAnsi="Times New Roman"/>
          <w:sz w:val="18"/>
          <w:szCs w:val="18"/>
          <w:color w:val="auto"/>
        </w:rPr>
      </w:pPr>
    </w:p>
    <w:p>
      <w:pPr>
        <w:jc w:val="both"/>
        <w:ind w:left="440" w:right="20" w:hanging="324"/>
        <w:spacing w:after="0" w:line="266"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2014, we granted options to purchase an aggregate of 586,300 shares of common stock, at a weighted-average exercise price of $5.78 per share, to employees pursuant to our 2014 Stock Incentive Plan. During the three months ended June 30, 2014, we issued an aggregate of 31,500 shares of common stock upon the exercise of options for aggregate consideration of $0.1 million.</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stock options described above were issued in reliance on the exemption provided by Section 4(a)(2) of the Securities Act and the common stock issuable upon the exercise of such options described above were issued pursuant to written compensatory plans or arrangements with our employees, directors and consultants, in reliance on the exemption provided by Rule 701 promulgated under the Securities Act. All recipients either received adequate information about us or had access, through employment or other relationships, to such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April 15, 2014, we completed our initial public offering, or our IPO, in which we issued and sold 8,500,000 shares of our common stock at a public offering price of $7.00 per share, for aggregate gross proceeds of $59.5 million. All of the shares issued and sold in the IPO were registered under the Securities Act pursuant to a Registration Statement on Form S-1 (File No. 333-194442), which was declared effective by the SEC on April 10, 2014. Leerink Partners LLC acted as book-running manager of the offering and as representatives of the underwriters. Canaccord Genuity Inc., JMP Securities LLC and Wedbush Securities Inc. acted as co-managers for the offering. The offering commenced on April 10, 2014 and did not terminate until the sale of all of the shares offered.</w:t>
      </w:r>
    </w:p>
    <w:p>
      <w:pPr>
        <w:spacing w:after="0" w:line="188"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On May 2, 2014, the underwriters exercised in part their option to purchase additional shares pursuant to the underwriting agreement relating to our IPO. On May 7, 2014, we closed the underwriters’ over-allotment option and sold 1,069,715 shares to the public as a price of $7.00 per share, for aggregate gross proceeds of $7.5 million.</w:t>
      </w:r>
    </w:p>
    <w:p>
      <w:pPr>
        <w:spacing w:after="0" w:line="176" w:lineRule="exact"/>
        <w:rPr>
          <w:sz w:val="20"/>
          <w:szCs w:val="20"/>
          <w:color w:val="auto"/>
        </w:rPr>
      </w:pPr>
    </w:p>
    <w:p>
      <w:pPr>
        <w:ind w:right="60" w:firstLine="357"/>
        <w:spacing w:after="0" w:line="255" w:lineRule="auto"/>
        <w:rPr>
          <w:sz w:val="20"/>
          <w:szCs w:val="20"/>
          <w:color w:val="auto"/>
        </w:rPr>
      </w:pPr>
      <w:r>
        <w:rPr>
          <w:rFonts w:ascii="Times New Roman" w:cs="Times New Roman" w:eastAsia="Times New Roman" w:hAnsi="Times New Roman"/>
          <w:sz w:val="18"/>
          <w:szCs w:val="18"/>
          <w:color w:val="auto"/>
        </w:rPr>
        <w:t>The net offering proceeds to us, after deducting underwriting discounts of $3.9 million and offering expenses payable by us totaling $3.2 million, were approximately $59.9 million. None of the net proceeds were paid directly or indirectly to directors or officers of ours or their associates or to persons owning 10 percent or more of our common stock or to any affiliates of ours, other than payments in the ordinary course of business to officers for salaries and to non-employee directors as compensation for board or board committee service. We have invested the net proceeds from the offering in a variety of capital preservation investments, including short-term, investment grade, interest bearing instruments and U.S. government securities. There has been no material change in our planned use of the net proceeds from our IPO as described in our final prospectus filed with the SEC pursuant to Rule 424(b)(4) on April 14, 2014.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in the Exhibit Index to this Quarterly Report on Form 10-Q are incorporated herein by reference.</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29" w:lineRule="exact"/>
        <w:rPr>
          <w:sz w:val="20"/>
          <w:szCs w:val="20"/>
          <w:color w:val="auto"/>
        </w:rPr>
      </w:pPr>
    </w:p>
    <w:p>
      <w:pPr>
        <w:spacing w:after="0"/>
        <w:tabs>
          <w:tab w:leader="none" w:pos="5880" w:val="left"/>
          <w:tab w:leader="none" w:pos="7580" w:val="left"/>
          <w:tab w:leader="none" w:pos="7940" w:val="left"/>
        </w:tabs>
        <w:rPr>
          <w:sz w:val="20"/>
          <w:szCs w:val="20"/>
          <w:color w:val="auto"/>
        </w:rPr>
      </w:pPr>
      <w:r>
        <w:rPr>
          <w:rFonts w:ascii="Times New Roman" w:cs="Times New Roman" w:eastAsia="Times New Roman" w:hAnsi="Times New Roman"/>
          <w:sz w:val="18"/>
          <w:szCs w:val="18"/>
          <w:color w:val="auto"/>
        </w:rPr>
        <w:t>Date: August 12,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Christopher D.T. Guiffre, J.D.</w:t>
      </w:r>
    </w:p>
    <w:p>
      <w:pPr>
        <w:jc w:val="center"/>
        <w:ind w:left="6280"/>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and Chief Business Officer</w:t>
      </w:r>
    </w:p>
    <w:p>
      <w:pPr>
        <w:spacing w:after="0" w:line="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92" w:lineRule="exact"/>
        <w:rPr>
          <w:sz w:val="20"/>
          <w:szCs w:val="20"/>
          <w:color w:val="auto"/>
        </w:rPr>
      </w:pPr>
    </w:p>
    <w:p>
      <w:pPr>
        <w:spacing w:after="0"/>
        <w:tabs>
          <w:tab w:leader="none" w:pos="5880" w:val="left"/>
          <w:tab w:leader="none" w:pos="7860" w:val="left"/>
          <w:tab w:leader="none" w:pos="8220" w:val="left"/>
        </w:tabs>
        <w:rPr>
          <w:sz w:val="20"/>
          <w:szCs w:val="20"/>
          <w:color w:val="auto"/>
        </w:rPr>
      </w:pPr>
      <w:r>
        <w:rPr>
          <w:rFonts w:ascii="Times New Roman" w:cs="Times New Roman" w:eastAsia="Times New Roman" w:hAnsi="Times New Roman"/>
          <w:sz w:val="18"/>
          <w:szCs w:val="18"/>
          <w:color w:val="auto"/>
        </w:rPr>
        <w:t>Date: August 12,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Karen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Karen L. Roberts</w:t>
      </w:r>
    </w:p>
    <w:p>
      <w:pPr>
        <w:jc w:val="center"/>
        <w:ind w:left="6280"/>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Finance and Administration</w:t>
      </w:r>
    </w:p>
    <w:p>
      <w:pPr>
        <w:spacing w:after="0" w:line="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1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40"/>
          </w:cols>
          <w:pgMar w:left="240" w:top="455" w:right="9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920" w:type="dxa"/>
            <w:vAlign w:val="bottom"/>
            <w:gridSpan w:val="3"/>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0" w:type="dxa"/>
            <w:vAlign w:val="bottom"/>
          </w:tcPr>
          <w:p>
            <w:pPr>
              <w:spacing w:after="0"/>
              <w:rPr>
                <w:sz w:val="11"/>
                <w:szCs w:val="11"/>
                <w:color w:val="auto"/>
              </w:rPr>
            </w:pP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5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92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Restated Certificate of Incorporation</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001-36395</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April 16, 2014</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001-36395</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April 16, 2014</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Second Lease Amendment to the Commercial Lease Agreement between</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Cerulean Pharma Inc. and Rivertech Associate II, LLC, dated July 11, 2014.</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8-K</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001-36395</w:t>
            </w:r>
          </w:p>
        </w:tc>
        <w:tc>
          <w:tcPr>
            <w:tcW w:w="2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July 17, 2014</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Employment Agreement dated June 24, 2014, by and</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between the Registrant and Oliver Fetzer</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 14(a)/15d</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14(a) of the Securities Exchange Act of 1934, as amended</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13a-14(a)/15d-</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14(a) of the Securities Exchange Act of 1934, as amended.</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 as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6"/>
        </w:trPr>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 as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101.SCH</w:t>
            </w: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101.CAL</w:t>
            </w: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101.DEF</w:t>
            </w: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101.LAB</w:t>
            </w: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101.PRE</w:t>
            </w: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Submitted electronically herewith</w:t>
      </w:r>
    </w:p>
    <w:p>
      <w:pPr>
        <w:sectPr>
          <w:pgSz w:w="11900" w:h="16838" w:orient="portrait"/>
          <w:cols w:equalWidth="0" w:num="1">
            <w:col w:w="11320"/>
          </w:cols>
          <w:pgMar w:left="240" w:top="45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THIS AMENDED AND RESTATED EMPLOYMENT AGREEMENT (the “Agreement”), effective as of June 24, 2014 (the “Effective Date”), is entered into by Cerulean Pharma Inc., a Delaware corporation with its principal place of business at 840 Memorial Drive,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02139 (the “Company”), and Oliver Fetzer (the “Employee”). This Agreement amends and restates in its entirety the Employment Agreement between the Company and the Employee dated April 8, 2009.</w:t>
      </w:r>
    </w:p>
    <w:p>
      <w:pPr>
        <w:spacing w:after="0" w:line="180"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Company desires to continue to employ the Employee and the Employee desires to continue to be employed by the Company. In consideration of the mutual covenants and promises contained herein, and other good and valuable consideration, the receipt and sufficiency of which are acknowledged by the parties hereto, the parties agree as follows:</w:t>
      </w:r>
    </w:p>
    <w:p>
      <w:pPr>
        <w:spacing w:after="0" w:line="176" w:lineRule="exact"/>
        <w:rPr>
          <w:sz w:val="20"/>
          <w:szCs w:val="20"/>
          <w:color w:val="auto"/>
        </w:rPr>
      </w:pPr>
    </w:p>
    <w:p>
      <w:pPr>
        <w:jc w:val="both"/>
        <w:ind w:right="220" w:firstLine="464"/>
        <w:spacing w:after="0" w:line="266" w:lineRule="auto"/>
        <w:tabs>
          <w:tab w:leader="none" w:pos="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Company hereby agrees to continue to employ the Employee and the Employee hereby accepts continued employment with the Company, upon the terms set forth in this Agreement. There shall be no definite term of employment, and the Employee’s employment shall be at-will such that both the Company and the Employee remain free to end the employment relationship for any reason, at any time, with or without notice.</w:t>
      </w:r>
    </w:p>
    <w:p>
      <w:pPr>
        <w:spacing w:after="0" w:line="176" w:lineRule="exact"/>
        <w:rPr>
          <w:rFonts w:ascii="Times New Roman" w:cs="Times New Roman" w:eastAsia="Times New Roman" w:hAnsi="Times New Roman"/>
          <w:sz w:val="18"/>
          <w:szCs w:val="18"/>
          <w:color w:val="auto"/>
        </w:rPr>
      </w:pPr>
    </w:p>
    <w:p>
      <w:pPr>
        <w:jc w:val="both"/>
        <w:ind w:right="80" w:firstLine="464"/>
        <w:spacing w:after="0" w:line="266" w:lineRule="auto"/>
        <w:tabs>
          <w:tab w:leader="none" w:pos="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and Capacity</w:t>
      </w:r>
      <w:r>
        <w:rPr>
          <w:rFonts w:ascii="Times New Roman" w:cs="Times New Roman" w:eastAsia="Times New Roman" w:hAnsi="Times New Roman"/>
          <w:sz w:val="18"/>
          <w:szCs w:val="18"/>
          <w:color w:val="auto"/>
        </w:rPr>
        <w:t>. The Employee shall serve (i) as President and Chief Executive Officer of the Company and shall report to the Board of Directors of the Company (the “Board”) and (ii) while President and Chief Executive Officer of the Company, as a member of the Board. The Employee shall be based at the Company’s headquarters in Cambridge, Massachusetts.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Employee agrees to undertake the duties and responsibilities inherent in such position and such other duties and responsibilities as the Board shall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61" w:name="page62"/>
    <w:bookmarkEnd w:id="61"/>
    <w:p>
      <w:pPr>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assign to him. The Employee agrees to devote his entire business time, attention and energies to the business and interests of the Company. Except for service on the boards of directors on which he currently serves and/or as specifically approved by the Board, the Employee agrees to abide by the rules, regulations, instructions, personnel practices and policies of the Company and any changes therein that may be adopted from time to time by the Company.</w:t>
      </w:r>
    </w:p>
    <w:p>
      <w:pPr>
        <w:spacing w:after="0" w:line="266" w:lineRule="exact"/>
        <w:rPr>
          <w:sz w:val="20"/>
          <w:szCs w:val="20"/>
          <w:color w:val="auto"/>
        </w:rPr>
      </w:pPr>
    </w:p>
    <w:p>
      <w:pPr>
        <w:ind w:left="640" w:hanging="17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80" w:firstLine="913"/>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Employee, in accordance with the Company’s regular payroll practices, a base salary at the annualized rate of $425,000 effective as of the Effective Date, subject to adjustment thereafter by the Board.</w:t>
      </w:r>
    </w:p>
    <w:p>
      <w:pPr>
        <w:spacing w:after="0" w:line="162"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In addition to a base salary, the Employee will be eligible to receive a performance-based annual bonus for each fiscal year in which he is employed by the Company in the capacity of President and Chief Executive Officer. This bonus shall be based upon reasonably attainable annual quantitative and qualitative performance objectives that will be mutually agreed upon by the Board and the Employee. The Employee’s annual bonus level target has been set at fifty percent (50%) of the Employee’s base salary. The Board will determine, in its sole discretion, based upon its review of the achievement of the performance objectives for a given fiscal year and its consideration of the recommendation of the Compensation Committee, whether (and in what amount) a bonus award is payable to the Employee.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be eligible to receive a bonus award, the Employee must be an active employee on the date any such bonuses are distributed.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62" w:name="page63"/>
    <w:bookmarkEnd w:id="62"/>
    <w:p>
      <w:pPr>
        <w:jc w:val="both"/>
        <w:ind w:right="140"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Employee shall be entitled to participate in all benefit plans and programs that the Company establishes and makes available to its employees to the extent that the Employee is eligible under (and subject to the provisions of) the plan documents governing those programs. The Employee shall be entitled to twenty-five (25) days paid vacation per year plus personal days and paid holidays generally offered by the Company to its employees, each to be administered in accordance with Company policy.</w:t>
      </w:r>
    </w:p>
    <w:p>
      <w:pPr>
        <w:spacing w:after="0" w:line="180"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Employee for all reasonable travel, entertainment and other expenses incurred or paid by the Employee in connection with, or related to, the performance of his duties, responsibilities or services under this Agreement in accordance with the Company’s expense reimbursement policies as set forth in the Company’s employee handbook, a copy of which has been provided to the Employee. The reimbursement of expenses hereunder shall be subject to the terms and conditions set forth in Section 18(e) of this Agreement.</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salary, bonus and other compensation or benefits payable to the Employee shall be subject to applicable withholdings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315" w:lineRule="exact"/>
        <w:rPr>
          <w:sz w:val="20"/>
          <w:szCs w:val="20"/>
          <w:color w:val="auto"/>
        </w:rPr>
      </w:pPr>
    </w:p>
    <w:p>
      <w:pPr>
        <w:ind w:left="640" w:hanging="17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Upon Resignation By The Employee Without Good Reason or Termination By The Company For Cause.</w:t>
      </w:r>
    </w:p>
    <w:p>
      <w:pPr>
        <w:spacing w:after="0" w:line="117"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Payment upon Voluntary Resignation or Termination for Cause</w:t>
      </w:r>
      <w:r>
        <w:rPr>
          <w:rFonts w:ascii="Times New Roman" w:cs="Times New Roman" w:eastAsia="Times New Roman" w:hAnsi="Times New Roman"/>
          <w:sz w:val="18"/>
          <w:szCs w:val="18"/>
          <w:color w:val="auto"/>
        </w:rPr>
        <w:t>. If the Employee voluntarily resigns his employment other than for Good Reason (as defined in Section 4.2), or if the Company terminates the Employee for Cause (as defined in Section 4.3), the Company shall pay the Employee all accrued and unpaid base salary through the Employee’s date of termination and any vacation that is accrued but unused as of such date. The Employee shall not be eligible for any severance or separation payments (including, but not limited 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63" w:name="page64"/>
    <w:bookmarkEnd w:id="63"/>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those described in Sections 5, 6 and 7 of this Agreement) or any continuation of benefits (other than those provided for under the Federal Consolidated Omnibus Budget Reconciliation Act (“COBRA”)), or any other compensation pursuant to this Agreement or otherwise. The Employee also shall have such rights, if any, with respect to outstanding equity awards as may be provided under the agreement applicable to each.</w:t>
      </w:r>
    </w:p>
    <w:p>
      <w:pPr>
        <w:spacing w:after="0" w:line="176" w:lineRule="exact"/>
        <w:rPr>
          <w:sz w:val="20"/>
          <w:szCs w:val="20"/>
          <w:color w:val="auto"/>
        </w:rPr>
      </w:pPr>
    </w:p>
    <w:p>
      <w:pPr>
        <w:ind w:right="320" w:firstLine="913"/>
        <w:spacing w:after="0" w:line="276"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Definition of “Good Reason”</w:t>
      </w:r>
      <w:r>
        <w:rPr>
          <w:rFonts w:ascii="Times New Roman" w:cs="Times New Roman" w:eastAsia="Times New Roman" w:hAnsi="Times New Roman"/>
          <w:sz w:val="17"/>
          <w:szCs w:val="17"/>
          <w:color w:val="auto"/>
        </w:rPr>
        <w:t xml:space="preserve">. For purposes of this Agreement, “Good Reason” means the occurrence, without the Employee’s written consent, of any of the events or circumstances set forth in clauses (a) through (c)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 event described in clauses (a) through</w:t>
      </w:r>
    </w:p>
    <w:p>
      <w:pPr>
        <w:spacing w:after="0" w:line="1" w:lineRule="exact"/>
        <w:rPr>
          <w:sz w:val="20"/>
          <w:szCs w:val="20"/>
          <w:color w:val="auto"/>
        </w:rPr>
      </w:pPr>
    </w:p>
    <w:p>
      <w:pPr>
        <w:ind w:firstLine="8"/>
        <w:spacing w:after="0" w:line="255" w:lineRule="auto"/>
        <w:tabs>
          <w:tab w:leader="none" w:pos="2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not constitute Good Reason unless it is communicated in writing, within 90 days of the first occurrence of an event giving rise to the claim, by the Employee to the Board or its successor and unless it is not corrected by the Company or its successor within thirty (30) days of the Company’s receipt of such written notice:</w:t>
      </w:r>
    </w:p>
    <w:p>
      <w:pPr>
        <w:spacing w:after="0" w:line="186" w:lineRule="exact"/>
        <w:rPr>
          <w:rFonts w:ascii="Times New Roman" w:cs="Times New Roman" w:eastAsia="Times New Roman" w:hAnsi="Times New Roman"/>
          <w:sz w:val="18"/>
          <w:szCs w:val="18"/>
          <w:color w:val="auto"/>
        </w:rPr>
      </w:pPr>
    </w:p>
    <w:p>
      <w:pPr>
        <w:ind w:right="80" w:firstLine="1492"/>
        <w:spacing w:after="0" w:line="266" w:lineRule="auto"/>
        <w:tabs>
          <w:tab w:leader="none" w:pos="17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Employee of duties inconsistent in any material respect with the Employee’s position (including status, offices, titles and reporting requirements), authority or responsibilities, or any other action or omission by the Company, in each case which results in a material diminution of the Employee’s duties, authority or responsibilities;</w:t>
      </w:r>
    </w:p>
    <w:p>
      <w:pPr>
        <w:spacing w:after="0" w:line="176"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Employee’s base salary; or</w:t>
      </w:r>
    </w:p>
    <w:p>
      <w:pPr>
        <w:spacing w:after="0" w:line="225" w:lineRule="exact"/>
        <w:rPr>
          <w:rFonts w:ascii="Times New Roman" w:cs="Times New Roman" w:eastAsia="Times New Roman" w:hAnsi="Times New Roman"/>
          <w:sz w:val="18"/>
          <w:szCs w:val="18"/>
          <w:color w:val="auto"/>
        </w:rPr>
      </w:pPr>
    </w:p>
    <w:p>
      <w:pPr>
        <w:ind w:right="40" w:firstLine="1492"/>
        <w:spacing w:after="0" w:line="266" w:lineRule="auto"/>
        <w:tabs>
          <w:tab w:leader="none" w:pos="17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by the Company in the location at which the Employee performs his principal duties for the Company to a new location that is both (i) outside a radius of 50 miles from the Employee’s principal residence and (ii) more than 30 miles from the location at which the Employee performed his principal duties for the Company.</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0" w:right="279" w:bottom="1440" w:gutter="0" w:footer="0" w:header="0"/>
        </w:sectPr>
      </w:pPr>
    </w:p>
    <w:bookmarkStart w:id="64" w:name="page65"/>
    <w:bookmarkEnd w:id="64"/>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fails to timely correct an event of Good Reason, the termination of Executive’s employment shall become effective 60 days after such notice is received by the Company.</w:t>
      </w:r>
    </w:p>
    <w:p>
      <w:pPr>
        <w:spacing w:after="0" w:line="162"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purposes of this Agreement, “Cause” is defined as: (i) a good faith finding by the Board (excluding the Employee, if applicable) of (a) the Employee’s failure to (1) perform reasonably assigned lawful duties or (2) comply with a lawful instruction of the Board so long as, in the case of (2), the instruction is consistent with the scope and responsibilities of the Employee’s position, or (b) the Employee’s dishonesty, willful misconduct or gross negligence, or (c) the Employee’s substantial and material failure or refusal to perform according to, or to comply with, the policies, procedures or practices established by the Company or the Board and, in the case of (a) or (c), the Employee has had ten (10) days written notice to cure his failure to so perform or comply; or (ii) the Employee’s indictment, or the entering of a guilty plea or plea of “no contest” with respect to a felony or any crime involving moral turpitude.</w:t>
      </w:r>
    </w:p>
    <w:p>
      <w:pPr>
        <w:spacing w:after="0" w:line="189" w:lineRule="exact"/>
        <w:rPr>
          <w:sz w:val="20"/>
          <w:szCs w:val="20"/>
          <w:color w:val="auto"/>
        </w:rPr>
      </w:pPr>
    </w:p>
    <w:p>
      <w:pPr>
        <w:ind w:firstLine="464"/>
        <w:spacing w:after="0" w:line="258" w:lineRule="auto"/>
        <w:tabs>
          <w:tab w:leader="none" w:pos="6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Resignation for Good Reason</w:t>
      </w:r>
      <w:r>
        <w:rPr>
          <w:rFonts w:ascii="Times New Roman" w:cs="Times New Roman" w:eastAsia="Times New Roman" w:hAnsi="Times New Roman"/>
          <w:sz w:val="18"/>
          <w:szCs w:val="18"/>
          <w:color w:val="auto"/>
        </w:rPr>
        <w:t>. If the Employee’s employment with the Company is terminated by the Company without Cause (as defined in Section 4.3), or by the Employee’s voluntary resignation for Good Reason (as defined in Section 4.2), other than in connection with a Change in Control (as defined in Section 7.2(a)), then the Employee shall be paid all accrued and unpaid base salary and any accrued but unused vacation through the date of termination. In addition, subject to the Employee’s execution and non-revocation of a binding severance and mutual release agreement in a form satisfactory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65" w:name="page66"/>
    <w:bookmarkEnd w:id="65"/>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(hereinafter, a “Severance Agreement”) and subject to the terms and conditions of Section 18 of this Agreement, the Employee shall be eligible to receive the following separation benefits:</w:t>
      </w:r>
    </w:p>
    <w:p>
      <w:pPr>
        <w:spacing w:after="0" w:line="54"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5.1 an amount equal to (i) nine (9) months of the Employee’s then-current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Employee’s employment is terminated by the Employee’s voluntary resignation for Good Reason as a result of the Company’s material reduction of the Employee’s base salary, then the Employee’s then-current base salary shall refer to his base salary as in effect immediately before such material reduction took effect) plus (ii) an amount equal to three-fourths (3/4) of the Employee’s target performance-based annual bonus pursuant to Section 3.2 for the year in which the Employee’s date of termination occurs, all of which shall be payable, in full and in a lump-sum cash payment (subject to applicable withholdings), on the Payment Commencement Date, provided that the Severance Agreement has been executed and any applicable revocation period with respect thereto has expired within thirty (30) days following the Employee’s date of termination (such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Employee’s date of termination occurs in the calendar year following the year of termination, then the Payment Commencement Date shall be no earlier than January 1 of the year following the year of termination; and</w:t>
      </w:r>
    </w:p>
    <w:p>
      <w:pPr>
        <w:spacing w:after="0" w:line="18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5.2 upon the Employee’s termination from employment pursuant to this Section 5, the Company shall continue the Employee and his dependents on its medical and dental plans in accordance with the applicable plans, or to the extent the Employee and his dependents cannot be maintained on such plans, the Company will obtain comparable policies for the Employee and shall pay only that portion of the medical and dental premiums that it pays on behalf of its actively employed executives who receive the same type of coverage for a period of nine (9) months after the Employee’s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66" w:name="page67"/>
    <w:bookmarkEnd w:id="66"/>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becomes re-employed with another employer and is eligible to receive such benefits from such employer on terms at least as favorable to the Employee and his dependents as those being provided by the Company, then the Company shall no longer be required to provide those particular benefits to the Employee and his dependents. At the end of the nine (9) month period, the Employee may continue such policies on his own behalf or pursuant to COBRA, if applicable, and shall be responsible for all premiums thereafter.</w:t>
      </w:r>
    </w:p>
    <w:p>
      <w:pPr>
        <w:spacing w:after="0" w:line="288" w:lineRule="exact"/>
        <w:rPr>
          <w:sz w:val="20"/>
          <w:szCs w:val="20"/>
          <w:color w:val="auto"/>
        </w:rPr>
      </w:pPr>
    </w:p>
    <w:p>
      <w:pPr>
        <w:ind w:left="640" w:hanging="17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 or Disability.</w:t>
      </w:r>
    </w:p>
    <w:p>
      <w:pPr>
        <w:spacing w:after="0" w:line="117"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6.1 If the Employee’s employment with the Company is terminated by reason of the Employee’s death or Disability (as defined below), then the Employee (or his estate, if applicable) shall be paid, within thirty (30) days of the date of the Employee’s death or determination of Disability, all accrued and unpaid base salary and any accrued but unused vacation through the date of termination. In addition, subject to the execution and non-revocation of a Severance Agreement by the Employee, his estate or his legal representative(s), as applicable, and the terms and conditions set forth in Section 18 of this Agreement, the Employee or his estate, as applicable, shall also be eligible to receive an annual bonus in an amount equal to the total bonus, if any, that he would have been paid for the year in which his termination by reason of death or Disability occurred, pro-rated for the length of service since the last bonus period. This pro-rata bonus, if any, shall be payable in a lump sum on the Payment Commencement Date.</w:t>
      </w:r>
    </w:p>
    <w:p>
      <w:pPr>
        <w:spacing w:after="0" w:line="189"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6.2 For purposes of this Agreement, “Disability” shall mean the Employee’s absence from the full-time performance of the Employee’s duties with the Company for 180 consecutive calendar days as a result of incapacity due to mental or physical illness which is determined to be total and permanent by a physician selected by the Company or its insurers and acceptable to the Employee or the Employee’s legal representative.</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270" w:right="299" w:bottom="1440" w:gutter="0" w:footer="0" w:header="0"/>
        </w:sectPr>
      </w:pPr>
    </w:p>
    <w:bookmarkStart w:id="67" w:name="page68"/>
    <w:bookmarkEnd w:id="67"/>
    <w:p>
      <w:pPr>
        <w:ind w:left="640" w:hanging="17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Following Change of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Benefits to Employee Upon a Change of Control Termination</w:t>
      </w:r>
      <w:r>
        <w:rPr>
          <w:rFonts w:ascii="Times New Roman" w:cs="Times New Roman" w:eastAsia="Times New Roman" w:hAnsi="Times New Roman"/>
          <w:sz w:val="18"/>
          <w:szCs w:val="18"/>
          <w:color w:val="auto"/>
        </w:rPr>
        <w:t>. In the event of a Change of Control Termination (as defined in Section 7.2(c) below), the Employee shall be entitled to all accrued and unpaid base salary and any accrued but unused vacation through the date of termination. In addition, subject to the Employee’s execution and non-revocation of a binding Severance Agreement and the terms and conditions set forth in Section 18 of this Agreement, the Employee shall be eligible to receive the following separation benefits:</w:t>
      </w:r>
    </w:p>
    <w:p>
      <w:pPr>
        <w:spacing w:after="0" w:line="180" w:lineRule="exact"/>
        <w:rPr>
          <w:sz w:val="20"/>
          <w:szCs w:val="20"/>
          <w:color w:val="auto"/>
        </w:rPr>
      </w:pPr>
    </w:p>
    <w:p>
      <w:pPr>
        <w:ind w:right="160" w:firstLine="1492"/>
        <w:spacing w:after="0" w:line="266" w:lineRule="auto"/>
        <w:tabs>
          <w:tab w:leader="none" w:pos="17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benefits described in and payable at the time and in the manner set forth in Sections 5.1 and 5.2 above, except that all references to “nine (9) months” in such Sections shall be replaced with “twelve (12) months” for purposes of this Section 7, and the words “three-fourths (3/4) of” in Section 5.1 shall be deleted; and</w:t>
      </w:r>
    </w:p>
    <w:p>
      <w:pPr>
        <w:spacing w:after="0" w:line="176" w:lineRule="exact"/>
        <w:rPr>
          <w:rFonts w:ascii="Times New Roman" w:cs="Times New Roman" w:eastAsia="Times New Roman" w:hAnsi="Times New Roman"/>
          <w:sz w:val="18"/>
          <w:szCs w:val="18"/>
          <w:color w:val="auto"/>
        </w:rPr>
      </w:pPr>
    </w:p>
    <w:p>
      <w:pPr>
        <w:jc w:val="both"/>
        <w:ind w:right="180" w:firstLine="1492"/>
        <w:spacing w:after="0" w:line="266" w:lineRule="auto"/>
        <w:tabs>
          <w:tab w:leader="none" w:pos="17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and immediate vesting of any equity awards subject to time-based vesting that are outstanding at the time of the termination of the Employee’s employment. Any of the Employee’s outstanding awards at the time of the termination will remain exercisable following termination to the extent set forth in the applicable award agreements.</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Key Definitions</w:t>
      </w:r>
      <w:r>
        <w:rPr>
          <w:rFonts w:ascii="Times New Roman" w:cs="Times New Roman" w:eastAsia="Times New Roman" w:hAnsi="Times New Roman"/>
          <w:sz w:val="18"/>
          <w:szCs w:val="18"/>
          <w:color w:val="auto"/>
        </w:rPr>
        <w:t>. As used herein, the following terms shall have the following respective meanings:</w:t>
      </w:r>
    </w:p>
    <w:p>
      <w:pPr>
        <w:spacing w:after="0" w:line="225" w:lineRule="exact"/>
        <w:rPr>
          <w:sz w:val="20"/>
          <w:szCs w:val="20"/>
          <w:color w:val="auto"/>
        </w:rPr>
      </w:pPr>
    </w:p>
    <w:p>
      <w:pPr>
        <w:ind w:right="240" w:firstLine="1492"/>
        <w:spacing w:after="0" w:line="282" w:lineRule="auto"/>
        <w:tabs>
          <w:tab w:leader="none" w:pos="17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 event or occurrence set forth in any one or more of subsections (i) through (iii) below (including an event or occurrence that constitutes a Change in Control under one of such subsections but is specifically exempted from another such subsection):</w:t>
      </w:r>
    </w:p>
    <w:p>
      <w:pPr>
        <w:spacing w:after="0" w:line="161" w:lineRule="exact"/>
        <w:rPr>
          <w:rFonts w:ascii="Times New Roman" w:cs="Times New Roman" w:eastAsia="Times New Roman" w:hAnsi="Times New Roman"/>
          <w:sz w:val="18"/>
          <w:szCs w:val="18"/>
          <w:color w:val="auto"/>
        </w:rPr>
      </w:pPr>
    </w:p>
    <w:p>
      <w:pPr>
        <w:ind w:right="60" w:firstLine="1948"/>
        <w:spacing w:after="0" w:line="282" w:lineRule="auto"/>
        <w:tabs>
          <w:tab w:leader="none" w:pos="21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Securities Exchange Act of 1934, as amended (the “Exchange Act”)) (a “Person”) of beneficial ownership of any capital stock of the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0" w:right="279" w:bottom="1440" w:gutter="0" w:footer="0" w:header="0"/>
        </w:sectPr>
      </w:pPr>
    </w:p>
    <w:bookmarkStart w:id="68" w:name="page69"/>
    <w:bookmarkEnd w:id="68"/>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if, after such acquisition, such Person beneficially owns (within the meaning of Rule 13d-3 promulgated under the Exchange Act) more than 50%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or</w:t>
      </w:r>
    </w:p>
    <w:p>
      <w:pPr>
        <w:spacing w:after="0" w:line="176" w:lineRule="exact"/>
        <w:rPr>
          <w:sz w:val="20"/>
          <w:szCs w:val="20"/>
          <w:color w:val="auto"/>
        </w:rPr>
      </w:pPr>
    </w:p>
    <w:p>
      <w:pPr>
        <w:ind w:firstLine="1948"/>
        <w:spacing w:after="0" w:line="254" w:lineRule="auto"/>
        <w:tabs>
          <w:tab w:leader="none" w:pos="22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recapitalization or share exchange involving the Company or a sale or other disposition of all or substantially all of the assets of the Company in one or a series of transactions (a “Business Combination”), unless, immediately following such Business Combination,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or</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270" w:right="299" w:bottom="1440" w:gutter="0" w:footer="0" w:header="0"/>
        </w:sectPr>
      </w:pPr>
    </w:p>
    <w:bookmarkStart w:id="69" w:name="page70"/>
    <w:bookmarkEnd w:id="69"/>
    <w:p>
      <w:pPr>
        <w:ind w:left="1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approval by the stockholders of the Company of a complete or substantially complete liquidation or dissolution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firstLine="1492"/>
        <w:spacing w:after="0" w:line="255" w:lineRule="auto"/>
        <w:tabs>
          <w:tab w:leader="none" w:pos="173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Date</w:t>
      </w:r>
      <w:r>
        <w:rPr>
          <w:rFonts w:ascii="Times New Roman" w:cs="Times New Roman" w:eastAsia="Times New Roman" w:hAnsi="Times New Roman"/>
          <w:sz w:val="18"/>
          <w:szCs w:val="18"/>
          <w:color w:val="auto"/>
        </w:rPr>
        <w:t>” means the first date during the period of time the Employee is employed pursuant to this Agreement on which a Change in Control occurs. Anything in this Agreement to the contrary notwithstanding, if (a) a Change in Control occurs, (b) the Employee’s employment with the Company is terminated prior to the date on which the Change in Control occurs, and (c) it is reasonably demonstrated by the Employee that such termination of employment (i) was at the request of a third party who has taken steps reasonably calculated to effect a Change in Control or</w:t>
      </w:r>
    </w:p>
    <w:p>
      <w:pPr>
        <w:spacing w:after="0" w:line="2" w:lineRule="exact"/>
        <w:rPr>
          <w:rFonts w:ascii="Times New Roman" w:cs="Times New Roman" w:eastAsia="Times New Roman" w:hAnsi="Times New Roman"/>
          <w:sz w:val="18"/>
          <w:szCs w:val="18"/>
          <w:color w:val="auto"/>
        </w:rPr>
      </w:pPr>
    </w:p>
    <w:p>
      <w:pPr>
        <w:ind w:right="80" w:firstLine="8"/>
        <w:spacing w:after="0" w:line="261" w:lineRule="auto"/>
        <w:tabs>
          <w:tab w:leader="none" w:pos="2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arose in connection with or in anticipation of a Change in Control, then for all purposes of this Agreement the “Change in Control Date” shall mean the date immediately prior to the date of such termination of employment.</w:t>
      </w:r>
    </w:p>
    <w:p>
      <w:pPr>
        <w:spacing w:after="0" w:line="179" w:lineRule="exact"/>
        <w:rPr>
          <w:rFonts w:ascii="Times New Roman" w:cs="Times New Roman" w:eastAsia="Times New Roman" w:hAnsi="Times New Roman"/>
          <w:sz w:val="18"/>
          <w:szCs w:val="18"/>
          <w:color w:val="auto"/>
        </w:rPr>
      </w:pPr>
    </w:p>
    <w:p>
      <w:pPr>
        <w:ind w:right="280" w:firstLine="1492"/>
        <w:spacing w:after="0" w:line="282" w:lineRule="auto"/>
        <w:tabs>
          <w:tab w:leader="none" w:pos="172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Termination</w:t>
      </w:r>
      <w:r>
        <w:rPr>
          <w:rFonts w:ascii="Times New Roman" w:cs="Times New Roman" w:eastAsia="Times New Roman" w:hAnsi="Times New Roman"/>
          <w:sz w:val="18"/>
          <w:szCs w:val="18"/>
          <w:color w:val="auto"/>
        </w:rPr>
        <w:t xml:space="preserve"> occurs where the Employee is terminated without Cause (as defined in Section 4.3) or resigns for Good Reason (as defined in Section 4.2), in either case within twelve (12) months following the Change in Control Date.</w:t>
      </w:r>
    </w:p>
    <w:p>
      <w:pPr>
        <w:spacing w:after="0" w:line="162" w:lineRule="exact"/>
        <w:rPr>
          <w:sz w:val="20"/>
          <w:szCs w:val="20"/>
          <w:color w:val="auto"/>
        </w:rPr>
      </w:pPr>
    </w:p>
    <w:p>
      <w:pPr>
        <w:ind w:right="120" w:firstLine="464"/>
        <w:spacing w:after="0" w:line="282" w:lineRule="auto"/>
        <w:tabs>
          <w:tab w:leader="none" w:pos="6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Employee shall not be required to mitigate the amount of any payment or benefits provided for in Sections 5 or 7 by seeking other employment or otherwise except with regard to medical and dental coverage if new employment is obtained.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20"/>
          </w:cols>
          <w:pgMar w:left="240" w:top="270" w:right="339" w:bottom="1440" w:gutter="0" w:footer="0" w:header="0"/>
        </w:sectPr>
      </w:pPr>
    </w:p>
    <w:bookmarkStart w:id="70" w:name="page71"/>
    <w:bookmarkEnd w:id="70"/>
    <w:p>
      <w:pPr>
        <w:ind w:left="580" w:hanging="176"/>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The provisions of Sections 5, 6 and 7 shall survive the termination of this Agreement for any reason.</w:t>
      </w:r>
    </w:p>
    <w:p>
      <w:pPr>
        <w:spacing w:after="0" w:line="225" w:lineRule="exact"/>
        <w:rPr>
          <w:rFonts w:ascii="Times New Roman" w:cs="Times New Roman" w:eastAsia="Times New Roman" w:hAnsi="Times New Roman"/>
          <w:sz w:val="18"/>
          <w:szCs w:val="18"/>
          <w:color w:val="auto"/>
        </w:rPr>
      </w:pPr>
    </w:p>
    <w:p>
      <w:pPr>
        <w:ind w:left="-60" w:right="280" w:firstLine="464"/>
        <w:spacing w:after="0" w:line="282" w:lineRule="auto"/>
        <w:tabs>
          <w:tab w:leader="none" w:pos="6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and Non-Disclosure Agreement</w:t>
      </w:r>
      <w:r>
        <w:rPr>
          <w:rFonts w:ascii="Times New Roman" w:cs="Times New Roman" w:eastAsia="Times New Roman" w:hAnsi="Times New Roman"/>
          <w:sz w:val="18"/>
          <w:szCs w:val="18"/>
          <w:color w:val="auto"/>
        </w:rPr>
        <w:t>. The Employee and the Company acknowledge (a) that they have entered into an Invention and Non-Disclosure Agreement effective as of April 8, 2009 and (b) the continuing effectiveness of such Invention and Non-Disclosure Agreement.</w:t>
      </w:r>
    </w:p>
    <w:p>
      <w:pPr>
        <w:spacing w:after="0" w:line="161" w:lineRule="exact"/>
        <w:rPr>
          <w:rFonts w:ascii="Times New Roman" w:cs="Times New Roman" w:eastAsia="Times New Roman" w:hAnsi="Times New Roman"/>
          <w:sz w:val="18"/>
          <w:szCs w:val="18"/>
          <w:color w:val="auto"/>
        </w:rPr>
      </w:pPr>
    </w:p>
    <w:p>
      <w:pPr>
        <w:ind w:left="-60" w:firstLine="464"/>
        <w:spacing w:after="0" w:line="258"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delivered under this Agreement shall be deemed duly delivered three (3) business days after it is sent by registered or certified mail, return receipt requested, postage prepaid, or one (1) business day after it is sent for next-business day delivery signature required via a reputable nationwide overnight courier service, to the Company’s address set forth in the introductory paragraph hereto or to the home address of the Employee then on file with the Company, as applicable. Either party may change the address to which notices are to be delivered by giving notice of such change to the other party in the manner set forth in this Section 11.</w:t>
      </w:r>
    </w:p>
    <w:p>
      <w:pPr>
        <w:spacing w:after="0" w:line="183" w:lineRule="exact"/>
        <w:rPr>
          <w:rFonts w:ascii="Times New Roman" w:cs="Times New Roman" w:eastAsia="Times New Roman" w:hAnsi="Times New Roman"/>
          <w:sz w:val="18"/>
          <w:szCs w:val="18"/>
          <w:color w:val="auto"/>
        </w:rPr>
      </w:pPr>
    </w:p>
    <w:p>
      <w:pPr>
        <w:ind w:left="-60" w:right="100" w:firstLine="464"/>
        <w:spacing w:after="0" w:line="282" w:lineRule="auto"/>
        <w:tabs>
          <w:tab w:leader="none" w:pos="6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161" w:lineRule="exact"/>
        <w:rPr>
          <w:rFonts w:ascii="Times New Roman" w:cs="Times New Roman" w:eastAsia="Times New Roman" w:hAnsi="Times New Roman"/>
          <w:sz w:val="18"/>
          <w:szCs w:val="18"/>
          <w:color w:val="auto"/>
        </w:rPr>
      </w:pPr>
    </w:p>
    <w:p>
      <w:pPr>
        <w:ind w:left="-60" w:right="140" w:firstLine="464"/>
        <w:spacing w:after="0" w:line="282" w:lineRule="auto"/>
        <w:tabs>
          <w:tab w:leader="none" w:pos="6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all exhibits hereto constitute the entire agreement between the parties and supersedes all prior agreements and understandings, whether written or oral, relating to the subject matter of this Agreement.</w:t>
      </w:r>
    </w:p>
    <w:p>
      <w:pPr>
        <w:spacing w:after="0" w:line="161" w:lineRule="exact"/>
        <w:rPr>
          <w:rFonts w:ascii="Times New Roman" w:cs="Times New Roman" w:eastAsia="Times New Roman" w:hAnsi="Times New Roman"/>
          <w:sz w:val="18"/>
          <w:szCs w:val="18"/>
          <w:color w:val="auto"/>
        </w:rPr>
      </w:pPr>
    </w:p>
    <w:p>
      <w:pPr>
        <w:ind w:left="680" w:hanging="276"/>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executed by both the Company and the Employee.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00"/>
          </w:cols>
          <w:pgMar w:left="300" w:top="270" w:right="299" w:bottom="1440" w:gutter="0" w:footer="0" w:header="0"/>
        </w:sectPr>
      </w:pPr>
    </w:p>
    <w:bookmarkStart w:id="71" w:name="page72"/>
    <w:bookmarkEnd w:id="71"/>
    <w:p>
      <w:pPr>
        <w:ind w:left="-80" w:firstLine="464"/>
        <w:spacing w:after="0" w:line="258" w:lineRule="auto"/>
        <w:tabs>
          <w:tab w:leader="none" w:pos="6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Employee each consents to the jurisdiction of such a court. The Company and the Employee each hereby irrevocably waive any right to a trial by jury in any action, suit or other legal proceeding arising under or relating to any provision of this Agreement.</w:t>
      </w:r>
    </w:p>
    <w:p>
      <w:pPr>
        <w:spacing w:after="0" w:line="183" w:lineRule="exact"/>
        <w:rPr>
          <w:rFonts w:ascii="Times New Roman" w:cs="Times New Roman" w:eastAsia="Times New Roman" w:hAnsi="Times New Roman"/>
          <w:sz w:val="18"/>
          <w:szCs w:val="18"/>
          <w:color w:val="auto"/>
        </w:rPr>
      </w:pPr>
    </w:p>
    <w:p>
      <w:pPr>
        <w:jc w:val="both"/>
        <w:ind w:left="-80" w:right="20" w:firstLine="464"/>
        <w:spacing w:after="0" w:line="266" w:lineRule="auto"/>
        <w:tabs>
          <w:tab w:leader="none" w:pos="6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both parties and their respective successors and assigns, including any corporation with which or into which the Company may be merged or which may succeed to its assets 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the Employee are personal and shall not be assigned by him.</w:t>
      </w:r>
    </w:p>
    <w:p>
      <w:pPr>
        <w:spacing w:after="0" w:line="176" w:lineRule="exact"/>
        <w:rPr>
          <w:rFonts w:ascii="Times New Roman" w:cs="Times New Roman" w:eastAsia="Times New Roman" w:hAnsi="Times New Roman"/>
          <w:sz w:val="18"/>
          <w:szCs w:val="18"/>
          <w:color w:val="auto"/>
        </w:rPr>
      </w:pPr>
    </w:p>
    <w:p>
      <w:pPr>
        <w:ind w:left="-80" w:right="40" w:firstLine="464"/>
        <w:spacing w:after="0" w:line="266" w:lineRule="auto"/>
        <w:tabs>
          <w:tab w:leader="none" w:pos="6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Employee states and represents that he has had an opportunity to fully discuss and review the terms of this Agreement with an attorney. The Employee further states and represents that he has carefully read this Agreement, understands the contents herein, freely and voluntarily assents to all of the terms and conditions hereof, and signs his name of his own free act.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270" w:right="319" w:bottom="1440" w:gutter="0" w:footer="0" w:header="0"/>
        </w:sectPr>
      </w:pPr>
    </w:p>
    <w:bookmarkStart w:id="72" w:name="page73"/>
    <w:bookmarkEnd w:id="72"/>
    <w:p>
      <w:pPr>
        <w:ind w:left="-60" w:right="120" w:firstLine="464"/>
        <w:spacing w:after="0" w:line="261" w:lineRule="auto"/>
        <w:tabs>
          <w:tab w:leader="none" w:pos="6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Subject to Section 409A.</w:t>
      </w:r>
      <w:r>
        <w:rPr>
          <w:rFonts w:ascii="Times New Roman" w:cs="Times New Roman" w:eastAsia="Times New Roman" w:hAnsi="Times New Roman"/>
          <w:sz w:val="18"/>
          <w:szCs w:val="18"/>
          <w:color w:val="auto"/>
        </w:rPr>
        <w:t xml:space="preserve"> Subject to the provisions in this Section 18, any severance payments or benefits under this Agreement shall begin only upon the date of the Employee’s “separation from service” (determined as set forth below) which occurs on or after the date of termination of the Employee’s employment. The following rules shall apply with respect to distribution of the payments and benefits, if any, to be provided to the Employee under this Agreement:</w:t>
      </w:r>
    </w:p>
    <w:p>
      <w:pPr>
        <w:spacing w:after="0" w:line="180" w:lineRule="exact"/>
        <w:rPr>
          <w:rFonts w:ascii="Times New Roman" w:cs="Times New Roman" w:eastAsia="Times New Roman" w:hAnsi="Times New Roman"/>
          <w:sz w:val="18"/>
          <w:szCs w:val="18"/>
          <w:color w:val="auto"/>
        </w:rPr>
      </w:pPr>
    </w:p>
    <w:p>
      <w:pPr>
        <w:ind w:left="-60" w:right="160" w:firstLine="1492"/>
        <w:spacing w:after="0" w:line="261" w:lineRule="auto"/>
        <w:tabs>
          <w:tab w:leader="none" w:pos="16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each installment of the severance payments and benefits provided under this Agreement shall be treated as a separate “payment” for purposes of Section 409A of the Internal Revenue Code of 1986, as amended and the guidance issued thereunder (“Section 409A”). Neither the Company nor the Employee shall have the right to accelerate or defer the delivery of any such payments or benefits except to the extent specifically permitted or required by Section 409A.</w:t>
      </w:r>
    </w:p>
    <w:p>
      <w:pPr>
        <w:spacing w:after="0" w:line="180" w:lineRule="exact"/>
        <w:rPr>
          <w:rFonts w:ascii="Times New Roman" w:cs="Times New Roman" w:eastAsia="Times New Roman" w:hAnsi="Times New Roman"/>
          <w:sz w:val="18"/>
          <w:szCs w:val="18"/>
          <w:color w:val="auto"/>
        </w:rPr>
      </w:pPr>
    </w:p>
    <w:p>
      <w:pPr>
        <w:jc w:val="both"/>
        <w:ind w:left="-60" w:firstLine="1492"/>
        <w:spacing w:after="0" w:line="313" w:lineRule="auto"/>
        <w:tabs>
          <w:tab w:leader="none" w:pos="167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the date of the Employee’s “separation from service” from the Company, the Employee is not a “specified employee” (within the meaning of Section 409A), then each installment of the severance payments and benefits shall be made on the dates and terms set forth in this Agreement.</w:t>
      </w:r>
    </w:p>
    <w:p>
      <w:pPr>
        <w:spacing w:after="0" w:line="138" w:lineRule="exact"/>
        <w:rPr>
          <w:rFonts w:ascii="Times New Roman" w:cs="Times New Roman" w:eastAsia="Times New Roman" w:hAnsi="Times New Roman"/>
          <w:sz w:val="17"/>
          <w:szCs w:val="17"/>
          <w:color w:val="auto"/>
        </w:rPr>
      </w:pPr>
    </w:p>
    <w:p>
      <w:pPr>
        <w:ind w:left="-60" w:right="40" w:firstLine="1492"/>
        <w:spacing w:after="0" w:line="282" w:lineRule="auto"/>
        <w:tabs>
          <w:tab w:leader="none" w:pos="16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Employee’s “separation from service” from the Company, the Employee is a “specified employee” (within the meaning of Section 409A), then:</w:t>
      </w:r>
    </w:p>
    <w:p>
      <w:pPr>
        <w:spacing w:after="0" w:line="161" w:lineRule="exact"/>
        <w:rPr>
          <w:rFonts w:ascii="Times New Roman" w:cs="Times New Roman" w:eastAsia="Times New Roman" w:hAnsi="Times New Roman"/>
          <w:sz w:val="18"/>
          <w:szCs w:val="18"/>
          <w:color w:val="auto"/>
        </w:rPr>
      </w:pPr>
    </w:p>
    <w:p>
      <w:pPr>
        <w:ind w:left="-60" w:firstLine="1948"/>
        <w:spacing w:after="0" w:line="261" w:lineRule="auto"/>
        <w:tabs>
          <w:tab w:leader="none" w:pos="2095"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 1.409A-1(b)(4) to the maximum extent permissible under Section 409A and shall be paid in the manner (and at the times) set forth in this agreement;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20"/>
          </w:cols>
          <w:pgMar w:left="300" w:top="270" w:right="279" w:bottom="1440" w:gutter="0" w:footer="0" w:header="0"/>
        </w:sectPr>
      </w:pPr>
    </w:p>
    <w:bookmarkStart w:id="73" w:name="page74"/>
    <w:bookmarkEnd w:id="73"/>
    <w:p>
      <w:pPr>
        <w:ind w:left="-20" w:right="20" w:firstLine="1948"/>
        <w:spacing w:after="0" w:line="254" w:lineRule="auto"/>
        <w:tabs>
          <w:tab w:leader="none" w:pos="218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installment of the severance payments and benefits due under this Agreement that is not described in paragraph c(i) above and that would, absent this subsection, be paid within the six-month period following the Employee’s “separation from service” from the Company shall not be paid until the date that is six months and one day after such separation from service (or, if earlier, the Employee’s death), with any such installments that are required to be delayed being accumulated during the six-month period and paid in a lump sum on the date that is six months and one day following the Employee’s separation from service and any subsequent installments, if any, being paid in accordance with the dates and terms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preceding provisions of this sentence shall not apply to any installment of severance payments and benefits if and to the maximum extent that that such installment is deemed to be paid under a separation pay plan that does not provide for a deferral of compensation by reason of the application of Treasury Regulation § 1.409A-1(b)(9)(iii) (relating to separation pay upon an involuntary separation from service). Any installments that qualify for the exception under Treasury Regulation § 1.409A-1(b)(9)(iii) must be paid no later than the last day of the Employee’s second taxable year following the taxable year in which the separation from service occurs.</w:t>
      </w:r>
    </w:p>
    <w:p>
      <w:pPr>
        <w:spacing w:after="0" w:line="186" w:lineRule="exact"/>
        <w:rPr>
          <w:rFonts w:ascii="Times New Roman" w:cs="Times New Roman" w:eastAsia="Times New Roman" w:hAnsi="Times New Roman"/>
          <w:sz w:val="18"/>
          <w:szCs w:val="18"/>
          <w:color w:val="auto"/>
        </w:rPr>
      </w:pPr>
    </w:p>
    <w:p>
      <w:pPr>
        <w:ind w:left="-20" w:firstLine="1492"/>
        <w:spacing w:after="0" w:line="282" w:lineRule="auto"/>
        <w:tabs>
          <w:tab w:leader="none" w:pos="17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and when the Employee’s separation from service from the Company has occurred shall be made and in a manner consistent with, and based on the presumptions set forth in, Treasury Regulation § 1.409A-1(h).</w:t>
      </w:r>
    </w:p>
    <w:p>
      <w:pPr>
        <w:spacing w:after="0" w:line="161" w:lineRule="exact"/>
        <w:rPr>
          <w:rFonts w:ascii="Times New Roman" w:cs="Times New Roman" w:eastAsia="Times New Roman" w:hAnsi="Times New Roman"/>
          <w:sz w:val="18"/>
          <w:szCs w:val="18"/>
          <w:color w:val="auto"/>
        </w:rPr>
      </w:pPr>
    </w:p>
    <w:p>
      <w:pPr>
        <w:ind w:left="-20" w:right="620" w:firstLine="1492"/>
        <w:spacing w:after="0" w:line="266" w:lineRule="auto"/>
        <w:tabs>
          <w:tab w:leader="none" w:pos="17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60" w:top="270" w:right="239" w:bottom="1440" w:gutter="0" w:footer="0" w:header="0"/>
        </w:sectPr>
      </w:pPr>
    </w:p>
    <w:bookmarkStart w:id="74" w:name="page75"/>
    <w:bookmarkEnd w:id="7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0" w:lineRule="exact"/>
        <w:rPr>
          <w:sz w:val="20"/>
          <w:szCs w:val="20"/>
          <w:color w:val="auto"/>
        </w:rPr>
      </w:pPr>
    </w:p>
    <w:p>
      <w:pPr>
        <w:ind w:right="80" w:firstLine="1948"/>
        <w:spacing w:after="0" w:line="282" w:lineRule="auto"/>
        <w:tabs>
          <w:tab w:leader="none" w:pos="21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have no liability to the Employee or to any other person if the payments and benefits provided hereunder that are intended to be exempt from or compliant with Section 409A are not so exempt or compliant.</w:t>
      </w:r>
    </w:p>
    <w:p>
      <w:pPr>
        <w:spacing w:after="0" w:line="269"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80" w:firstLine="913"/>
        <w:spacing w:after="0" w:line="266" w:lineRule="auto"/>
        <w:rPr>
          <w:sz w:val="20"/>
          <w:szCs w:val="20"/>
          <w:color w:val="auto"/>
        </w:rPr>
      </w:pPr>
      <w:r>
        <w:rPr>
          <w:rFonts w:ascii="Times New Roman" w:cs="Times New Roman" w:eastAsia="Times New Roman" w:hAnsi="Times New Roman"/>
          <w:sz w:val="18"/>
          <w:szCs w:val="18"/>
          <w:color w:val="auto"/>
        </w:rPr>
        <w:t>19.1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6" w:lineRule="exact"/>
        <w:rPr>
          <w:sz w:val="20"/>
          <w:szCs w:val="20"/>
          <w:color w:val="auto"/>
        </w:rPr>
      </w:pPr>
    </w:p>
    <w:p>
      <w:pPr>
        <w:ind w:right="440" w:firstLine="913"/>
        <w:spacing w:after="0" w:line="282" w:lineRule="auto"/>
        <w:rPr>
          <w:sz w:val="20"/>
          <w:szCs w:val="20"/>
          <w:color w:val="auto"/>
        </w:rPr>
      </w:pPr>
      <w:r>
        <w:rPr>
          <w:rFonts w:ascii="Times New Roman" w:cs="Times New Roman" w:eastAsia="Times New Roman" w:hAnsi="Times New Roman"/>
          <w:sz w:val="18"/>
          <w:szCs w:val="18"/>
          <w:color w:val="auto"/>
        </w:rPr>
        <w:t>19.2 The captions of the sections of this Agreement are for convenience of reference only and in no way define, limit or affect the scope or substance of any section of this Agreement.</w:t>
      </w:r>
    </w:p>
    <w:p>
      <w:pPr>
        <w:spacing w:after="0" w:line="162"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color w:val="auto"/>
        </w:rPr>
        <w:t>19.3 In case any provision of this Agreement shall be invalid, illegal or otherwise unenforceable, the validity, legality and enforceability of the remaining provisions shall in no way be affected or impaired thereby.</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270"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day and year set forth above.</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6880" w:val="left"/>
        </w:tabs>
        <w:rPr>
          <w:sz w:val="20"/>
          <w:szCs w:val="20"/>
          <w:color w:val="auto"/>
        </w:rPr>
      </w:pPr>
      <w:r>
        <w:rPr>
          <w:rFonts w:ascii="Times New Roman" w:cs="Times New Roman" w:eastAsia="Times New Roman" w:hAnsi="Times New Roman"/>
          <w:sz w:val="18"/>
          <w:szCs w:val="18"/>
          <w:color w:val="auto"/>
        </w:rPr>
        <w:t>By:</w:t>
        <w:tab/>
        <w:t>Robert I. Tepper, M.D.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Chairman, Compensation Committee of the Board of</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EMPLOYEE</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Oliver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5715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8"/>
          <w:szCs w:val="18"/>
          <w:color w:val="auto"/>
        </w:rPr>
        <w:t>Oliver Fetzer, Ph.D.</w:t>
      </w:r>
    </w:p>
    <w:p>
      <w:pPr>
        <w:spacing w:after="0" w:line="1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40"/>
          </w:cols>
          <w:pgMar w:left="700" w:top="270" w:right="4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Oliver S. Fetzer, certify that:</w:t>
      </w:r>
    </w:p>
    <w:p>
      <w:pPr>
        <w:spacing w:after="0" w:line="131" w:lineRule="exact"/>
        <w:rPr>
          <w:sz w:val="20"/>
          <w:szCs w:val="20"/>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920" w:right="100" w:hanging="440"/>
        <w:spacing w:after="0" w:line="266" w:lineRule="auto"/>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920" w:right="60" w:hanging="440"/>
        <w:spacing w:after="0" w:line="266" w:lineRule="auto"/>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920" w:right="160" w:hanging="440"/>
        <w:spacing w:after="0" w:line="266" w:lineRule="auto"/>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20" w:hanging="440"/>
        <w:spacing w:after="0" w:line="282" w:lineRule="auto"/>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20" w:right="300" w:hanging="440"/>
        <w:spacing w:after="0" w:line="282" w:lineRule="auto"/>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Oliver S.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Oliver S. Fetzer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D.T. Guiffre, certify that:</w:t>
      </w:r>
    </w:p>
    <w:p>
      <w:pPr>
        <w:spacing w:after="0" w:line="131" w:lineRule="exact"/>
        <w:rPr>
          <w:sz w:val="20"/>
          <w:szCs w:val="20"/>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920" w:right="100" w:hanging="440"/>
        <w:spacing w:after="0" w:line="266" w:lineRule="auto"/>
        <w:tabs>
          <w:tab w:leader="none" w:pos="1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920" w:right="60" w:hanging="440"/>
        <w:spacing w:after="0" w:line="266" w:lineRule="auto"/>
        <w:tabs>
          <w:tab w:leader="none" w:pos="1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920" w:right="160" w:hanging="440"/>
        <w:spacing w:after="0" w:line="266" w:lineRule="auto"/>
        <w:tabs>
          <w:tab w:leader="none" w:pos="1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20" w:hanging="440"/>
        <w:spacing w:after="0" w:line="282" w:lineRule="auto"/>
        <w:tabs>
          <w:tab w:leader="none" w:pos="1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20" w:right="300" w:hanging="440"/>
        <w:spacing w:after="0" w:line="282" w:lineRule="auto"/>
        <w:tabs>
          <w:tab w:leader="none" w:pos="1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 Chief Business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June 30, 2014, as filed with the Securities and Exchange Commission on the date hereof (the “Report”), the undersigned, Oliver S. Fetzer, President and Chief Executive Officer of the Company, hereby certifies, pursuant to 18 U.S.C. Section 1350, that, to his knowledge on the date hereof:</w:t>
      </w:r>
    </w:p>
    <w:p>
      <w:pPr>
        <w:spacing w:after="0" w:line="176" w:lineRule="exact"/>
        <w:rPr>
          <w:sz w:val="20"/>
          <w:szCs w:val="20"/>
          <w:color w:val="auto"/>
        </w:rPr>
      </w:pPr>
    </w:p>
    <w:p>
      <w:pPr>
        <w:ind w:left="720" w:hanging="256"/>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464"/>
        <w:spacing w:after="0" w:line="516" w:lineRule="auto"/>
        <w:tabs>
          <w:tab w:leader="none" w:pos="7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12, 2014</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Oliver S.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Oliver S. Fetzer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June 30, 2014, as filed with the Securities and Exchange Commission on the date hereof (the “Report”), the undersigned, Christopher D.T. Guiffre, Senior Vice President and Chief Business Officer of the Company, hereby certifies, pursuant to 18 U.S.C. Section 1350, that, to his knowledge on the date hereof:</w:t>
      </w:r>
    </w:p>
    <w:p>
      <w:pPr>
        <w:spacing w:after="0" w:line="176" w:lineRule="exact"/>
        <w:rPr>
          <w:sz w:val="20"/>
          <w:szCs w:val="20"/>
          <w:color w:val="auto"/>
        </w:rPr>
      </w:pPr>
    </w:p>
    <w:p>
      <w:pPr>
        <w:ind w:left="720" w:hanging="256"/>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464"/>
        <w:spacing w:after="0" w:line="516" w:lineRule="auto"/>
        <w:tabs>
          <w:tab w:leader="none" w:pos="7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12, 2014</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 Chief Business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3"/>
    </w:lvl>
  </w:abstractNum>
  <w:abstractNum w:abstractNumId="4">
    <w:nsid w:val="3006C83E"/>
    <w:multiLevelType w:val="hybridMultilevel"/>
    <w:lvl w:ilvl="0">
      <w:lvlJc w:val="left"/>
      <w:lvlText w:val="%1."/>
      <w:numFmt w:val="decimal"/>
      <w:start w:val="5"/>
    </w:lvl>
  </w:abstractNum>
  <w:abstractNum w:abstractNumId="5">
    <w:nsid w:val="614FD4A1"/>
    <w:multiLevelType w:val="hybridMultilevel"/>
    <w:lvl w:ilvl="0">
      <w:lvlJc w:val="left"/>
      <w:lvlText w:val="%1."/>
      <w:numFmt w:val="decimal"/>
      <w:start w:val="7"/>
    </w:lvl>
  </w:abstractNum>
  <w:abstractNum w:abstractNumId="6">
    <w:nsid w:val="419AC241"/>
    <w:multiLevelType w:val="hybridMultilevel"/>
    <w:lvl w:ilvl="0">
      <w:lvlJc w:val="left"/>
      <w:lvlText w:val="%1."/>
      <w:numFmt w:val="decimal"/>
      <w:start w:val="8"/>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3"/>
    </w:lvl>
  </w:abstractNum>
  <w:abstractNum w:abstractNumId="40">
    <w:nsid w:val="79A1DEAA"/>
    <w:multiLevelType w:val="hybridMultilevel"/>
    <w:lvl w:ilvl="0">
      <w:lvlJc w:val="left"/>
      <w:lvlText w:val="%1."/>
      <w:numFmt w:val="decimal"/>
      <w:start w:val="4"/>
    </w:lvl>
  </w:abstractNum>
  <w:abstractNum w:abstractNumId="41">
    <w:nsid w:val="75C6C33A"/>
    <w:multiLevelType w:val="hybridMultilevel"/>
    <w:lvl w:ilvl="0">
      <w:lvlJc w:val="left"/>
      <w:lvlText w:val="(%1)"/>
      <w:numFmt w:val="lowerLetter"/>
      <w:start w:val="3"/>
    </w:lvl>
    <w:lvl w:ilvl="1">
      <w:lvlJc w:val="left"/>
      <w:lvlText w:val="(%2)"/>
      <w:numFmt w:val="lowerLetter"/>
      <w:start w:val="1"/>
    </w:lvl>
  </w:abstractNum>
  <w:abstractNum w:abstractNumId="42">
    <w:nsid w:val="12E685FB"/>
    <w:multiLevelType w:val="hybridMultilevel"/>
    <w:lvl w:ilvl="0">
      <w:lvlJc w:val="left"/>
      <w:lvlText w:val="%1."/>
      <w:numFmt w:val="decimal"/>
      <w:start w:val="5"/>
    </w:lvl>
  </w:abstractNum>
  <w:abstractNum w:abstractNumId="43">
    <w:nsid w:val="70C6A529"/>
    <w:multiLevelType w:val="hybridMultilevel"/>
    <w:lvl w:ilvl="0">
      <w:lvlJc w:val="left"/>
      <w:lvlText w:val="%1."/>
      <w:numFmt w:val="decimal"/>
      <w:start w:val="6"/>
    </w:lvl>
  </w:abstractNum>
  <w:abstractNum w:abstractNumId="44">
    <w:nsid w:val="520EEDD1"/>
    <w:multiLevelType w:val="hybridMultilevel"/>
    <w:lvl w:ilvl="0">
      <w:lvlJc w:val="left"/>
      <w:lvlText w:val="%1."/>
      <w:numFmt w:val="decimal"/>
      <w:start w:val="7"/>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lvl w:ilvl="1">
      <w:lvlJc w:val="left"/>
      <w:lvlText w:val="(%2)"/>
      <w:numFmt w:val="lowerLetter"/>
      <w:start w:val="9"/>
    </w:lvl>
  </w:abstractNum>
  <w:abstractNum w:abstractNumId="47">
    <w:nsid w:val="23F9C13C"/>
    <w:multiLevelType w:val="hybridMultilevel"/>
    <w:lvl w:ilvl="0">
      <w:lvlJc w:val="left"/>
      <w:lvlText w:val="(%1)"/>
      <w:numFmt w:val="lowerRoman"/>
      <w:start w:val="2"/>
    </w:lvl>
  </w:abstractNum>
  <w:abstractNum w:abstractNumId="48">
    <w:nsid w:val="649BB77C"/>
    <w:multiLevelType w:val="hybridMultilevel"/>
    <w:lvl w:ilvl="0">
      <w:lvlJc w:val="left"/>
      <w:lvlText w:val="%1"/>
      <w:numFmt w:val="lowerLetter"/>
      <w:start w:val="1"/>
    </w:lvl>
    <w:lvl w:ilvl="1">
      <w:lvlJc w:val="left"/>
      <w:lvlText w:val="(%2)"/>
      <w:numFmt w:val="lowerLetter"/>
      <w:start w:val="2"/>
    </w:lvl>
  </w:abstractNum>
  <w:abstractNum w:abstractNumId="49">
    <w:nsid w:val="275AC794"/>
    <w:multiLevelType w:val="hybridMultilevel"/>
    <w:lvl w:ilvl="0">
      <w:lvlJc w:val="left"/>
      <w:lvlText w:val="(%1)"/>
      <w:numFmt w:val="lowerLetter"/>
      <w:start w:val="35"/>
    </w:lvl>
    <w:lvl w:ilvl="1">
      <w:lvlJc w:val="left"/>
      <w:lvlText w:val="(%2)"/>
      <w:numFmt w:val="lowerLetter"/>
      <w:start w:val="3"/>
    </w:lvl>
  </w:abstractNum>
  <w:abstractNum w:abstractNumId="50">
    <w:nsid w:val="39386575"/>
    <w:multiLevelType w:val="hybridMultilevel"/>
    <w:lvl w:ilvl="0">
      <w:lvlJc w:val="left"/>
      <w:lvlText w:val="%1."/>
      <w:numFmt w:val="decimal"/>
      <w:start w:val="8"/>
    </w:lvl>
  </w:abstractNum>
  <w:abstractNum w:abstractNumId="51">
    <w:nsid w:val="1CF10FD8"/>
    <w:multiLevelType w:val="hybridMultilevel"/>
    <w:lvl w:ilvl="0">
      <w:lvlJc w:val="left"/>
      <w:lvlText w:val="%1."/>
      <w:numFmt w:val="decimal"/>
      <w:start w:val="9"/>
    </w:lvl>
  </w:abstractNum>
  <w:abstractNum w:abstractNumId="52">
    <w:nsid w:val="180115BE"/>
    <w:multiLevelType w:val="hybridMultilevel"/>
    <w:lvl w:ilvl="0">
      <w:lvlJc w:val="left"/>
      <w:lvlText w:val="%1."/>
      <w:numFmt w:val="decimal"/>
      <w:start w:val="15"/>
    </w:lvl>
  </w:abstractNum>
  <w:abstractNum w:abstractNumId="53">
    <w:nsid w:val="235BA861"/>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9"/>
    </w:lvl>
  </w:abstractNum>
  <w:abstractNum w:abstractNumId="54">
    <w:nsid w:val="47398C89"/>
    <w:multiLevelType w:val="hybridMultilevel"/>
    <w:lvl w:ilvl="0">
      <w:lvlJc w:val="left"/>
      <w:lvlText w:val="%1"/>
      <w:numFmt w:val="lowerLetter"/>
      <w:start w:val="1"/>
    </w:lvl>
    <w:lvl w:ilvl="1">
      <w:lvlJc w:val="left"/>
      <w:lvlText w:val="(%2)"/>
      <w:numFmt w:val="lowerLetter"/>
      <w:start w:val="35"/>
    </w:lvl>
  </w:abstractNum>
  <w:abstractNum w:abstractNumId="55">
    <w:nsid w:val="354FE9F9"/>
    <w:multiLevelType w:val="hybridMultilevel"/>
    <w:lvl w:ilvl="0">
      <w:lvlJc w:val="left"/>
      <w:lvlText w:val="(%1)"/>
      <w:numFmt w:val="lowerLetter"/>
      <w:start w:val="4"/>
    </w:lvl>
    <w:lvl w:ilvl="1">
      <w:lvlJc w:val="left"/>
      <w:lvlText w:val="%2"/>
      <w:numFmt w:val="lowerLetter"/>
      <w:start w:val="1"/>
    </w:lvl>
  </w:abstractNum>
  <w:abstractNum w:abstractNumId="56">
    <w:nsid w:val="15B5AF5C"/>
    <w:multiLevelType w:val="hybridMultilevel"/>
    <w:lvl w:ilvl="0">
      <w:lvlJc w:val="left"/>
      <w:lvlText w:val="%1"/>
      <w:numFmt w:val="decimal"/>
      <w:start w:val="1"/>
    </w:lvl>
    <w:lvl w:ilvl="1">
      <w:lvlJc w:val="left"/>
      <w:lvlText w:val="(%2)"/>
      <w:numFmt w:val="lowerLetter"/>
      <w:start w:val="6"/>
    </w:lvl>
  </w:abstractNum>
  <w:abstractNum w:abstractNumId="57">
    <w:nsid w:val="741226BB"/>
    <w:multiLevelType w:val="hybridMultilevel"/>
    <w:lvl w:ilvl="0">
      <w:lvlJc w:val="left"/>
      <w:lvlText w:val="%1."/>
      <w:numFmt w:val="decimal"/>
      <w:start w:val="19"/>
    </w:lvl>
    <w:lvl w:ilvl="1">
      <w:lvlJc w:val="left"/>
      <w:lvlText w:val="%2"/>
      <w:numFmt w:val="lowerLetter"/>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2019-12-07T16:17:40Z</dcterms:created>
  <dcterms:modified xsi:type="dcterms:W3CDTF">2019-12-07T16:17:40Z</dcterms:modified>
</cp:coreProperties>
</file>