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10876.xml.htm"/>
      <w:bookmarkStart w:id="1" w:name="kswkform4_17812108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Grossman Jessica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full on the earlier of the first anniversary of the grant date or immediately prior to the issuer's first annual meeting of stockholders occurring after the grant date, subject to the director's continued service as a director, and will become exercisable in full upon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81"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3373</Characters>
  <CharactersWithSpaces>3936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