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3"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109855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50"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121"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For the quarterly period ended September 30, 2016</w:t>
      </w:r>
    </w:p>
    <w:p>
      <w:pPr>
        <w:spacing w:after="0" w:line="23"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OR</w:t>
      </w:r>
    </w:p>
    <w:p>
      <w:pPr>
        <w:spacing w:after="0" w:line="99"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21" w:lineRule="exact"/>
        <w:rPr>
          <w:sz w:val="24"/>
          <w:szCs w:val="24"/>
          <w:color w:val="auto"/>
        </w:rPr>
      </w:pPr>
    </w:p>
    <w:p>
      <w:pPr>
        <w:ind w:left="3580"/>
        <w:spacing w:after="0"/>
        <w:tabs>
          <w:tab w:leader="none" w:pos="6700" w:val="left"/>
          <w:tab w:leader="none" w:pos="778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8"/>
          <w:szCs w:val="18"/>
          <w:color w:val="auto"/>
        </w:rPr>
        <w:t>to</w:t>
      </w:r>
      <w:r>
        <w:rPr>
          <w:sz w:val="20"/>
          <w:szCs w:val="20"/>
          <w:color w:val="auto"/>
        </w:rPr>
        <w:tab/>
      </w:r>
      <w:r>
        <w:rPr>
          <w:rFonts w:ascii="Arial" w:cs="Arial" w:eastAsia="Arial" w:hAnsi="Arial"/>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3663315</wp:posOffset>
            </wp:positionH>
            <wp:positionV relativeFrom="paragraph">
              <wp:posOffset>-10160</wp:posOffset>
            </wp:positionV>
            <wp:extent cx="12890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0" cy="8890"/>
                    </a:xfrm>
                    <a:prstGeom prst="rect">
                      <a:avLst/>
                    </a:prstGeom>
                    <a:noFill/>
                  </pic:spPr>
                </pic:pic>
              </a:graphicData>
            </a:graphic>
          </wp:anchor>
        </w:drawing>
      </w:r>
    </w:p>
    <w:p>
      <w:pPr>
        <w:spacing w:after="0" w:line="97"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Commission file number 001-36395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100330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7"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CERULEAN PHARMA INC.</w:t>
      </w:r>
    </w:p>
    <w:p>
      <w:pPr>
        <w:spacing w:after="0" w:line="5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3" w:lineRule="exact"/>
        <w:rPr>
          <w:sz w:val="24"/>
          <w:szCs w:val="24"/>
          <w:color w:val="auto"/>
        </w:rPr>
      </w:pPr>
    </w:p>
    <w:tbl>
      <w:tblPr>
        <w:tblLayout w:type="fixed"/>
        <w:tblInd w:w="1580" w:type="dxa"/>
        <w:tblCellMar>
          <w:top w:w="0" w:type="dxa"/>
          <w:left w:w="0" w:type="dxa"/>
          <w:bottom w:w="0" w:type="dxa"/>
          <w:right w:w="0" w:type="dxa"/>
        </w:tblCellMar>
      </w:tblPr>
      <w:tr>
        <w:trPr>
          <w:trHeight w:val="212"/>
        </w:trPr>
        <w:tc>
          <w:tcPr>
            <w:tcW w:w="4480" w:type="dxa"/>
            <w:vAlign w:val="bottom"/>
          </w:tcPr>
          <w:p>
            <w:pPr>
              <w:jc w:val="center"/>
              <w:ind w:right="1939"/>
              <w:spacing w:after="0"/>
              <w:rPr>
                <w:sz w:val="20"/>
                <w:szCs w:val="20"/>
                <w:color w:val="auto"/>
              </w:rPr>
            </w:pPr>
            <w:r>
              <w:rPr>
                <w:rFonts w:ascii="Arial" w:cs="Arial" w:eastAsia="Arial" w:hAnsi="Arial"/>
                <w:sz w:val="18"/>
                <w:szCs w:val="18"/>
                <w:b w:val="1"/>
                <w:bCs w:val="1"/>
                <w:color w:val="auto"/>
                <w:w w:val="93"/>
              </w:rPr>
              <w:t>Delaware</w:t>
            </w:r>
          </w:p>
        </w:tc>
        <w:tc>
          <w:tcPr>
            <w:tcW w:w="3120" w:type="dxa"/>
            <w:vAlign w:val="bottom"/>
          </w:tcPr>
          <w:p>
            <w:pPr>
              <w:jc w:val="right"/>
              <w:ind w:right="41"/>
              <w:spacing w:after="0"/>
              <w:rPr>
                <w:sz w:val="20"/>
                <w:szCs w:val="20"/>
                <w:color w:val="auto"/>
              </w:rPr>
            </w:pPr>
            <w:r>
              <w:rPr>
                <w:rFonts w:ascii="Arial" w:cs="Arial" w:eastAsia="Arial" w:hAnsi="Arial"/>
                <w:sz w:val="18"/>
                <w:szCs w:val="18"/>
                <w:b w:val="1"/>
                <w:bCs w:val="1"/>
                <w:color w:val="auto"/>
              </w:rPr>
              <w:t>20-4139823</w:t>
            </w:r>
          </w:p>
        </w:tc>
      </w:tr>
      <w:tr>
        <w:trPr>
          <w:trHeight w:val="149"/>
        </w:trPr>
        <w:tc>
          <w:tcPr>
            <w:tcW w:w="4480" w:type="dxa"/>
            <w:vAlign w:val="bottom"/>
          </w:tcPr>
          <w:p>
            <w:pPr>
              <w:jc w:val="center"/>
              <w:ind w:right="193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20" w:type="dxa"/>
            <w:vAlign w:val="bottom"/>
          </w:tcPr>
          <w:p>
            <w:pPr>
              <w:jc w:val="center"/>
              <w:ind w:left="19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480" w:type="dxa"/>
            <w:vAlign w:val="bottom"/>
          </w:tcPr>
          <w:p>
            <w:pPr>
              <w:jc w:val="center"/>
              <w:ind w:right="1939"/>
              <w:spacing w:after="0"/>
              <w:rPr>
                <w:sz w:val="20"/>
                <w:szCs w:val="20"/>
                <w:color w:val="auto"/>
              </w:rPr>
            </w:pPr>
            <w:r>
              <w:rPr>
                <w:rFonts w:ascii="Arial" w:cs="Arial" w:eastAsia="Arial" w:hAnsi="Arial"/>
                <w:sz w:val="14"/>
                <w:szCs w:val="14"/>
                <w:b w:val="1"/>
                <w:bCs w:val="1"/>
                <w:color w:val="auto"/>
                <w:w w:val="95"/>
              </w:rPr>
              <w:t>Incorporation or Organization)</w:t>
            </w:r>
          </w:p>
        </w:tc>
        <w:tc>
          <w:tcPr>
            <w:tcW w:w="3120" w:type="dxa"/>
            <w:vAlign w:val="bottom"/>
          </w:tcPr>
          <w:p>
            <w:pPr>
              <w:jc w:val="center"/>
              <w:ind w:left="1921"/>
              <w:spacing w:after="0"/>
              <w:rPr>
                <w:sz w:val="20"/>
                <w:szCs w:val="20"/>
                <w:color w:val="auto"/>
              </w:rPr>
            </w:pPr>
            <w:r>
              <w:rPr>
                <w:rFonts w:ascii="Arial" w:cs="Arial" w:eastAsia="Arial" w:hAnsi="Arial"/>
                <w:sz w:val="14"/>
                <w:szCs w:val="14"/>
                <w:b w:val="1"/>
                <w:bCs w:val="1"/>
                <w:color w:val="auto"/>
                <w:w w:val="94"/>
              </w:rPr>
              <w:t>Identification No.)</w:t>
            </w:r>
          </w:p>
        </w:tc>
      </w:tr>
      <w:tr>
        <w:trPr>
          <w:trHeight w:val="318"/>
        </w:trPr>
        <w:tc>
          <w:tcPr>
            <w:tcW w:w="4480" w:type="dxa"/>
            <w:vAlign w:val="bottom"/>
          </w:tcPr>
          <w:p>
            <w:pPr>
              <w:jc w:val="center"/>
              <w:ind w:right="1939"/>
              <w:spacing w:after="0"/>
              <w:rPr>
                <w:sz w:val="20"/>
                <w:szCs w:val="20"/>
                <w:color w:val="auto"/>
              </w:rPr>
            </w:pPr>
            <w:r>
              <w:rPr>
                <w:rFonts w:ascii="Arial" w:cs="Arial" w:eastAsia="Arial" w:hAnsi="Arial"/>
                <w:sz w:val="18"/>
                <w:szCs w:val="18"/>
                <w:b w:val="1"/>
                <w:bCs w:val="1"/>
                <w:color w:val="auto"/>
                <w:w w:val="89"/>
              </w:rPr>
              <w:t>35 Gatehouse Drive</w:t>
            </w:r>
          </w:p>
        </w:tc>
        <w:tc>
          <w:tcPr>
            <w:tcW w:w="3120" w:type="dxa"/>
            <w:vAlign w:val="bottom"/>
          </w:tcPr>
          <w:p>
            <w:pPr>
              <w:spacing w:after="0"/>
              <w:rPr>
                <w:sz w:val="24"/>
                <w:szCs w:val="24"/>
                <w:color w:val="auto"/>
              </w:rPr>
            </w:pPr>
          </w:p>
        </w:tc>
      </w:tr>
      <w:tr>
        <w:trPr>
          <w:trHeight w:val="225"/>
        </w:trPr>
        <w:tc>
          <w:tcPr>
            <w:tcW w:w="4480" w:type="dxa"/>
            <w:vAlign w:val="bottom"/>
          </w:tcPr>
          <w:p>
            <w:pPr>
              <w:jc w:val="center"/>
              <w:ind w:right="1939"/>
              <w:spacing w:after="0"/>
              <w:rPr>
                <w:sz w:val="20"/>
                <w:szCs w:val="20"/>
                <w:color w:val="auto"/>
              </w:rPr>
            </w:pPr>
            <w:r>
              <w:rPr>
                <w:rFonts w:ascii="Arial" w:cs="Arial" w:eastAsia="Arial" w:hAnsi="Arial"/>
                <w:sz w:val="18"/>
                <w:szCs w:val="18"/>
                <w:b w:val="1"/>
                <w:bCs w:val="1"/>
                <w:color w:val="auto"/>
                <w:w w:val="97"/>
              </w:rPr>
              <w:t>Waltham, MA</w:t>
            </w:r>
          </w:p>
        </w:tc>
        <w:tc>
          <w:tcPr>
            <w:tcW w:w="3120" w:type="dxa"/>
            <w:vAlign w:val="bottom"/>
          </w:tcPr>
          <w:p>
            <w:pPr>
              <w:jc w:val="right"/>
              <w:ind w:right="261"/>
              <w:spacing w:after="0"/>
              <w:rPr>
                <w:sz w:val="20"/>
                <w:szCs w:val="20"/>
                <w:color w:val="auto"/>
              </w:rPr>
            </w:pPr>
            <w:r>
              <w:rPr>
                <w:rFonts w:ascii="Arial" w:cs="Arial" w:eastAsia="Arial" w:hAnsi="Arial"/>
                <w:sz w:val="18"/>
                <w:szCs w:val="18"/>
                <w:b w:val="1"/>
                <w:bCs w:val="1"/>
                <w:color w:val="auto"/>
              </w:rPr>
              <w:t>02451</w:t>
            </w:r>
          </w:p>
        </w:tc>
      </w:tr>
      <w:tr>
        <w:trPr>
          <w:trHeight w:val="186"/>
        </w:trPr>
        <w:tc>
          <w:tcPr>
            <w:tcW w:w="4480" w:type="dxa"/>
            <w:vAlign w:val="bottom"/>
          </w:tcPr>
          <w:p>
            <w:pPr>
              <w:jc w:val="center"/>
              <w:ind w:right="193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120" w:type="dxa"/>
            <w:vAlign w:val="bottom"/>
          </w:tcPr>
          <w:p>
            <w:pPr>
              <w:jc w:val="center"/>
              <w:ind w:left="1941"/>
              <w:spacing w:after="0"/>
              <w:rPr>
                <w:sz w:val="20"/>
                <w:szCs w:val="20"/>
                <w:color w:val="auto"/>
              </w:rPr>
            </w:pPr>
            <w:r>
              <w:rPr>
                <w:rFonts w:ascii="Arial" w:cs="Arial" w:eastAsia="Arial" w:hAnsi="Arial"/>
                <w:sz w:val="14"/>
                <w:szCs w:val="14"/>
                <w:b w:val="1"/>
                <w:bCs w:val="1"/>
                <w:color w:val="auto"/>
                <w:w w:val="95"/>
              </w:rPr>
              <w:t>(Zip Code)</w:t>
            </w:r>
          </w:p>
        </w:tc>
      </w:tr>
    </w:tbl>
    <w:p>
      <w:pPr>
        <w:spacing w:after="0" w:line="7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(781) 996-4300</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i w:val="1"/>
          <w:iCs w:val="1"/>
          <w:color w:val="auto"/>
        </w:rPr>
        <w:t>(Registrant’s Telephone Number, Including Area Code)</w:t>
      </w:r>
    </w:p>
    <w:p>
      <w:pPr>
        <w:spacing w:after="0" w:line="200" w:lineRule="exact"/>
        <w:rPr>
          <w:sz w:val="24"/>
          <w:szCs w:val="24"/>
          <w:color w:val="auto"/>
        </w:rPr>
      </w:pPr>
    </w:p>
    <w:p>
      <w:pPr>
        <w:spacing w:after="0" w:line="204"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57785</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87" w:lineRule="exact"/>
        <w:rPr>
          <w:sz w:val="24"/>
          <w:szCs w:val="24"/>
          <w:color w:val="auto"/>
        </w:rPr>
      </w:pPr>
    </w:p>
    <w:p>
      <w:pPr>
        <w:jc w:val="both"/>
        <w:ind w:right="6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8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52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ectPr>
          <w:pgSz w:w="11900" w:h="16838" w:orient="portrait"/>
          <w:cols w:equalWidth="0" w:num="1">
            <w:col w:w="11240"/>
          </w:cols>
          <w:pgMar w:left="240" w:top="571" w:right="419" w:bottom="1440" w:gutter="0" w:footer="0" w:header="0"/>
        </w:sectPr>
      </w:pPr>
    </w:p>
    <w:p>
      <w:pPr>
        <w:spacing w:after="0" w:line="128"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77" w:lineRule="exact"/>
        <w:rPr>
          <w:sz w:val="24"/>
          <w:szCs w:val="24"/>
          <w:color w:val="auto"/>
        </w:rPr>
      </w:pPr>
    </w:p>
    <w:p>
      <w:pPr>
        <w:sectPr>
          <w:pgSz w:w="11900" w:h="16838" w:orient="portrait"/>
          <w:cols w:equalWidth="0" w:num="4">
            <w:col w:w="2280" w:space="720"/>
            <w:col w:w="4400" w:space="720"/>
            <w:col w:w="2240" w:space="720"/>
            <w:col w:w="160"/>
          </w:cols>
          <w:pgMar w:left="240" w:top="571" w:right="41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2280" w:space="720"/>
            <w:col w:w="160" w:space="300"/>
            <w:col w:w="3940" w:space="720"/>
            <w:col w:w="2240" w:space="720"/>
            <w:col w:w="160"/>
          </w:cols>
          <w:pgMar w:left="240" w:top="571" w:right="419" w:bottom="1440" w:gutter="0" w:footer="0" w:header="0"/>
          <w:type w:val="continuous"/>
        </w:sectPr>
      </w:pPr>
    </w:p>
    <w:p>
      <w:pPr>
        <w:spacing w:after="0" w:line="16" w:lineRule="exact"/>
        <w:rPr>
          <w:sz w:val="24"/>
          <w:szCs w:val="24"/>
          <w:color w:val="auto"/>
        </w:rPr>
      </w:pPr>
    </w:p>
    <w:p>
      <w:pPr>
        <w:ind w:left="520"/>
        <w:spacing w:after="0" w:line="196" w:lineRule="exact"/>
        <w:tabs>
          <w:tab w:leader="none" w:pos="88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68" w:lineRule="exact"/>
        <w:rPr>
          <w:sz w:val="24"/>
          <w:szCs w:val="24"/>
          <w:color w:val="auto"/>
        </w:rPr>
      </w:pPr>
    </w:p>
    <w:p>
      <w:pPr>
        <w:sectPr>
          <w:pgSz w:w="11900" w:h="16838" w:orient="portrait"/>
          <w:cols w:equalWidth="0" w:num="3">
            <w:col w:w="9380" w:space="200"/>
            <w:col w:w="220" w:space="120"/>
            <w:col w:w="1320"/>
          </w:cols>
          <w:pgMar w:left="240" w:top="571" w:right="419" w:bottom="1440" w:gutter="0" w:footer="0" w:header="0"/>
          <w:type w:val="continuous"/>
        </w:sectPr>
      </w:pPr>
    </w:p>
    <w:p>
      <w:pPr>
        <w:spacing w:after="0" w:line="37" w:lineRule="exact"/>
        <w:rPr>
          <w:sz w:val="24"/>
          <w:szCs w:val="24"/>
          <w:color w:val="auto"/>
        </w:rPr>
      </w:pPr>
    </w:p>
    <w:p>
      <w:pPr>
        <w:ind w:left="520"/>
        <w:spacing w:after="0"/>
        <w:rPr>
          <w:sz w:val="20"/>
          <w:szCs w:val="20"/>
          <w:color w:val="auto"/>
        </w:rPr>
      </w:pPr>
      <w:r>
        <w:rPr>
          <w:rFonts w:ascii="Arial" w:cs="Arial" w:eastAsia="Arial" w:hAnsi="Arial"/>
          <w:sz w:val="16"/>
          <w:szCs w:val="16"/>
          <w:color w:val="auto"/>
        </w:rPr>
        <w:t>Number of shares of the registrant’s Common Stock, $ 0.0001 par value, outstanding on October 31, 2016: 27,435,680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462915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240" w:top="571" w:right="419" w:bottom="1440" w:gutter="0" w:footer="0" w:header="0"/>
          <w:type w:val="continuous"/>
        </w:sectPr>
      </w:pPr>
    </w:p>
    <w:bookmarkStart w:id="1" w:name="page2"/>
    <w:bookmarkEnd w:id="1"/>
    <w:p>
      <w:pPr>
        <w:jc w:val="center"/>
        <w:ind w:right="60"/>
        <w:spacing w:after="0"/>
        <w:rPr>
          <w:sz w:val="20"/>
          <w:szCs w:val="20"/>
          <w:color w:val="auto"/>
        </w:rPr>
      </w:pPr>
      <w:r>
        <w:rPr>
          <w:rFonts w:ascii="Arial" w:cs="Arial" w:eastAsia="Arial" w:hAnsi="Arial"/>
          <w:sz w:val="18"/>
          <w:szCs w:val="18"/>
          <w:b w:val="1"/>
          <w:bCs w:val="1"/>
          <w:color w:val="auto"/>
        </w:rPr>
        <w:t>CERULEAN PHARMA INC.</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FOR THE QUARTERLY PERIOD ENDED SEPTEMBER 30, 2016</w:t>
      </w:r>
    </w:p>
    <w:p>
      <w:pPr>
        <w:spacing w:after="0" w:line="20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4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Page No.</w:t>
            </w:r>
          </w:p>
        </w:tc>
      </w:tr>
      <w:tr>
        <w:trPr>
          <w:trHeight w:val="291"/>
        </w:trPr>
        <w:tc>
          <w:tcPr>
            <w:tcW w:w="3080" w:type="dxa"/>
            <w:vAlign w:val="bottom"/>
            <w:tcBorders>
              <w:bottom w:val="single" w:sz="8" w:color="0000EE"/>
            </w:tcBorders>
            <w:gridSpan w:val="10"/>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7560" w:type="dxa"/>
            <w:vAlign w:val="bottom"/>
            <w:gridSpan w:val="7"/>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620" w:type="dxa"/>
            <w:vAlign w:val="bottom"/>
            <w:tcBorders>
              <w:bottom w:val="single" w:sz="8" w:color="0000EE"/>
            </w:tcBorders>
            <w:gridSpan w:val="6"/>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Financial Statements</w:t>
              </w:r>
            </w:hyperlink>
          </w:p>
        </w:tc>
        <w:tc>
          <w:tcPr>
            <w:tcW w:w="7960" w:type="dxa"/>
            <w:vAlign w:val="bottom"/>
            <w:gridSpan w:val="10"/>
          </w:tcPr>
          <w:p>
            <w:pPr>
              <w:spacing w:after="0"/>
              <w:rPr>
                <w:sz w:val="24"/>
                <w:szCs w:val="24"/>
                <w:color w:val="auto"/>
              </w:rPr>
            </w:pPr>
          </w:p>
        </w:tc>
        <w:tc>
          <w:tcPr>
            <w:tcW w:w="800" w:type="dxa"/>
            <w:vAlign w:val="bottom"/>
          </w:tcPr>
          <w:p>
            <w:pPr>
              <w:jc w:val="center"/>
              <w:ind w:left="91"/>
              <w:spacing w:after="0"/>
              <w:rPr>
                <w:sz w:val="20"/>
                <w:szCs w:val="20"/>
                <w:color w:val="auto"/>
              </w:rPr>
            </w:pPr>
            <w:r>
              <w:rPr>
                <w:rFonts w:ascii="Arial" w:cs="Arial" w:eastAsia="Arial" w:hAnsi="Arial"/>
                <w:sz w:val="18"/>
                <w:szCs w:val="18"/>
                <w:color w:val="auto"/>
                <w:w w:val="99"/>
              </w:rPr>
              <w:t>1</w:t>
            </w:r>
          </w:p>
        </w:tc>
        <w:tc>
          <w:tcPr>
            <w:tcW w:w="40" w:type="dxa"/>
            <w:vAlign w:val="bottom"/>
          </w:tcPr>
          <w:p>
            <w:pPr>
              <w:spacing w:after="0"/>
              <w:rPr>
                <w:sz w:val="24"/>
                <w:szCs w:val="24"/>
                <w:color w:val="auto"/>
              </w:rPr>
            </w:pPr>
          </w:p>
        </w:tc>
      </w:tr>
      <w:tr>
        <w:trPr>
          <w:trHeight w:val="318"/>
        </w:trPr>
        <w:tc>
          <w:tcPr>
            <w:tcW w:w="1060" w:type="dxa"/>
            <w:vAlign w:val="bottom"/>
          </w:tcPr>
          <w:p>
            <w:pPr>
              <w:spacing w:after="0"/>
              <w:rPr>
                <w:sz w:val="24"/>
                <w:szCs w:val="24"/>
                <w:color w:val="auto"/>
              </w:rPr>
            </w:pPr>
          </w:p>
        </w:tc>
        <w:tc>
          <w:tcPr>
            <w:tcW w:w="746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September 30, 2016 and December 31, 2015 (unaudited)</w:t>
              </w:r>
            </w:hyperlink>
          </w:p>
        </w:tc>
        <w:tc>
          <w:tcPr>
            <w:tcW w:w="2120" w:type="dxa"/>
            <w:vAlign w:val="bottom"/>
            <w:gridSpan w:val="2"/>
          </w:tcPr>
          <w:p>
            <w:pPr>
              <w:spacing w:after="0"/>
              <w:rPr>
                <w:sz w:val="24"/>
                <w:szCs w:val="24"/>
                <w:color w:val="auto"/>
              </w:rPr>
            </w:pPr>
          </w:p>
        </w:tc>
        <w:tc>
          <w:tcPr>
            <w:tcW w:w="800" w:type="dxa"/>
            <w:vAlign w:val="bottom"/>
          </w:tcPr>
          <w:p>
            <w:pPr>
              <w:jc w:val="center"/>
              <w:ind w:left="91"/>
              <w:spacing w:after="0"/>
              <w:rPr>
                <w:sz w:val="20"/>
                <w:szCs w:val="20"/>
                <w:color w:val="auto"/>
              </w:rPr>
            </w:pPr>
            <w:r>
              <w:rPr>
                <w:rFonts w:ascii="Arial" w:cs="Arial" w:eastAsia="Arial" w:hAnsi="Arial"/>
                <w:sz w:val="18"/>
                <w:szCs w:val="18"/>
                <w:color w:val="auto"/>
                <w:w w:val="99"/>
              </w:rPr>
              <w:t>1</w:t>
            </w:r>
          </w:p>
        </w:tc>
        <w:tc>
          <w:tcPr>
            <w:tcW w:w="40" w:type="dxa"/>
            <w:vAlign w:val="bottom"/>
          </w:tcPr>
          <w:p>
            <w:pPr>
              <w:spacing w:after="0"/>
              <w:rPr>
                <w:sz w:val="24"/>
                <w:szCs w:val="24"/>
                <w:color w:val="auto"/>
              </w:rPr>
            </w:pPr>
          </w:p>
        </w:tc>
      </w:tr>
      <w:tr>
        <w:trPr>
          <w:trHeight w:val="318"/>
        </w:trPr>
        <w:tc>
          <w:tcPr>
            <w:tcW w:w="1060" w:type="dxa"/>
            <w:vAlign w:val="bottom"/>
          </w:tcPr>
          <w:p>
            <w:pPr>
              <w:spacing w:after="0"/>
              <w:rPr>
                <w:sz w:val="24"/>
                <w:szCs w:val="24"/>
                <w:color w:val="auto"/>
              </w:rPr>
            </w:pPr>
          </w:p>
        </w:tc>
        <w:tc>
          <w:tcPr>
            <w:tcW w:w="798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for the Three and Nine Months Ended September 30, 2016</w:t>
              </w:r>
            </w:hyperlink>
          </w:p>
        </w:tc>
        <w:tc>
          <w:tcPr>
            <w:tcW w:w="1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360" w:type="dxa"/>
            <w:vAlign w:val="bottom"/>
            <w:gridSpan w:val="15"/>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and 2015 (unaudited)</w:t>
              </w:r>
            </w:hyperlink>
          </w:p>
        </w:tc>
        <w:tc>
          <w:tcPr>
            <w:tcW w:w="800" w:type="dxa"/>
            <w:vAlign w:val="bottom"/>
          </w:tcPr>
          <w:p>
            <w:pPr>
              <w:jc w:val="center"/>
              <w:ind w:left="91"/>
              <w:spacing w:after="0" w:line="196" w:lineRule="exact"/>
              <w:rPr>
                <w:sz w:val="20"/>
                <w:szCs w:val="20"/>
                <w:color w:val="auto"/>
              </w:rPr>
            </w:pPr>
            <w:r>
              <w:rPr>
                <w:rFonts w:ascii="Arial" w:cs="Arial" w:eastAsia="Arial" w:hAnsi="Arial"/>
                <w:sz w:val="18"/>
                <w:szCs w:val="18"/>
                <w:color w:val="auto"/>
                <w:w w:val="99"/>
              </w:rPr>
              <w:t>2</w:t>
            </w:r>
          </w:p>
        </w:tc>
        <w:tc>
          <w:tcPr>
            <w:tcW w:w="4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060" w:type="dxa"/>
            <w:vAlign w:val="bottom"/>
          </w:tcPr>
          <w:p>
            <w:pPr>
              <w:spacing w:after="0"/>
              <w:rPr>
                <w:sz w:val="24"/>
                <w:szCs w:val="24"/>
                <w:color w:val="auto"/>
              </w:rPr>
            </w:pPr>
          </w:p>
        </w:tc>
        <w:tc>
          <w:tcPr>
            <w:tcW w:w="726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Cash Flows for the Nine Months Ended September 30, 2016</w:t>
              </w:r>
            </w:hyperlink>
          </w:p>
        </w:tc>
        <w:tc>
          <w:tcPr>
            <w:tcW w:w="2320" w:type="dxa"/>
            <w:vAlign w:val="bottom"/>
            <w:gridSpan w:val="3"/>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360" w:type="dxa"/>
            <w:vAlign w:val="bottom"/>
            <w:gridSpan w:val="15"/>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and 2015 (unaudited)</w:t>
              </w:r>
            </w:hyperlink>
          </w:p>
        </w:tc>
        <w:tc>
          <w:tcPr>
            <w:tcW w:w="800" w:type="dxa"/>
            <w:vAlign w:val="bottom"/>
          </w:tcPr>
          <w:p>
            <w:pPr>
              <w:jc w:val="center"/>
              <w:ind w:left="91"/>
              <w:spacing w:after="0" w:line="196" w:lineRule="exact"/>
              <w:rPr>
                <w:sz w:val="20"/>
                <w:szCs w:val="20"/>
                <w:color w:val="auto"/>
              </w:rPr>
            </w:pPr>
            <w:r>
              <w:rPr>
                <w:rFonts w:ascii="Arial" w:cs="Arial" w:eastAsia="Arial" w:hAnsi="Arial"/>
                <w:sz w:val="18"/>
                <w:szCs w:val="18"/>
                <w:color w:val="auto"/>
                <w:w w:val="99"/>
              </w:rPr>
              <w:t>3</w:t>
            </w:r>
          </w:p>
        </w:tc>
        <w:tc>
          <w:tcPr>
            <w:tcW w:w="4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74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060" w:type="dxa"/>
            <w:vAlign w:val="bottom"/>
          </w:tcPr>
          <w:p>
            <w:pPr>
              <w:spacing w:after="0"/>
              <w:rPr>
                <w:sz w:val="24"/>
                <w:szCs w:val="24"/>
                <w:color w:val="auto"/>
              </w:rPr>
            </w:pPr>
          </w:p>
        </w:tc>
        <w:tc>
          <w:tcPr>
            <w:tcW w:w="488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Notes to Condensed Consolidated Financial Statements (unaudited)</w:t>
              </w:r>
            </w:hyperlink>
          </w:p>
        </w:tc>
        <w:tc>
          <w:tcPr>
            <w:tcW w:w="4700" w:type="dxa"/>
            <w:vAlign w:val="bottom"/>
            <w:gridSpan w:val="5"/>
          </w:tcPr>
          <w:p>
            <w:pPr>
              <w:spacing w:after="0"/>
              <w:rPr>
                <w:sz w:val="24"/>
                <w:szCs w:val="24"/>
                <w:color w:val="auto"/>
              </w:rPr>
            </w:pPr>
          </w:p>
        </w:tc>
        <w:tc>
          <w:tcPr>
            <w:tcW w:w="800" w:type="dxa"/>
            <w:vAlign w:val="bottom"/>
          </w:tcPr>
          <w:p>
            <w:pPr>
              <w:jc w:val="center"/>
              <w:ind w:left="91"/>
              <w:spacing w:after="0"/>
              <w:rPr>
                <w:sz w:val="20"/>
                <w:szCs w:val="20"/>
                <w:color w:val="auto"/>
              </w:rPr>
            </w:pPr>
            <w:r>
              <w:rPr>
                <w:rFonts w:ascii="Arial" w:cs="Arial" w:eastAsia="Arial" w:hAnsi="Arial"/>
                <w:sz w:val="18"/>
                <w:szCs w:val="18"/>
                <w:color w:val="auto"/>
                <w:w w:val="99"/>
              </w:rPr>
              <w:t>4</w:t>
            </w:r>
          </w:p>
        </w:tc>
        <w:tc>
          <w:tcPr>
            <w:tcW w:w="40" w:type="dxa"/>
            <w:vAlign w:val="bottom"/>
          </w:tcPr>
          <w:p>
            <w:pPr>
              <w:spacing w:after="0"/>
              <w:rPr>
                <w:sz w:val="24"/>
                <w:szCs w:val="24"/>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6840" w:type="dxa"/>
            <w:vAlign w:val="bottom"/>
            <w:tcBorders>
              <w:bottom w:val="single" w:sz="8" w:color="0000EE"/>
            </w:tcBorders>
            <w:gridSpan w:val="12"/>
          </w:tcPr>
          <w:p>
            <w:pPr>
              <w:spacing w:after="0"/>
              <w:rPr>
                <w:rFonts w:ascii="Arial" w:cs="Arial" w:eastAsia="Arial" w:hAnsi="Arial"/>
                <w:sz w:val="18"/>
                <w:szCs w:val="18"/>
                <w:b w:val="1"/>
                <w:bCs w:val="1"/>
                <w:color w:val="0000EE"/>
                <w:w w:val="89"/>
              </w:rPr>
            </w:pPr>
            <w:hyperlink w:anchor="page12">
              <w:r>
                <w:rPr>
                  <w:rFonts w:ascii="Arial" w:cs="Arial" w:eastAsia="Arial" w:hAnsi="Arial"/>
                  <w:sz w:val="18"/>
                  <w:szCs w:val="18"/>
                  <w:b w:val="1"/>
                  <w:bCs w:val="1"/>
                  <w:color w:val="0000EE"/>
                  <w:w w:val="89"/>
                </w:rPr>
                <w:t>Management’s Discussion and Analysis of Financial Condition and Results of Operations</w:t>
              </w:r>
            </w:hyperlink>
          </w:p>
        </w:tc>
        <w:tc>
          <w:tcPr>
            <w:tcW w:w="2740" w:type="dxa"/>
            <w:vAlign w:val="bottom"/>
            <w:gridSpan w:val="4"/>
          </w:tcPr>
          <w:p>
            <w:pPr>
              <w:spacing w:after="0"/>
              <w:rPr>
                <w:sz w:val="24"/>
                <w:szCs w:val="24"/>
                <w:color w:val="auto"/>
              </w:rPr>
            </w:pPr>
          </w:p>
        </w:tc>
        <w:tc>
          <w:tcPr>
            <w:tcW w:w="800" w:type="dxa"/>
            <w:vAlign w:val="bottom"/>
          </w:tcPr>
          <w:p>
            <w:pPr>
              <w:jc w:val="center"/>
              <w:ind w:left="91"/>
              <w:spacing w:after="0"/>
              <w:rPr>
                <w:sz w:val="20"/>
                <w:szCs w:val="20"/>
                <w:color w:val="auto"/>
              </w:rPr>
            </w:pPr>
            <w:r>
              <w:rPr>
                <w:rFonts w:ascii="Arial" w:cs="Arial" w:eastAsia="Arial" w:hAnsi="Arial"/>
                <w:sz w:val="18"/>
                <w:szCs w:val="18"/>
                <w:color w:val="auto"/>
                <w:w w:val="89"/>
              </w:rPr>
              <w:t>10</w:t>
            </w:r>
          </w:p>
        </w:tc>
        <w:tc>
          <w:tcPr>
            <w:tcW w:w="40" w:type="dxa"/>
            <w:vAlign w:val="bottom"/>
          </w:tcPr>
          <w:p>
            <w:pPr>
              <w:spacing w:after="0"/>
              <w:rPr>
                <w:sz w:val="24"/>
                <w:szCs w:val="24"/>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9580" w:type="dxa"/>
            <w:vAlign w:val="bottom"/>
            <w:gridSpan w:val="16"/>
          </w:tcPr>
          <w:p>
            <w:pPr>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Quantitative and Qualitative Disclosures About Market Risk</w:t>
              </w:r>
            </w:hyperlink>
          </w:p>
        </w:tc>
        <w:tc>
          <w:tcPr>
            <w:tcW w:w="800" w:type="dxa"/>
            <w:vAlign w:val="bottom"/>
          </w:tcPr>
          <w:p>
            <w:pPr>
              <w:jc w:val="center"/>
              <w:ind w:left="91"/>
              <w:spacing w:after="0"/>
              <w:rPr>
                <w:sz w:val="20"/>
                <w:szCs w:val="20"/>
                <w:color w:val="auto"/>
              </w:rPr>
            </w:pPr>
            <w:r>
              <w:rPr>
                <w:rFonts w:ascii="Arial" w:cs="Arial" w:eastAsia="Arial" w:hAnsi="Arial"/>
                <w:sz w:val="18"/>
                <w:szCs w:val="18"/>
                <w:color w:val="auto"/>
                <w:w w:val="89"/>
              </w:rPr>
              <w:t>20</w:t>
            </w:r>
          </w:p>
        </w:tc>
        <w:tc>
          <w:tcPr>
            <w:tcW w:w="40" w:type="dxa"/>
            <w:vAlign w:val="bottom"/>
          </w:tcPr>
          <w:p>
            <w:pPr>
              <w:spacing w:after="0"/>
              <w:rPr>
                <w:sz w:val="24"/>
                <w:szCs w:val="24"/>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920" w:type="dxa"/>
            <w:vAlign w:val="bottom"/>
            <w:tcBorders>
              <w:top w:val="single" w:sz="8" w:color="0000EE"/>
              <w:bottom w:val="single" w:sz="8" w:color="0000EE"/>
            </w:tcBorders>
            <w:gridSpan w:val="8"/>
          </w:tcPr>
          <w:p>
            <w:pPr>
              <w:spacing w:after="0"/>
              <w:rPr>
                <w:rFonts w:ascii="Arial" w:cs="Arial" w:eastAsia="Arial" w:hAnsi="Arial"/>
                <w:sz w:val="18"/>
                <w:szCs w:val="18"/>
                <w:b w:val="1"/>
                <w:bCs w:val="1"/>
                <w:color w:val="0000EE"/>
                <w:w w:val="88"/>
              </w:rPr>
            </w:pPr>
            <w:hyperlink w:anchor="page23">
              <w:r>
                <w:rPr>
                  <w:rFonts w:ascii="Arial" w:cs="Arial" w:eastAsia="Arial" w:hAnsi="Arial"/>
                  <w:sz w:val="18"/>
                  <w:szCs w:val="18"/>
                  <w:b w:val="1"/>
                  <w:bCs w:val="1"/>
                  <w:color w:val="0000EE"/>
                  <w:w w:val="88"/>
                </w:rPr>
                <w:t>Controls and Procedures</w:t>
              </w:r>
            </w:hyperlink>
          </w:p>
        </w:tc>
        <w:tc>
          <w:tcPr>
            <w:tcW w:w="2740" w:type="dxa"/>
            <w:vAlign w:val="bottom"/>
            <w:tcBorders>
              <w:top w:val="single" w:sz="8" w:color="0000EE"/>
            </w:tcBorders>
            <w:gridSpan w:val="2"/>
          </w:tcPr>
          <w:p>
            <w:pPr>
              <w:spacing w:after="0"/>
              <w:rPr>
                <w:sz w:val="24"/>
                <w:szCs w:val="24"/>
                <w:color w:val="auto"/>
              </w:rPr>
            </w:pPr>
          </w:p>
        </w:tc>
        <w:tc>
          <w:tcPr>
            <w:tcW w:w="4920" w:type="dxa"/>
            <w:vAlign w:val="bottom"/>
            <w:gridSpan w:val="6"/>
          </w:tcPr>
          <w:p>
            <w:pPr>
              <w:spacing w:after="0"/>
              <w:rPr>
                <w:sz w:val="24"/>
                <w:szCs w:val="24"/>
                <w:color w:val="auto"/>
              </w:rPr>
            </w:pPr>
          </w:p>
        </w:tc>
        <w:tc>
          <w:tcPr>
            <w:tcW w:w="800" w:type="dxa"/>
            <w:vAlign w:val="bottom"/>
          </w:tcPr>
          <w:p>
            <w:pPr>
              <w:jc w:val="center"/>
              <w:ind w:left="91"/>
              <w:spacing w:after="0"/>
              <w:rPr>
                <w:sz w:val="20"/>
                <w:szCs w:val="20"/>
                <w:color w:val="auto"/>
              </w:rPr>
            </w:pPr>
            <w:r>
              <w:rPr>
                <w:rFonts w:ascii="Arial" w:cs="Arial" w:eastAsia="Arial" w:hAnsi="Arial"/>
                <w:sz w:val="18"/>
                <w:szCs w:val="18"/>
                <w:color w:val="auto"/>
                <w:w w:val="89"/>
              </w:rPr>
              <w:t>21</w:t>
            </w:r>
          </w:p>
        </w:tc>
        <w:tc>
          <w:tcPr>
            <w:tcW w:w="40" w:type="dxa"/>
            <w:vAlign w:val="bottom"/>
          </w:tcPr>
          <w:p>
            <w:pPr>
              <w:spacing w:after="0"/>
              <w:rPr>
                <w:sz w:val="24"/>
                <w:szCs w:val="24"/>
                <w:color w:val="auto"/>
              </w:rPr>
            </w:pPr>
          </w:p>
        </w:tc>
      </w:tr>
      <w:tr>
        <w:trPr>
          <w:trHeight w:val="318"/>
        </w:trPr>
        <w:tc>
          <w:tcPr>
            <w:tcW w:w="2820" w:type="dxa"/>
            <w:vAlign w:val="bottom"/>
            <w:tcBorders>
              <w:bottom w:val="single" w:sz="8" w:color="0000EE"/>
            </w:tcBorders>
            <w:gridSpan w:val="8"/>
          </w:tcPr>
          <w:p>
            <w:pPr>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PART II. OTHER INFORMATION</w:t>
              </w:r>
            </w:hyperlink>
          </w:p>
        </w:tc>
        <w:tc>
          <w:tcPr>
            <w:tcW w:w="7820" w:type="dxa"/>
            <w:vAlign w:val="bottom"/>
            <w:gridSpan w:val="9"/>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980" w:type="dxa"/>
            <w:vAlign w:val="bottom"/>
            <w:tcBorders>
              <w:bottom w:val="single" w:sz="8" w:color="0000EE"/>
            </w:tcBorders>
            <w:gridSpan w:val="4"/>
          </w:tcPr>
          <w:p>
            <w:pPr>
              <w:spacing w:after="0"/>
              <w:rPr>
                <w:rFonts w:ascii="Arial" w:cs="Arial" w:eastAsia="Arial" w:hAnsi="Arial"/>
                <w:sz w:val="18"/>
                <w:szCs w:val="18"/>
                <w:b w:val="1"/>
                <w:bCs w:val="1"/>
                <w:color w:val="0000EE"/>
                <w:w w:val="88"/>
              </w:rPr>
            </w:pPr>
            <w:hyperlink w:anchor="page24">
              <w:r>
                <w:rPr>
                  <w:rFonts w:ascii="Arial" w:cs="Arial" w:eastAsia="Arial" w:hAnsi="Arial"/>
                  <w:sz w:val="18"/>
                  <w:szCs w:val="18"/>
                  <w:b w:val="1"/>
                  <w:bCs w:val="1"/>
                  <w:color w:val="0000EE"/>
                  <w:w w:val="88"/>
                </w:rPr>
                <w:t>Risk Factors</w:t>
              </w:r>
            </w:hyperlink>
          </w:p>
        </w:tc>
        <w:tc>
          <w:tcPr>
            <w:tcW w:w="8600" w:type="dxa"/>
            <w:vAlign w:val="bottom"/>
            <w:gridSpan w:val="12"/>
          </w:tcPr>
          <w:p>
            <w:pPr>
              <w:spacing w:after="0"/>
              <w:rPr>
                <w:sz w:val="24"/>
                <w:szCs w:val="24"/>
                <w:color w:val="auto"/>
              </w:rPr>
            </w:pPr>
          </w:p>
        </w:tc>
        <w:tc>
          <w:tcPr>
            <w:tcW w:w="800" w:type="dxa"/>
            <w:vAlign w:val="bottom"/>
          </w:tcPr>
          <w:p>
            <w:pPr>
              <w:jc w:val="center"/>
              <w:ind w:left="91"/>
              <w:spacing w:after="0"/>
              <w:rPr>
                <w:sz w:val="20"/>
                <w:szCs w:val="20"/>
                <w:color w:val="auto"/>
              </w:rPr>
            </w:pPr>
            <w:r>
              <w:rPr>
                <w:rFonts w:ascii="Arial" w:cs="Arial" w:eastAsia="Arial" w:hAnsi="Arial"/>
                <w:sz w:val="18"/>
                <w:szCs w:val="18"/>
                <w:color w:val="auto"/>
                <w:w w:val="89"/>
              </w:rPr>
              <w:t>22</w:t>
            </w:r>
          </w:p>
        </w:tc>
        <w:tc>
          <w:tcPr>
            <w:tcW w:w="40" w:type="dxa"/>
            <w:vAlign w:val="bottom"/>
          </w:tcPr>
          <w:p>
            <w:pPr>
              <w:spacing w:after="0"/>
              <w:rPr>
                <w:sz w:val="24"/>
                <w:szCs w:val="24"/>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9580" w:type="dxa"/>
            <w:vAlign w:val="bottom"/>
            <w:gridSpan w:val="16"/>
          </w:tcPr>
          <w:p>
            <w:pPr>
              <w:spacing w:after="0"/>
              <w:rPr>
                <w:rFonts w:ascii="Arial" w:cs="Arial" w:eastAsia="Arial" w:hAnsi="Arial"/>
                <w:sz w:val="18"/>
                <w:szCs w:val="18"/>
                <w:b w:val="1"/>
                <w:bCs w:val="1"/>
                <w:color w:val="0000EE"/>
              </w:rPr>
            </w:pPr>
            <w:hyperlink w:anchor="page59">
              <w:r>
                <w:rPr>
                  <w:rFonts w:ascii="Arial" w:cs="Arial" w:eastAsia="Arial" w:hAnsi="Arial"/>
                  <w:sz w:val="18"/>
                  <w:szCs w:val="18"/>
                  <w:b w:val="1"/>
                  <w:bCs w:val="1"/>
                  <w:color w:val="0000EE"/>
                </w:rPr>
                <w:t>Other Information</w:t>
              </w:r>
            </w:hyperlink>
          </w:p>
        </w:tc>
        <w:tc>
          <w:tcPr>
            <w:tcW w:w="800" w:type="dxa"/>
            <w:vAlign w:val="bottom"/>
          </w:tcPr>
          <w:p>
            <w:pPr>
              <w:jc w:val="center"/>
              <w:ind w:left="91"/>
              <w:spacing w:after="0"/>
              <w:rPr>
                <w:sz w:val="20"/>
                <w:szCs w:val="20"/>
                <w:color w:val="auto"/>
              </w:rPr>
            </w:pPr>
            <w:r>
              <w:rPr>
                <w:rFonts w:ascii="Arial" w:cs="Arial" w:eastAsia="Arial" w:hAnsi="Arial"/>
                <w:sz w:val="18"/>
                <w:szCs w:val="18"/>
                <w:color w:val="auto"/>
                <w:w w:val="89"/>
              </w:rPr>
              <w:t>57</w:t>
            </w:r>
          </w:p>
        </w:tc>
        <w:tc>
          <w:tcPr>
            <w:tcW w:w="40" w:type="dxa"/>
            <w:vAlign w:val="bottom"/>
          </w:tcPr>
          <w:p>
            <w:pPr>
              <w:spacing w:after="0"/>
              <w:rPr>
                <w:sz w:val="24"/>
                <w:szCs w:val="24"/>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440" w:type="dxa"/>
            <w:vAlign w:val="bottom"/>
            <w:tcBorders>
              <w:top w:val="single" w:sz="8" w:color="0000EE"/>
            </w:tcBorders>
            <w:gridSpan w:val="5"/>
          </w:tcPr>
          <w:p>
            <w:pPr>
              <w:spacing w:after="0"/>
              <w:rPr>
                <w:rFonts w:ascii="Arial" w:cs="Arial" w:eastAsia="Arial" w:hAnsi="Arial"/>
                <w:sz w:val="18"/>
                <w:szCs w:val="18"/>
                <w:b w:val="1"/>
                <w:bCs w:val="1"/>
                <w:color w:val="0000EE"/>
              </w:rPr>
            </w:pPr>
            <w:hyperlink w:anchor="page60">
              <w:r>
                <w:rPr>
                  <w:rFonts w:ascii="Arial" w:cs="Arial" w:eastAsia="Arial" w:hAnsi="Arial"/>
                  <w:sz w:val="18"/>
                  <w:szCs w:val="18"/>
                  <w:b w:val="1"/>
                  <w:bCs w:val="1"/>
                  <w:color w:val="0000EE"/>
                </w:rPr>
                <w:t>Exhibits</w:t>
              </w:r>
            </w:hyperlink>
          </w:p>
        </w:tc>
        <w:tc>
          <w:tcPr>
            <w:tcW w:w="8140" w:type="dxa"/>
            <w:vAlign w:val="bottom"/>
            <w:gridSpan w:val="11"/>
          </w:tcPr>
          <w:p>
            <w:pPr>
              <w:spacing w:after="0"/>
              <w:rPr>
                <w:sz w:val="24"/>
                <w:szCs w:val="24"/>
                <w:color w:val="auto"/>
              </w:rPr>
            </w:pPr>
          </w:p>
        </w:tc>
        <w:tc>
          <w:tcPr>
            <w:tcW w:w="800" w:type="dxa"/>
            <w:vAlign w:val="bottom"/>
          </w:tcPr>
          <w:p>
            <w:pPr>
              <w:jc w:val="center"/>
              <w:ind w:left="91"/>
              <w:spacing w:after="0"/>
              <w:rPr>
                <w:sz w:val="20"/>
                <w:szCs w:val="20"/>
                <w:color w:val="auto"/>
              </w:rPr>
            </w:pPr>
            <w:r>
              <w:rPr>
                <w:rFonts w:ascii="Arial" w:cs="Arial" w:eastAsia="Arial" w:hAnsi="Arial"/>
                <w:sz w:val="18"/>
                <w:szCs w:val="18"/>
                <w:color w:val="auto"/>
                <w:w w:val="89"/>
              </w:rPr>
              <w:t>58</w:t>
            </w:r>
          </w:p>
        </w:tc>
        <w:tc>
          <w:tcPr>
            <w:tcW w:w="40" w:type="dxa"/>
            <w:vAlign w:val="bottom"/>
          </w:tcPr>
          <w:p>
            <w:pPr>
              <w:spacing w:after="0"/>
              <w:rPr>
                <w:sz w:val="24"/>
                <w:szCs w:val="24"/>
                <w:color w:val="auto"/>
              </w:rPr>
            </w:pPr>
          </w:p>
        </w:tc>
      </w:tr>
      <w:tr>
        <w:trPr>
          <w:trHeight w:val="20"/>
        </w:trPr>
        <w:tc>
          <w:tcPr>
            <w:tcW w:w="106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760" w:type="dxa"/>
            <w:vAlign w:val="bottom"/>
            <w:gridSpan w:val="1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060" w:type="dxa"/>
            <w:vAlign w:val="bottom"/>
          </w:tcPr>
          <w:p>
            <w:pPr>
              <w:spacing w:after="0"/>
              <w:rPr>
                <w:sz w:val="24"/>
                <w:szCs w:val="24"/>
                <w:color w:val="auto"/>
              </w:rPr>
            </w:pPr>
          </w:p>
        </w:tc>
        <w:tc>
          <w:tcPr>
            <w:tcW w:w="9580" w:type="dxa"/>
            <w:vAlign w:val="bottom"/>
            <w:gridSpan w:val="16"/>
          </w:tcPr>
          <w:p>
            <w:pPr>
              <w:spacing w:after="0"/>
              <w:rPr>
                <w:rFonts w:ascii="Arial" w:cs="Arial" w:eastAsia="Arial" w:hAnsi="Arial"/>
                <w:sz w:val="18"/>
                <w:szCs w:val="18"/>
                <w:b w:val="1"/>
                <w:bCs w:val="1"/>
                <w:color w:val="0000EE"/>
              </w:rPr>
            </w:pPr>
            <w:hyperlink w:anchor="page61">
              <w:r>
                <w:rPr>
                  <w:rFonts w:ascii="Arial" w:cs="Arial" w:eastAsia="Arial" w:hAnsi="Arial"/>
                  <w:sz w:val="18"/>
                  <w:szCs w:val="18"/>
                  <w:b w:val="1"/>
                  <w:bCs w:val="1"/>
                  <w:color w:val="0000EE"/>
                </w:rPr>
                <w:t>Signatures</w:t>
              </w:r>
            </w:hyperlink>
          </w:p>
        </w:tc>
        <w:tc>
          <w:tcPr>
            <w:tcW w:w="800" w:type="dxa"/>
            <w:vAlign w:val="bottom"/>
          </w:tcPr>
          <w:p>
            <w:pPr>
              <w:jc w:val="center"/>
              <w:ind w:left="91"/>
              <w:spacing w:after="0"/>
              <w:rPr>
                <w:sz w:val="20"/>
                <w:szCs w:val="20"/>
                <w:color w:val="auto"/>
              </w:rPr>
            </w:pPr>
            <w:r>
              <w:rPr>
                <w:rFonts w:ascii="Arial" w:cs="Arial" w:eastAsia="Arial" w:hAnsi="Arial"/>
                <w:sz w:val="18"/>
                <w:szCs w:val="18"/>
                <w:color w:val="auto"/>
                <w:w w:val="89"/>
              </w:rPr>
              <w:t>59</w:t>
            </w:r>
          </w:p>
        </w:tc>
        <w:tc>
          <w:tcPr>
            <w:tcW w:w="40" w:type="dxa"/>
            <w:vAlign w:val="bottom"/>
          </w:tcPr>
          <w:p>
            <w:pPr>
              <w:spacing w:after="0"/>
              <w:rPr>
                <w:sz w:val="24"/>
                <w:szCs w:val="24"/>
                <w:color w:val="auto"/>
              </w:rPr>
            </w:pPr>
          </w:p>
        </w:tc>
      </w:tr>
      <w:tr>
        <w:trPr>
          <w:trHeight w:val="352"/>
        </w:trPr>
        <w:tc>
          <w:tcPr>
            <w:tcW w:w="1060" w:type="dxa"/>
            <w:vAlign w:val="bottom"/>
            <w:tcBorders>
              <w:bottom w:val="single" w:sz="8" w:color="9A9A9A"/>
            </w:tcBorders>
          </w:tcPr>
          <w:p>
            <w:pPr>
              <w:spacing w:after="0"/>
              <w:rPr>
                <w:sz w:val="24"/>
                <w:szCs w:val="24"/>
                <w:color w:val="auto"/>
              </w:rPr>
            </w:pPr>
          </w:p>
        </w:tc>
        <w:tc>
          <w:tcPr>
            <w:tcW w:w="220" w:type="dxa"/>
            <w:vAlign w:val="bottom"/>
            <w:tcBorders>
              <w:top w:val="single" w:sz="8" w:color="0000EE"/>
              <w:bottom w:val="single" w:sz="8" w:color="9A9A9A"/>
            </w:tcBorders>
          </w:tcPr>
          <w:p>
            <w:pPr>
              <w:spacing w:after="0"/>
              <w:rPr>
                <w:sz w:val="24"/>
                <w:szCs w:val="24"/>
                <w:color w:val="auto"/>
              </w:rPr>
            </w:pPr>
          </w:p>
        </w:tc>
        <w:tc>
          <w:tcPr>
            <w:tcW w:w="420" w:type="dxa"/>
            <w:vAlign w:val="bottom"/>
            <w:tcBorders>
              <w:top w:val="single" w:sz="8" w:color="0000EE"/>
              <w:bottom w:val="single" w:sz="8" w:color="9A9A9A"/>
            </w:tcBorders>
          </w:tcPr>
          <w:p>
            <w:pPr>
              <w:spacing w:after="0"/>
              <w:rPr>
                <w:sz w:val="24"/>
                <w:szCs w:val="24"/>
                <w:color w:val="auto"/>
              </w:rPr>
            </w:pPr>
          </w:p>
        </w:tc>
        <w:tc>
          <w:tcPr>
            <w:tcW w:w="180" w:type="dxa"/>
            <w:vAlign w:val="bottom"/>
            <w:tcBorders>
              <w:top w:val="single" w:sz="8" w:color="0000EE"/>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80"/>
          </w:cols>
          <w:pgMar w:left="240" w:top="121" w:right="1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6760" w:type="dxa"/>
            <w:vAlign w:val="bottom"/>
          </w:tcPr>
          <w:p>
            <w:pPr>
              <w:ind w:left="3060"/>
              <w:spacing w:after="0"/>
              <w:rPr>
                <w:sz w:val="20"/>
                <w:szCs w:val="20"/>
                <w:color w:val="auto"/>
              </w:rPr>
            </w:pPr>
            <w:r>
              <w:rPr>
                <w:rFonts w:ascii="Arial" w:cs="Arial" w:eastAsia="Arial" w:hAnsi="Arial"/>
                <w:sz w:val="18"/>
                <w:szCs w:val="18"/>
                <w:b w:val="1"/>
                <w:bCs w:val="1"/>
                <w:color w:val="auto"/>
              </w:rPr>
              <w:t>PART I. FINANCIAL INFORMATION</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76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7880" w:type="dxa"/>
            <w:vAlign w:val="bottom"/>
            <w:gridSpan w:val="2"/>
          </w:tcPr>
          <w:p>
            <w:pPr>
              <w:spacing w:after="0"/>
              <w:rPr>
                <w:sz w:val="20"/>
                <w:szCs w:val="20"/>
                <w:color w:val="auto"/>
              </w:rPr>
            </w:pPr>
            <w:r>
              <w:rPr>
                <w:rFonts w:ascii="Arial" w:cs="Arial" w:eastAsia="Arial" w:hAnsi="Arial"/>
                <w:sz w:val="18"/>
                <w:szCs w:val="18"/>
                <w:b w:val="1"/>
                <w:bCs w:val="1"/>
                <w:color w:val="auto"/>
              </w:rPr>
              <w:t>CERULEAN PHARMA INC.</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0"/>
        </w:trPr>
        <w:tc>
          <w:tcPr>
            <w:tcW w:w="7880" w:type="dxa"/>
            <w:vAlign w:val="bottom"/>
            <w:gridSpan w:val="2"/>
          </w:tcPr>
          <w:p>
            <w:pPr>
              <w:spacing w:after="0"/>
              <w:rPr>
                <w:sz w:val="20"/>
                <w:szCs w:val="20"/>
                <w:color w:val="auto"/>
              </w:rPr>
            </w:pPr>
            <w:r>
              <w:rPr>
                <w:rFonts w:ascii="Arial" w:cs="Arial" w:eastAsia="Arial" w:hAnsi="Arial"/>
                <w:sz w:val="18"/>
                <w:szCs w:val="18"/>
                <w:b w:val="1"/>
                <w:bCs w:val="1"/>
                <w:color w:val="auto"/>
              </w:rPr>
              <w:t>CONDENSED CONSOLIDATED BALANCE SHEETS (unaudited)</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7880" w:type="dxa"/>
            <w:vAlign w:val="bottom"/>
            <w:gridSpan w:val="2"/>
          </w:tcPr>
          <w:p>
            <w:pPr>
              <w:spacing w:after="0"/>
              <w:rPr>
                <w:sz w:val="20"/>
                <w:szCs w:val="20"/>
                <w:color w:val="auto"/>
              </w:rPr>
            </w:pPr>
            <w:r>
              <w:rPr>
                <w:rFonts w:ascii="Arial" w:cs="Arial" w:eastAsia="Arial" w:hAnsi="Arial"/>
                <w:sz w:val="18"/>
                <w:szCs w:val="18"/>
                <w:color w:val="auto"/>
              </w:rPr>
              <w:t>(in thousands except share data and par value)</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112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3"/>
              </w:rPr>
              <w:t>September 30, 2016</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2015</w:t>
            </w:r>
          </w:p>
        </w:tc>
      </w:tr>
      <w:tr>
        <w:trPr>
          <w:trHeight w:val="223"/>
        </w:trPr>
        <w:tc>
          <w:tcPr>
            <w:tcW w:w="1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67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w w:val="90"/>
              </w:rPr>
              <w:t>Current assets:</w:t>
            </w:r>
          </w:p>
        </w:tc>
        <w:tc>
          <w:tcPr>
            <w:tcW w:w="6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8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38,058</w:t>
            </w:r>
          </w:p>
        </w:tc>
        <w:tc>
          <w:tcPr>
            <w:tcW w:w="30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10"/>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75,908</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Accounts receivable, prepaid expenses, and other current assets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w:t>
            </w:r>
          </w:p>
        </w:tc>
        <w:tc>
          <w:tcPr>
            <w:tcW w:w="100" w:type="dxa"/>
            <w:vAlign w:val="bottom"/>
            <w:tcBorders>
              <w:bottom w:val="single" w:sz="8" w:color="CFF0FC"/>
            </w:tcBorders>
          </w:tcPr>
          <w:p>
            <w:pPr>
              <w:spacing w:after="0"/>
              <w:rPr>
                <w:sz w:val="19"/>
                <w:szCs w:val="19"/>
                <w:color w:val="auto"/>
              </w:rPr>
            </w:pPr>
          </w:p>
        </w:tc>
      </w:tr>
      <w:tr>
        <w:trPr>
          <w:trHeight w:val="223"/>
        </w:trPr>
        <w:tc>
          <w:tcPr>
            <w:tcW w:w="78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39,204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77,302</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699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19"/>
                <w:szCs w:val="19"/>
                <w:color w:val="auto"/>
              </w:rPr>
            </w:pPr>
          </w:p>
        </w:tc>
      </w:tr>
      <w:tr>
        <w:trPr>
          <w:trHeight w:val="230"/>
        </w:trPr>
        <w:tc>
          <w:tcPr>
            <w:tcW w:w="112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67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FF0FC"/>
          </w:tcPr>
          <w:p>
            <w:pPr>
              <w:spacing w:after="0"/>
              <w:rPr>
                <w:sz w:val="19"/>
                <w:szCs w:val="19"/>
                <w:color w:val="auto"/>
              </w:rPr>
            </w:pPr>
          </w:p>
        </w:tc>
      </w:tr>
      <w:tr>
        <w:trPr>
          <w:trHeight w:val="263"/>
        </w:trPr>
        <w:tc>
          <w:tcPr>
            <w:tcW w:w="1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w:t>
            </w:r>
          </w:p>
        </w:tc>
        <w:tc>
          <w:tcPr>
            <w:tcW w:w="676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40,133</w:t>
            </w:r>
          </w:p>
        </w:tc>
        <w:tc>
          <w:tcPr>
            <w:tcW w:w="3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78,225</w:t>
            </w:r>
          </w:p>
        </w:tc>
        <w:tc>
          <w:tcPr>
            <w:tcW w:w="100" w:type="dxa"/>
            <w:vAlign w:val="bottom"/>
            <w:tcBorders>
              <w:bottom w:val="single" w:sz="8" w:color="CFF0FC"/>
            </w:tcBorders>
          </w:tcPr>
          <w:p>
            <w:pPr>
              <w:spacing w:after="0"/>
              <w:rPr>
                <w:sz w:val="22"/>
                <w:szCs w:val="22"/>
                <w:color w:val="auto"/>
              </w:rPr>
            </w:pPr>
          </w:p>
        </w:tc>
      </w:tr>
      <w:tr>
        <w:trPr>
          <w:trHeight w:val="210"/>
        </w:trPr>
        <w:tc>
          <w:tcPr>
            <w:tcW w:w="78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8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8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Current portion of loan payable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8,192</w:t>
            </w:r>
          </w:p>
        </w:tc>
        <w:tc>
          <w:tcPr>
            <w:tcW w:w="30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10"/>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7,652</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gridSpan w:val="2"/>
          </w:tcPr>
          <w:p>
            <w:pPr>
              <w:ind w:left="26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1,778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2,226</w:t>
            </w:r>
          </w:p>
        </w:tc>
        <w:tc>
          <w:tcPr>
            <w:tcW w:w="100" w:type="dxa"/>
            <w:vAlign w:val="bottom"/>
          </w:tcPr>
          <w:p>
            <w:pPr>
              <w:spacing w:after="0"/>
              <w:rPr>
                <w:sz w:val="19"/>
                <w:szCs w:val="19"/>
                <w:color w:val="auto"/>
              </w:rPr>
            </w:pPr>
          </w:p>
        </w:tc>
      </w:tr>
      <w:tr>
        <w:trPr>
          <w:trHeight w:val="230"/>
        </w:trPr>
        <w:tc>
          <w:tcPr>
            <w:tcW w:w="78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Accrued expenses</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6,459</w:t>
            </w:r>
          </w:p>
        </w:tc>
        <w:tc>
          <w:tcPr>
            <w:tcW w:w="100" w:type="dxa"/>
            <w:vAlign w:val="bottom"/>
            <w:shd w:val="clear" w:color="auto" w:fill="CFF0FC"/>
          </w:tcPr>
          <w:p>
            <w:pPr>
              <w:spacing w:after="0"/>
              <w:rPr>
                <w:sz w:val="19"/>
                <w:szCs w:val="19"/>
                <w:color w:val="auto"/>
              </w:rPr>
            </w:pPr>
          </w:p>
        </w:tc>
      </w:tr>
      <w:tr>
        <w:trPr>
          <w:trHeight w:val="223"/>
        </w:trPr>
        <w:tc>
          <w:tcPr>
            <w:tcW w:w="788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15,889</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16,337</w:t>
            </w:r>
          </w:p>
        </w:tc>
        <w:tc>
          <w:tcPr>
            <w:tcW w:w="100" w:type="dxa"/>
            <w:vAlign w:val="bottom"/>
            <w:tcBorders>
              <w:bottom w:val="single" w:sz="8" w:color="CFF0FC"/>
            </w:tcBorders>
          </w:tcPr>
          <w:p>
            <w:pPr>
              <w:spacing w:after="0"/>
              <w:rPr>
                <w:sz w:val="19"/>
                <w:szCs w:val="19"/>
                <w:color w:val="auto"/>
              </w:rPr>
            </w:pPr>
          </w:p>
        </w:tc>
      </w:tr>
      <w:tr>
        <w:trPr>
          <w:trHeight w:val="223"/>
        </w:trPr>
        <w:tc>
          <w:tcPr>
            <w:tcW w:w="7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Long-term liabilities: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880" w:type="dxa"/>
            <w:vAlign w:val="bottom"/>
            <w:gridSpan w:val="2"/>
          </w:tcPr>
          <w:p>
            <w:pPr>
              <w:ind w:left="260"/>
              <w:spacing w:after="0"/>
              <w:rPr>
                <w:sz w:val="20"/>
                <w:szCs w:val="20"/>
                <w:color w:val="auto"/>
              </w:rPr>
            </w:pPr>
            <w:r>
              <w:rPr>
                <w:rFonts w:ascii="Arial" w:cs="Arial" w:eastAsia="Arial" w:hAnsi="Arial"/>
                <w:sz w:val="18"/>
                <w:szCs w:val="18"/>
                <w:color w:val="auto"/>
              </w:rPr>
              <w:t>Loan payable, net of current portion</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6,550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12,672</w:t>
            </w:r>
          </w:p>
        </w:tc>
        <w:tc>
          <w:tcPr>
            <w:tcW w:w="100" w:type="dxa"/>
            <w:vAlign w:val="bottom"/>
          </w:tcPr>
          <w:p>
            <w:pPr>
              <w:spacing w:after="0"/>
              <w:rPr>
                <w:sz w:val="19"/>
                <w:szCs w:val="19"/>
                <w:color w:val="auto"/>
              </w:rPr>
            </w:pPr>
          </w:p>
        </w:tc>
      </w:tr>
      <w:tr>
        <w:trPr>
          <w:trHeight w:val="230"/>
        </w:trPr>
        <w:tc>
          <w:tcPr>
            <w:tcW w:w="78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FF0FC"/>
          </w:tcPr>
          <w:p>
            <w:pPr>
              <w:spacing w:after="0"/>
              <w:rPr>
                <w:sz w:val="19"/>
                <w:szCs w:val="19"/>
                <w:color w:val="auto"/>
              </w:rPr>
            </w:pPr>
          </w:p>
        </w:tc>
      </w:tr>
      <w:tr>
        <w:trPr>
          <w:trHeight w:val="223"/>
        </w:trPr>
        <w:tc>
          <w:tcPr>
            <w:tcW w:w="788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Total long-term liabilities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7,625</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13,145</w:t>
            </w:r>
          </w:p>
        </w:tc>
        <w:tc>
          <w:tcPr>
            <w:tcW w:w="100" w:type="dxa"/>
            <w:vAlign w:val="bottom"/>
            <w:tcBorders>
              <w:bottom w:val="single" w:sz="8" w:color="CFF0FC"/>
            </w:tcBorders>
          </w:tcPr>
          <w:p>
            <w:pPr>
              <w:spacing w:after="0"/>
              <w:rPr>
                <w:sz w:val="19"/>
                <w:szCs w:val="19"/>
                <w:color w:val="auto"/>
              </w:rPr>
            </w:pPr>
          </w:p>
        </w:tc>
      </w:tr>
      <w:tr>
        <w:trPr>
          <w:trHeight w:val="223"/>
        </w:trPr>
        <w:tc>
          <w:tcPr>
            <w:tcW w:w="7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88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78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Preferred stock $0.01 par value; 5,000,000 shares authorized, no shares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880" w:type="dxa"/>
            <w:vAlign w:val="bottom"/>
            <w:gridSpan w:val="2"/>
            <w:shd w:val="clear" w:color="auto" w:fill="CFF0FC"/>
          </w:tcPr>
          <w:p>
            <w:pPr>
              <w:ind w:left="480"/>
              <w:spacing w:after="0"/>
              <w:rPr>
                <w:sz w:val="20"/>
                <w:szCs w:val="20"/>
                <w:color w:val="auto"/>
              </w:rPr>
            </w:pPr>
            <w:r>
              <w:rPr>
                <w:rFonts w:ascii="Arial" w:cs="Arial" w:eastAsia="Arial" w:hAnsi="Arial"/>
                <w:sz w:val="18"/>
                <w:szCs w:val="18"/>
                <w:color w:val="auto"/>
              </w:rPr>
              <w:t>issued or outstanding</w:t>
            </w:r>
          </w:p>
        </w:tc>
        <w:tc>
          <w:tcPr>
            <w:tcW w:w="140" w:type="dxa"/>
            <w:vAlign w:val="bottom"/>
            <w:shd w:val="clear" w:color="auto" w:fill="CFF0FC"/>
          </w:tcPr>
          <w:p>
            <w:pPr>
              <w:spacing w:after="0"/>
              <w:rPr>
                <w:sz w:val="20"/>
                <w:szCs w:val="20"/>
                <w:color w:val="auto"/>
              </w:rPr>
            </w:pPr>
          </w:p>
        </w:tc>
        <w:tc>
          <w:tcPr>
            <w:tcW w:w="17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7880" w:type="dxa"/>
            <w:vAlign w:val="bottom"/>
            <w:gridSpan w:val="2"/>
          </w:tcPr>
          <w:p>
            <w:pPr>
              <w:ind w:left="260"/>
              <w:spacing w:after="0"/>
              <w:rPr>
                <w:sz w:val="20"/>
                <w:szCs w:val="20"/>
                <w:color w:val="auto"/>
              </w:rPr>
            </w:pPr>
            <w:r>
              <w:rPr>
                <w:rFonts w:ascii="Arial" w:cs="Arial" w:eastAsia="Arial" w:hAnsi="Arial"/>
                <w:sz w:val="18"/>
                <w:szCs w:val="18"/>
                <w:color w:val="auto"/>
              </w:rPr>
              <w:t>Common stock, $0.0001 par value; 120,000,000 shares authorized,</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80" w:type="dxa"/>
            <w:vAlign w:val="bottom"/>
            <w:gridSpan w:val="2"/>
          </w:tcPr>
          <w:p>
            <w:pPr>
              <w:ind w:left="480"/>
              <w:spacing w:after="0"/>
              <w:rPr>
                <w:sz w:val="20"/>
                <w:szCs w:val="20"/>
                <w:color w:val="auto"/>
              </w:rPr>
            </w:pPr>
            <w:r>
              <w:rPr>
                <w:rFonts w:ascii="Arial" w:cs="Arial" w:eastAsia="Arial" w:hAnsi="Arial"/>
                <w:sz w:val="18"/>
                <w:szCs w:val="18"/>
                <w:color w:val="auto"/>
              </w:rPr>
              <w:t>27,384,492 and 27,346,780 shares issued and outstanding at</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880" w:type="dxa"/>
            <w:vAlign w:val="bottom"/>
            <w:gridSpan w:val="2"/>
          </w:tcPr>
          <w:p>
            <w:pPr>
              <w:ind w:left="480"/>
              <w:spacing w:after="0"/>
              <w:rPr>
                <w:sz w:val="20"/>
                <w:szCs w:val="20"/>
                <w:color w:val="auto"/>
              </w:rPr>
            </w:pPr>
            <w:r>
              <w:rPr>
                <w:rFonts w:ascii="Arial" w:cs="Arial" w:eastAsia="Arial" w:hAnsi="Arial"/>
                <w:sz w:val="18"/>
                <w:szCs w:val="18"/>
                <w:color w:val="auto"/>
              </w:rPr>
              <w:t>September 30, 2016 and December 31, 2015, respectively</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r>
      <w:tr>
        <w:trPr>
          <w:trHeight w:val="230"/>
        </w:trPr>
        <w:tc>
          <w:tcPr>
            <w:tcW w:w="78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212,351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210,115</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gridSpan w:val="2"/>
          </w:tcPr>
          <w:p>
            <w:pPr>
              <w:ind w:left="26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9"/>
                <w:szCs w:val="19"/>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(195,735)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(161,375)</w:t>
            </w:r>
          </w:p>
        </w:tc>
      </w:tr>
      <w:tr>
        <w:trPr>
          <w:trHeight w:val="223"/>
        </w:trPr>
        <w:tc>
          <w:tcPr>
            <w:tcW w:w="7880" w:type="dxa"/>
            <w:vAlign w:val="bottom"/>
            <w:tcBorders>
              <w:top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16,619</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48,743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Total</w:t>
            </w:r>
          </w:p>
        </w:tc>
        <w:tc>
          <w:tcPr>
            <w:tcW w:w="67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40,133</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78,225</w:t>
            </w:r>
          </w:p>
        </w:tc>
        <w:tc>
          <w:tcPr>
            <w:tcW w:w="100" w:type="dxa"/>
            <w:vAlign w:val="bottom"/>
          </w:tcPr>
          <w:p>
            <w:pPr>
              <w:spacing w:after="0"/>
              <w:rPr>
                <w:sz w:val="19"/>
                <w:szCs w:val="19"/>
                <w:color w:val="auto"/>
              </w:rPr>
            </w:pPr>
          </w:p>
        </w:tc>
      </w:tr>
      <w:tr>
        <w:trPr>
          <w:trHeight w:val="20"/>
        </w:trPr>
        <w:tc>
          <w:tcPr>
            <w:tcW w:w="11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CERULEAN PHARMA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per share and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6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4"/>
              </w:rPr>
              <w:t>Three Months Ended September 30,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4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7,089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24,381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2,374</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2,954</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9,463</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10,046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32,646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(521)</w:t>
            </w:r>
          </w:p>
        </w:tc>
        <w:tc>
          <w:tcPr>
            <w:tcW w:w="2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(1,781)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(1,743)</w:t>
            </w: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59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expense, net</w:t>
            </w:r>
          </w:p>
        </w:tc>
        <w:tc>
          <w:tcPr>
            <w:tcW w:w="1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w:t>
            </w:r>
          </w:p>
        </w:tc>
        <w:tc>
          <w:tcPr>
            <w:tcW w:w="2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(1,714)</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attributable to common stockholders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(9,959)</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(10,551)</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(34,360)</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(28,886)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Net loss per share attributable to common stockholders:</w:t>
            </w: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 and diluted</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(0.36)</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(0.39)</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(1.26)</w:t>
            </w:r>
          </w:p>
        </w:tc>
        <w:tc>
          <w:tcPr>
            <w:tcW w:w="3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59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Weighted-average common shares outstanding:</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Basic and diluted</w:t>
            </w: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27,383,376</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27,307,103</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27,370,044</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24,785,833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CERULEAN PHARMA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2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4"/>
                <w:szCs w:val="14"/>
                <w:b w:val="1"/>
                <w:bCs w:val="1"/>
                <w:color w:val="auto"/>
              </w:rPr>
              <w:t>Nine Months Ended September 30,</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7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12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60"/>
              <w:spacing w:after="0"/>
              <w:rPr>
                <w:sz w:val="20"/>
                <w:szCs w:val="20"/>
                <w:color w:val="auto"/>
              </w:rPr>
            </w:pPr>
            <w:r>
              <w:rPr>
                <w:rFonts w:ascii="Arial" w:cs="Arial" w:eastAsia="Arial" w:hAnsi="Arial"/>
                <w:sz w:val="18"/>
                <w:szCs w:val="18"/>
                <w:color w:val="auto"/>
              </w:rPr>
              <w:t>Net loss</w:t>
            </w:r>
          </w:p>
        </w:tc>
        <w:tc>
          <w:tcPr>
            <w:tcW w:w="2180" w:type="dxa"/>
            <w:vAlign w:val="bottom"/>
            <w:gridSpan w:val="2"/>
          </w:tcPr>
          <w:p>
            <w:pPr>
              <w:jc w:val="right"/>
              <w:ind w:right="827"/>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(34,360)</w:t>
            </w:r>
          </w:p>
        </w:tc>
        <w:tc>
          <w:tcPr>
            <w:tcW w:w="980" w:type="dxa"/>
            <w:vAlign w:val="bottom"/>
            <w:gridSpan w:val="2"/>
          </w:tcPr>
          <w:p>
            <w:pPr>
              <w:jc w:val="right"/>
              <w:ind w:right="850"/>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(28,886)</w:t>
            </w: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500"/>
              <w:spacing w:after="0"/>
              <w:rPr>
                <w:sz w:val="20"/>
                <w:szCs w:val="20"/>
                <w:color w:val="auto"/>
              </w:rPr>
            </w:pPr>
            <w:r>
              <w:rPr>
                <w:rFonts w:ascii="Arial" w:cs="Arial" w:eastAsia="Arial" w:hAnsi="Arial"/>
                <w:sz w:val="18"/>
                <w:szCs w:val="18"/>
                <w:color w:val="auto"/>
              </w:rPr>
              <w:t>Stock-based compensation</w:t>
            </w:r>
          </w:p>
        </w:tc>
        <w:tc>
          <w:tcPr>
            <w:tcW w:w="1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2,158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Noncash rent expense</w:t>
            </w:r>
          </w:p>
        </w:tc>
        <w:tc>
          <w:tcPr>
            <w:tcW w:w="1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670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1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debt discount and deferred financing costs</w:t>
            </w:r>
          </w:p>
        </w:tc>
        <w:tc>
          <w:tcPr>
            <w:tcW w:w="1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500"/>
              <w:spacing w:after="0"/>
              <w:rPr>
                <w:sz w:val="20"/>
                <w:szCs w:val="20"/>
                <w:color w:val="auto"/>
              </w:rPr>
            </w:pPr>
            <w:r>
              <w:rPr>
                <w:rFonts w:ascii="Arial" w:cs="Arial" w:eastAsia="Arial" w:hAnsi="Arial"/>
                <w:sz w:val="18"/>
                <w:szCs w:val="18"/>
                <w:color w:val="auto"/>
              </w:rPr>
              <w:t>Loss on disposal of property and equipment</w:t>
            </w:r>
          </w:p>
        </w:tc>
        <w:tc>
          <w:tcPr>
            <w:tcW w:w="1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1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740"/>
              <w:spacing w:after="0"/>
              <w:rPr>
                <w:sz w:val="20"/>
                <w:szCs w:val="20"/>
                <w:color w:val="auto"/>
              </w:rPr>
            </w:pPr>
            <w:r>
              <w:rPr>
                <w:rFonts w:ascii="Arial" w:cs="Arial" w:eastAsia="Arial" w:hAnsi="Arial"/>
                <w:sz w:val="18"/>
                <w:szCs w:val="18"/>
                <w:color w:val="auto"/>
              </w:rPr>
              <w:t>Accounts receivable, prepaid expenses and other current assets</w:t>
            </w:r>
          </w:p>
        </w:tc>
        <w:tc>
          <w:tcPr>
            <w:tcW w:w="1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Accounts payable</w:t>
            </w:r>
          </w:p>
        </w:tc>
        <w:tc>
          <w:tcPr>
            <w:tcW w:w="1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(271)</w:t>
            </w: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740"/>
              <w:spacing w:after="0"/>
              <w:rPr>
                <w:sz w:val="20"/>
                <w:szCs w:val="20"/>
                <w:color w:val="auto"/>
              </w:rPr>
            </w:pPr>
            <w:r>
              <w:rPr>
                <w:rFonts w:ascii="Arial" w:cs="Arial" w:eastAsia="Arial" w:hAnsi="Arial"/>
                <w:sz w:val="18"/>
                <w:szCs w:val="18"/>
                <w:color w:val="auto"/>
              </w:rPr>
              <w:t>Accrued expenses</w:t>
            </w:r>
          </w:p>
        </w:tc>
        <w:tc>
          <w:tcPr>
            <w:tcW w:w="1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Borders>
              <w:top w:val="single" w:sz="8" w:color="CFF0FC"/>
            </w:tcBorders>
            <w:shd w:val="clear" w:color="auto" w:fill="CFF0FC"/>
          </w:tcPr>
          <w:p>
            <w:pPr>
              <w:ind w:left="1000"/>
              <w:spacing w:after="0"/>
              <w:rPr>
                <w:sz w:val="20"/>
                <w:szCs w:val="20"/>
                <w:color w:val="auto"/>
              </w:rPr>
            </w:pPr>
            <w:r>
              <w:rPr>
                <w:rFonts w:ascii="Arial" w:cs="Arial" w:eastAsia="Arial" w:hAnsi="Arial"/>
                <w:sz w:val="18"/>
                <w:szCs w:val="18"/>
                <w:color w:val="auto"/>
              </w:rPr>
              <w:t>Net cash used in operating activities</w:t>
            </w:r>
          </w:p>
        </w:tc>
        <w:tc>
          <w:tcPr>
            <w:tcW w:w="12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0"/>
              </w:rPr>
              <w:t>(31,661)</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3"/>
              </w:rPr>
              <w:t>(23,705)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property and equipment</w:t>
            </w:r>
          </w:p>
        </w:tc>
        <w:tc>
          <w:tcPr>
            <w:tcW w:w="1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(499)</w:t>
            </w: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30"/>
        </w:trPr>
        <w:tc>
          <w:tcPr>
            <w:tcW w:w="6700" w:type="dxa"/>
            <w:vAlign w:val="bottom"/>
          </w:tcPr>
          <w:p>
            <w:pPr>
              <w:ind w:left="260"/>
              <w:spacing w:after="0"/>
              <w:rPr>
                <w:sz w:val="20"/>
                <w:szCs w:val="20"/>
                <w:color w:val="auto"/>
              </w:rPr>
            </w:pPr>
            <w:r>
              <w:rPr>
                <w:rFonts w:ascii="Arial" w:cs="Arial" w:eastAsia="Arial" w:hAnsi="Arial"/>
                <w:sz w:val="18"/>
                <w:szCs w:val="18"/>
                <w:color w:val="auto"/>
              </w:rPr>
              <w:t>Decrease (increase) in restricted cash</w:t>
            </w:r>
          </w:p>
        </w:tc>
        <w:tc>
          <w:tcPr>
            <w:tcW w:w="1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23"/>
        </w:trPr>
        <w:tc>
          <w:tcPr>
            <w:tcW w:w="6700" w:type="dxa"/>
            <w:vAlign w:val="bottom"/>
            <w:tcBorders>
              <w:top w:val="single" w:sz="8" w:color="CFF0FC"/>
            </w:tcBorders>
            <w:shd w:val="clear" w:color="auto" w:fill="CFF0FC"/>
          </w:tcPr>
          <w:p>
            <w:pPr>
              <w:ind w:left="1000"/>
              <w:spacing w:after="0"/>
              <w:rPr>
                <w:sz w:val="20"/>
                <w:szCs w:val="20"/>
                <w:color w:val="auto"/>
              </w:rPr>
            </w:pPr>
            <w:r>
              <w:rPr>
                <w:rFonts w:ascii="Arial" w:cs="Arial" w:eastAsia="Arial" w:hAnsi="Arial"/>
                <w:sz w:val="18"/>
                <w:szCs w:val="18"/>
                <w:color w:val="auto"/>
              </w:rPr>
              <w:t>Net cash used in investing activities</w:t>
            </w:r>
          </w:p>
        </w:tc>
        <w:tc>
          <w:tcPr>
            <w:tcW w:w="12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sale of common stock</w:t>
            </w:r>
          </w:p>
        </w:tc>
        <w:tc>
          <w:tcPr>
            <w:tcW w:w="1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60"/>
              <w:spacing w:after="0"/>
              <w:rPr>
                <w:sz w:val="20"/>
                <w:szCs w:val="20"/>
                <w:color w:val="auto"/>
              </w:rPr>
            </w:pPr>
            <w:r>
              <w:rPr>
                <w:rFonts w:ascii="Arial" w:cs="Arial" w:eastAsia="Arial" w:hAnsi="Arial"/>
                <w:sz w:val="18"/>
                <w:szCs w:val="18"/>
                <w:color w:val="auto"/>
              </w:rPr>
              <w:t>Proceeds from public stock offering, net of issuance costs</w:t>
            </w:r>
          </w:p>
        </w:tc>
        <w:tc>
          <w:tcPr>
            <w:tcW w:w="1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37,185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issuance of loans payable</w:t>
            </w:r>
          </w:p>
        </w:tc>
        <w:tc>
          <w:tcPr>
            <w:tcW w:w="1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15,000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60"/>
              <w:spacing w:after="0"/>
              <w:rPr>
                <w:sz w:val="20"/>
                <w:szCs w:val="20"/>
                <w:color w:val="auto"/>
              </w:rPr>
            </w:pPr>
            <w:r>
              <w:rPr>
                <w:rFonts w:ascii="Arial" w:cs="Arial" w:eastAsia="Arial" w:hAnsi="Arial"/>
                <w:sz w:val="18"/>
                <w:szCs w:val="18"/>
                <w:color w:val="auto"/>
              </w:rPr>
              <w:t>Payments on loans payable</w:t>
            </w:r>
          </w:p>
        </w:tc>
        <w:tc>
          <w:tcPr>
            <w:tcW w:w="1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(5,885)</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(3,921)</w:t>
            </w: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paid for debt issuance costs</w:t>
            </w:r>
          </w:p>
        </w:tc>
        <w:tc>
          <w:tcPr>
            <w:tcW w:w="1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Net cash (used in) provided by financing activities</w:t>
            </w:r>
          </w:p>
        </w:tc>
        <w:tc>
          <w:tcPr>
            <w:tcW w:w="1200" w:type="dxa"/>
            <w:vAlign w:val="bottom"/>
            <w:tcBorders>
              <w:bottom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(5,807)</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50,533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increase in cash and cash equivalents</w:t>
            </w:r>
          </w:p>
        </w:tc>
        <w:tc>
          <w:tcPr>
            <w:tcW w:w="1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0"/>
              </w:rPr>
              <w:t>(37,850)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26,457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 Beginning of period</w:t>
            </w:r>
          </w:p>
        </w:tc>
        <w:tc>
          <w:tcPr>
            <w:tcW w:w="120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75,908</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51,174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 End of period</w:t>
            </w:r>
          </w:p>
        </w:tc>
        <w:tc>
          <w:tcPr>
            <w:tcW w:w="120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82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38,058</w:t>
            </w:r>
          </w:p>
        </w:tc>
        <w:tc>
          <w:tcPr>
            <w:tcW w:w="3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850"/>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77,631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Arial" w:cs="Arial" w:eastAsia="Arial" w:hAnsi="Arial"/>
                <w:sz w:val="18"/>
                <w:szCs w:val="18"/>
                <w:color w:val="auto"/>
              </w:rPr>
              <w:t>Supplemental cash flow information — Interest paid</w:t>
            </w:r>
          </w:p>
        </w:tc>
        <w:tc>
          <w:tcPr>
            <w:tcW w:w="21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vMerge w:val="continue"/>
          </w:tcPr>
          <w:p>
            <w:pPr>
              <w:spacing w:after="0"/>
              <w:rPr>
                <w:sz w:val="18"/>
                <w:szCs w:val="18"/>
                <w:color w:val="auto"/>
              </w:rPr>
            </w:pPr>
          </w:p>
        </w:tc>
        <w:tc>
          <w:tcPr>
            <w:tcW w:w="120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82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1,026</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CERULEAN PHARMA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52" w:lineRule="exact"/>
        <w:rPr>
          <w:sz w:val="20"/>
          <w:szCs w:val="20"/>
          <w:color w:val="auto"/>
        </w:rPr>
      </w:pPr>
    </w:p>
    <w:p>
      <w:pPr>
        <w:ind w:left="520" w:hanging="512"/>
        <w:spacing w:after="0"/>
        <w:tabs>
          <w:tab w:leader="none" w:pos="5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OPERATIONS</w:t>
      </w:r>
    </w:p>
    <w:p>
      <w:pPr>
        <w:spacing w:after="0" w:line="121" w:lineRule="exact"/>
        <w:rPr>
          <w:sz w:val="20"/>
          <w:szCs w:val="20"/>
          <w:color w:val="auto"/>
        </w:rPr>
      </w:pPr>
    </w:p>
    <w:p>
      <w:pPr>
        <w:ind w:right="220" w:firstLine="518"/>
        <w:spacing w:after="0" w:line="342" w:lineRule="auto"/>
        <w:rPr>
          <w:sz w:val="20"/>
          <w:szCs w:val="20"/>
          <w:color w:val="auto"/>
        </w:rPr>
      </w:pPr>
      <w:r>
        <w:rPr>
          <w:rFonts w:ascii="Arial" w:cs="Arial" w:eastAsia="Arial" w:hAnsi="Arial"/>
          <w:sz w:val="16"/>
          <w:szCs w:val="16"/>
          <w:color w:val="auto"/>
        </w:rPr>
        <w:t>Nature of Business — Cerulean Pharma Inc. (the “Company”) was incorporated on November 28, 2005, as a Delaware corporation and is located in Waltham, Massachusetts. The Company was formed to develop novel, nanotechnology-based therapeutics in the areas of oncology and other diseases.</w:t>
      </w:r>
    </w:p>
    <w:p>
      <w:pPr>
        <w:spacing w:after="0" w:line="124"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Basis of Presentation — The condensed consolidated financial statements include the accounts of the Company and its subsidiary, Cerulean Pharma Australia Pty Ltd, a wholly-owned Australian-based proprietary limited company. All intercompany accounts and transactions have been eliminated. The consolidated interim financial statements of the Company included herein have been prepared, without audit, pursuant to the rules and regulations of the Securities and Exchange Commission (the “SEC”). Certain information and footnote disclosures normally included in financial statements prepared in accordance with accounting principles generally accepted in the United States of America have been condensed or omitted from this report, as is permitted by such rules and regulations. Accordingly, these condensed consolidated financial statements should be read in conjunction with the Company’s audited financial statements as of and for the year ended December 31, 2015, and notes thereto, included in the Company’s Annual Report on Form 10-K, which was filed with the SEC on March 10, 2016 (the “2015 10-K”).</w:t>
      </w:r>
    </w:p>
    <w:p>
      <w:pPr>
        <w:spacing w:after="0" w:line="179"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The unaudited condensed consolidated financial statements have been prepared on the same basis as the audited consolidated financial statements. In the opinion of the Company’s management, the accompanying unaudited interim condensed consolidated financial statements contain all adjustments that are necessary to present fairly the Company’s financial position as of September 30, 2016 and the results of its operations for the three and nine months ended September 30, 2016 and 2015 and cash flows for the nine months ended September 30, 2016 and 2015. Such adjustments are of a normal and recurring nature. The results for the three and nine months ended September 30, 2016, are not indicative of the results for the year ending December 31, 2016, or for any future period.</w:t>
      </w:r>
    </w:p>
    <w:p>
      <w:pPr>
        <w:spacing w:after="0" w:line="193"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As a clinical stage entity, the Company has incurred historical operating losses resulting in an accumulated deficit of $195.7 million at September 30, 2016. The Company expects to continue to incur significant expenses and increasing operating losses for at least several years. To date, the Company has financed its operations primarily through private placements of its preferred stock, proceeds from borrowings, an initial public offering completed in 2014 and a follow-on offering completed in 2015. The Company has not completed development of any product candidate and has devoted substantially all of its financial resources and efforts to research and development, including preclinical and clinical development. Accordingly, the Company will continue to depend on its ability to raise capital through equity and debt issuances and/or through strategic partnerships. Following a reduction in force initiated in August 2016, the Company believes its cash and cash equivalents of approximately $38.1 million at September 30, 2016, together with $1.0 million in proceeds from an initial sale of common stock to Aspire Capital Fund LLC in October 2016, and a $5.0 million upfront payment under the Company’s collaboration agreement with Novartis Institutes for BioMedical Research, Inc. received in October 2016 (see Note 8, “Subsequent Events”), are sufficient to fund its planned operations for at least twelve months following the date of this report. The Company will need to raise additional capital to continue to fund its long-term operations. Should its operating plan change further, or prove to be inaccurate, then the Company will be required to reassess its operating capital needs. However, there can be no assurance that the Company will have the cash resources to fund its operating plan or that additional funding will be available on terms acceptable to it, or at all.</w:t>
      </w:r>
    </w:p>
    <w:p>
      <w:pPr>
        <w:spacing w:after="0" w:line="184"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There have been no material changes to the significant accounting policies previously disclosed in the 2015 10-K.</w:t>
      </w:r>
    </w:p>
    <w:p>
      <w:pPr>
        <w:spacing w:after="0" w:line="221" w:lineRule="exact"/>
        <w:rPr>
          <w:sz w:val="20"/>
          <w:szCs w:val="20"/>
          <w:color w:val="auto"/>
        </w:rPr>
      </w:pPr>
    </w:p>
    <w:p>
      <w:pPr>
        <w:ind w:right="60" w:firstLine="518"/>
        <w:spacing w:after="0" w:line="281" w:lineRule="auto"/>
        <w:rPr>
          <w:sz w:val="20"/>
          <w:szCs w:val="20"/>
          <w:color w:val="auto"/>
        </w:rPr>
      </w:pPr>
      <w:r>
        <w:rPr>
          <w:rFonts w:ascii="Arial" w:cs="Arial" w:eastAsia="Arial" w:hAnsi="Arial"/>
          <w:sz w:val="17"/>
          <w:szCs w:val="17"/>
          <w:b w:val="1"/>
          <w:bCs w:val="1"/>
          <w:color w:val="auto"/>
        </w:rPr>
        <w:t xml:space="preserve">Recent Accounting Pronouncements </w:t>
      </w:r>
      <w:r>
        <w:rPr>
          <w:rFonts w:ascii="Arial" w:cs="Arial" w:eastAsia="Arial" w:hAnsi="Arial"/>
          <w:sz w:val="17"/>
          <w:szCs w:val="17"/>
          <w:color w:val="auto"/>
        </w:rPr>
        <w:t>– In August 2016, the Financial Accounting Standards Board (the “FASB”) issued Accounting Standards</w:t>
      </w:r>
      <w:r>
        <w:rPr>
          <w:rFonts w:ascii="Arial" w:cs="Arial" w:eastAsia="Arial" w:hAnsi="Arial"/>
          <w:sz w:val="17"/>
          <w:szCs w:val="17"/>
          <w:b w:val="1"/>
          <w:bCs w:val="1"/>
          <w:color w:val="auto"/>
        </w:rPr>
        <w:t xml:space="preserve"> </w:t>
      </w:r>
      <w:r>
        <w:rPr>
          <w:rFonts w:ascii="Arial" w:cs="Arial" w:eastAsia="Arial" w:hAnsi="Arial"/>
          <w:sz w:val="17"/>
          <w:szCs w:val="17"/>
          <w:color w:val="auto"/>
        </w:rPr>
        <w:t>Update 2016-15, “Statement of Cash Flows (Topic 230)” (“ASU 2016-15”). ASU 2016-15 makes cash payments for debt prepayment or debt extinguishment costs to be classified as cash outflows for financing activities. The standard is effective for financial statements issued for fiscal years beginning after December 15, 2017, and interim periods within those fiscal years. The Company is evaluating the impact of the new guidance.</w:t>
      </w:r>
    </w:p>
    <w:p>
      <w:pPr>
        <w:spacing w:after="0" w:line="169"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color w:val="auto"/>
        </w:rPr>
        <w:t>In March 2016, the FASB issued Accounting Standards Update 2016-09, “Compensation – Stock Compensation (Topic 718)” (“ASU 2016-09”). ASU 2016-09 is intended to simplify various aspects of how share-based payments are accounted for and presented in financial statements. The standard is effective prospectively for fiscal years, and interim periods within those fiscal years, beginning after December 15, 2016, with early adoption permitted. The Company is currently evaluating the effect this standard will have on its consolidated financial statements and related disclosures.</w:t>
      </w:r>
    </w:p>
    <w:p>
      <w:pPr>
        <w:spacing w:after="0" w:line="171"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In February 2016, the FASB issued Accounting Standards Update 2016-02, “Leases (Topic 842)” (“ASU 2016-02”), which provides new accounting guidance on leases. ASU 2016-02 requires lessees to recognize leases on their balance sheets, and leaves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both"/>
        <w:ind w:right="100"/>
        <w:spacing w:after="0" w:line="259" w:lineRule="auto"/>
        <w:rPr>
          <w:sz w:val="20"/>
          <w:szCs w:val="20"/>
          <w:color w:val="auto"/>
        </w:rPr>
      </w:pPr>
      <w:r>
        <w:rPr>
          <w:rFonts w:ascii="Arial" w:cs="Arial" w:eastAsia="Arial" w:hAnsi="Arial"/>
          <w:sz w:val="18"/>
          <w:szCs w:val="18"/>
          <w:color w:val="auto"/>
        </w:rPr>
        <w:t>lessor accounting largely unchanged. The amendments in ASU 2016-02 are effective for fiscal years beginning after December 15, 2018 and interim periods within those fiscal years. Early application is permitted for all entities. ASU 2016-02 requires a modified retrospective approach for all leases existing at, or entered into after, the date of initial application, with an option to elect to use certain transition relief. The Company is currently evaluating the impact of this new standard on its consolidated financial statements and related disclosures.</w:t>
      </w:r>
    </w:p>
    <w:p>
      <w:pPr>
        <w:spacing w:after="0" w:line="187" w:lineRule="exact"/>
        <w:rPr>
          <w:sz w:val="20"/>
          <w:szCs w:val="20"/>
          <w:color w:val="auto"/>
        </w:rPr>
      </w:pPr>
    </w:p>
    <w:p>
      <w:pPr>
        <w:ind w:right="180" w:firstLine="518"/>
        <w:spacing w:after="0" w:line="276" w:lineRule="auto"/>
        <w:rPr>
          <w:sz w:val="20"/>
          <w:szCs w:val="20"/>
          <w:color w:val="auto"/>
        </w:rPr>
      </w:pPr>
      <w:r>
        <w:rPr>
          <w:rFonts w:ascii="Arial" w:cs="Arial" w:eastAsia="Arial" w:hAnsi="Arial"/>
          <w:sz w:val="17"/>
          <w:szCs w:val="17"/>
          <w:color w:val="auto"/>
        </w:rPr>
        <w:t>In August 2014, the FASB issued Accounting Standards Update 2014-15, “Presentation of Financial Statements – Going Concern (Subtopic 205-40): Disclosure of Uncertainties About an Entity’s Ability to Continue as a Going Concern” (“ASU 2014-15”). ASU 2014-15 requires management to evaluate, at each annual and interim reporting period, whether there are conditions or events that raise substantial doubt about the entity’s ability to continue as a going concern and provide related disclosures. ASU 2014-15 is effective for annual and interim reporting periods beginning January 1, 2017 and is not expected to have a material impact on the Company’s consolidated financial statements.</w:t>
      </w:r>
    </w:p>
    <w:p>
      <w:pPr>
        <w:spacing w:after="0" w:line="169"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 ATTRIBUTABLE TO COMMON STOCKHOLDERS</w:t>
      </w:r>
    </w:p>
    <w:p>
      <w:pPr>
        <w:spacing w:after="0" w:line="121" w:lineRule="exact"/>
        <w:rPr>
          <w:sz w:val="20"/>
          <w:szCs w:val="20"/>
          <w:color w:val="auto"/>
        </w:rPr>
      </w:pPr>
    </w:p>
    <w:p>
      <w:pPr>
        <w:ind w:right="480" w:firstLine="518"/>
        <w:spacing w:after="0" w:line="308" w:lineRule="auto"/>
        <w:rPr>
          <w:sz w:val="20"/>
          <w:szCs w:val="20"/>
          <w:color w:val="auto"/>
        </w:rPr>
      </w:pPr>
      <w:r>
        <w:rPr>
          <w:rFonts w:ascii="Arial" w:cs="Arial" w:eastAsia="Arial" w:hAnsi="Arial"/>
          <w:sz w:val="17"/>
          <w:szCs w:val="17"/>
          <w:color w:val="auto"/>
        </w:rPr>
        <w:t>The Company computes diluted loss per common share after giving effect to the dilutive effect of stock options, warrants and shares of unvested restricted stock that are outstanding during the period, except where the inclusion of such securities would be antidilutive.</w:t>
      </w:r>
    </w:p>
    <w:p>
      <w:pPr>
        <w:spacing w:after="0" w:line="147"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color w:val="auto"/>
        </w:rPr>
        <w:t>The Company has reported a net loss for all periods presented and, therefore, diluted net loss per common share is the same as basic net loss per common share.</w:t>
      </w:r>
    </w:p>
    <w:p>
      <w:pPr>
        <w:spacing w:after="0" w:line="170" w:lineRule="exact"/>
        <w:rPr>
          <w:sz w:val="20"/>
          <w:szCs w:val="20"/>
          <w:color w:val="auto"/>
        </w:rPr>
      </w:pPr>
    </w:p>
    <w:p>
      <w:pPr>
        <w:ind w:right="420" w:firstLine="518"/>
        <w:spacing w:after="0" w:line="264" w:lineRule="auto"/>
        <w:rPr>
          <w:sz w:val="20"/>
          <w:szCs w:val="20"/>
          <w:color w:val="auto"/>
        </w:rPr>
      </w:pPr>
      <w:r>
        <w:rPr>
          <w:rFonts w:ascii="Arial" w:cs="Arial" w:eastAsia="Arial" w:hAnsi="Arial"/>
          <w:sz w:val="18"/>
          <w:szCs w:val="18"/>
          <w:color w:val="auto"/>
        </w:rPr>
        <w:t>The following potentially dilutive securities that were outstanding prior to the use of the treasury stock method have been excluded from the computation of diluted weighted-average shares outstanding, because the inclusion of such securities would have an antidilutive impact due to the losses reported (in common stock equivalent shares):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80" w:type="dxa"/>
            <w:vAlign w:val="bottom"/>
          </w:tcPr>
          <w:p>
            <w:pPr>
              <w:spacing w:after="0"/>
              <w:rPr>
                <w:sz w:val="14"/>
                <w:szCs w:val="14"/>
                <w:color w:val="auto"/>
              </w:rPr>
            </w:pPr>
          </w:p>
        </w:tc>
        <w:tc>
          <w:tcPr>
            <w:tcW w:w="240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w w:val="95"/>
              </w:rPr>
              <w:t>As of September 30,</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7880" w:type="dxa"/>
            <w:vAlign w:val="bottom"/>
            <w:tcBorders>
              <w:bottom w:val="single" w:sz="8" w:color="CFF0FC"/>
            </w:tcBorders>
          </w:tcPr>
          <w:p>
            <w:pPr>
              <w:spacing w:after="0"/>
              <w:rPr>
                <w:sz w:val="13"/>
                <w:szCs w:val="13"/>
                <w:color w:val="auto"/>
              </w:rPr>
            </w:pPr>
          </w:p>
        </w:tc>
        <w:tc>
          <w:tcPr>
            <w:tcW w:w="1560" w:type="dxa"/>
            <w:vAlign w:val="bottom"/>
            <w:tcBorders>
              <w:bottom w:val="single" w:sz="8" w:color="auto"/>
            </w:tcBorders>
          </w:tcPr>
          <w:p>
            <w:pPr>
              <w:jc w:val="right"/>
              <w:ind w:right="559"/>
              <w:spacing w:after="0" w:line="155"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76"/>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common stock</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4,554,153</w:t>
            </w:r>
          </w:p>
        </w:tc>
        <w:tc>
          <w:tcPr>
            <w:tcW w:w="3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2,521,772</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Warrants to purchase common stock</w:t>
            </w:r>
          </w:p>
        </w:tc>
        <w:tc>
          <w:tcPr>
            <w:tcW w:w="1560" w:type="dxa"/>
            <w:vAlign w:val="bottom"/>
          </w:tcPr>
          <w:p>
            <w:pPr>
              <w:jc w:val="right"/>
              <w:spacing w:after="0"/>
              <w:rPr>
                <w:sz w:val="20"/>
                <w:szCs w:val="20"/>
                <w:color w:val="auto"/>
              </w:rPr>
            </w:pPr>
            <w:r>
              <w:rPr>
                <w:rFonts w:ascii="Arial" w:cs="Arial" w:eastAsia="Arial" w:hAnsi="Arial"/>
                <w:sz w:val="18"/>
                <w:szCs w:val="18"/>
                <w:color w:val="auto"/>
              </w:rPr>
              <w:t>300,564</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300,564</w:t>
            </w:r>
          </w:p>
        </w:tc>
        <w:tc>
          <w:tcPr>
            <w:tcW w:w="100" w:type="dxa"/>
            <w:vAlign w:val="bottom"/>
          </w:tcPr>
          <w:p>
            <w:pPr>
              <w:spacing w:after="0"/>
              <w:rPr>
                <w:sz w:val="20"/>
                <w:szCs w:val="20"/>
                <w:color w:val="auto"/>
              </w:rPr>
            </w:pPr>
          </w:p>
        </w:tc>
      </w:tr>
    </w:tbl>
    <w:p>
      <w:pPr>
        <w:spacing w:after="0" w:line="197"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Accrued expenses consist of the following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ind w:right="74"/>
              <w:spacing w:after="0"/>
              <w:rPr>
                <w:sz w:val="20"/>
                <w:szCs w:val="20"/>
                <w:color w:val="auto"/>
              </w:rPr>
            </w:pPr>
            <w:r>
              <w:rPr>
                <w:rFonts w:ascii="Arial" w:cs="Arial" w:eastAsia="Arial" w:hAnsi="Arial"/>
                <w:sz w:val="14"/>
                <w:szCs w:val="14"/>
                <w:b w:val="1"/>
                <w:bCs w:val="1"/>
                <w:color w:val="auto"/>
                <w:w w:val="93"/>
              </w:rPr>
              <w:t>As of September 30,</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 December 31,</w:t>
            </w:r>
          </w:p>
        </w:tc>
      </w:tr>
      <w:tr>
        <w:trPr>
          <w:trHeight w:val="171"/>
        </w:trPr>
        <w:tc>
          <w:tcPr>
            <w:tcW w:w="78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4"/>
                <w:szCs w:val="14"/>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Accrued clinical trial costs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2,834</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2,631</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Accrued contract manufacturing expenses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801</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Accrued compensation and benefits</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1,319</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1,864</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Accrued interest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92</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Accrued legal fees</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accrued expenses</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3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Borders>
              <w:bottom w:val="single" w:sz="8" w:color="CFF0FC"/>
            </w:tcBorders>
          </w:tcPr>
          <w:p>
            <w:pPr>
              <w:spacing w:after="0"/>
              <w:rPr>
                <w:sz w:val="19"/>
                <w:szCs w:val="19"/>
                <w:color w:val="auto"/>
              </w:rPr>
            </w:pPr>
          </w:p>
        </w:tc>
      </w:tr>
      <w:tr>
        <w:trPr>
          <w:trHeight w:val="223"/>
        </w:trPr>
        <w:tc>
          <w:tcPr>
            <w:tcW w:w="7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accrued expenses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5,919</w:t>
            </w:r>
          </w:p>
        </w:tc>
        <w:tc>
          <w:tcPr>
            <w:tcW w:w="3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6,459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LOAN AGREEMENTS</w:t>
      </w:r>
    </w:p>
    <w:p>
      <w:pPr>
        <w:spacing w:after="0" w:line="229"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color w:val="auto"/>
        </w:rPr>
        <w:t>On January 8, 2015, the Company entered into a loan and security agreement with Hercules Technology Growth Capital, Inc. (“Hercules”) to borrow up to $26.0 million (the “Hercules Loan Agreement”). The proceeds were used to repay the Company’s then-existing term loan facility with Lighthouse Capital Partners VI, L.P. (“Lighthouse Capital”) and for general corporate and working capital purposes. At September 30, 2016 and December 31, 2015, the Company had $15.1 million and $21.0 million, respectively, outstanding under the Hercules Loan Agreement.</w:t>
      </w:r>
    </w:p>
    <w:p>
      <w:pPr>
        <w:spacing w:after="0" w:line="171"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The Hercules Loan Agreement will mature on July 1, 2018. Each advance under the Hercules Loan Agreement accrues interest at a floating per annum rate equal to the greater of (i) 7.30% or (ii) the sum of 7.30% plus the prime rate minus 5.75%. The Hercules Loan Agreement provided for interest-only payments on a monthly basis until December 31, 2015. Thereafter, payments are payable monthly in equal installments of principal and interest to fully amortize the outstanding principal over the remaining term of the loan, subject to recalculation upon a change in the prime rate. Failure to make payments or comply with other covenants as stated in the Hercules Loan Agreement could result in an event of default and acceleration of amounts due. In such case, the Company may not be able to make accelerated payments, and Hercules could seek to enforce security interests in the collateral securing such indebtedness,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 w:name="page8"/>
    <w:bookmarkEnd w:id="7"/>
    <w:p>
      <w:pPr>
        <w:spacing w:after="0" w:line="264" w:lineRule="auto"/>
        <w:rPr>
          <w:sz w:val="20"/>
          <w:szCs w:val="20"/>
          <w:color w:val="auto"/>
        </w:rPr>
      </w:pPr>
      <w:r>
        <w:rPr>
          <w:rFonts w:ascii="Arial" w:cs="Arial" w:eastAsia="Arial" w:hAnsi="Arial"/>
          <w:sz w:val="18"/>
          <w:szCs w:val="18"/>
          <w:color w:val="auto"/>
        </w:rPr>
        <w:t>which includes substantially all of the Company’s assets other than its intellectual property. At the end of the loan term (whether at maturity, by prepayment in full or otherwise), the Company shall pay a final end of term charge to Hercules in the amount of 6.7% of the aggregate original principal amount advanced by Hercules. The amount of the end of term charge is being accrued over the loan term as interest expense.</w:t>
      </w:r>
    </w:p>
    <w:p>
      <w:pPr>
        <w:spacing w:after="0" w:line="181" w:lineRule="exact"/>
        <w:rPr>
          <w:sz w:val="20"/>
          <w:szCs w:val="20"/>
          <w:color w:val="auto"/>
        </w:rPr>
      </w:pPr>
    </w:p>
    <w:p>
      <w:pPr>
        <w:ind w:right="60" w:firstLine="518"/>
        <w:spacing w:after="0" w:line="302" w:lineRule="auto"/>
        <w:rPr>
          <w:sz w:val="20"/>
          <w:szCs w:val="20"/>
          <w:color w:val="auto"/>
        </w:rPr>
      </w:pPr>
      <w:r>
        <w:rPr>
          <w:rFonts w:ascii="Arial" w:cs="Arial" w:eastAsia="Arial" w:hAnsi="Arial"/>
          <w:sz w:val="16"/>
          <w:szCs w:val="16"/>
          <w:color w:val="auto"/>
        </w:rPr>
        <w:t>In connection with the Hercules Loan Agreement, the Company issued to Hercules a warrant to purchase shares of the common stock of the Company at an exercise price of $6.05 per share. The warrant is exercisable for 171,901 shares of common stock. The warrant is exercisable until January 8, 2020. The Company estimated the fair value of the warrant for shares exercisable on the issue date in January 2015 to be $824,000. The value of the warrant was recorded as a discount to the loan and will be amortized to interest expense using the effective interest method over the term of the loan.</w:t>
      </w:r>
    </w:p>
    <w:p>
      <w:pPr>
        <w:spacing w:after="0" w:line="154"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In December 2011, the Company entered into a loan and security agreement with Lighthouse Capital to borrow up to $10.0 million in one or more advances by December 31, 2012. In both March 2012 and August 2012, the Company borrowed $5.0 million under the loan and security agreement, for a total of $10.0 million. This amount was being repaid over 36 months beginning on December 1, 2012, at an interest rate of 8.25%. In addition, the Company was required to make an additional payment in the amount of $600,000 at the end of the loan term. The amount was accrued over the loan term as interest expense. In January 2015, the Company repaid in full the amount outstanding under the Lighthouse Capital loan, or $3.6 million, with the proceeds from the Hercules Loan Agreement.</w:t>
      </w:r>
    </w:p>
    <w:p>
      <w:pPr>
        <w:spacing w:after="0" w:line="193"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In connection with the loan and security agreement with Lighthouse Capital, the Company issued Lighthouse Capital a warrant to purchase a maximum of 66,436 shares of the Company’s Series D Preferred Stock, at an exercise price of $12.04 per share and with an expiration date 10 years from the date of issue (December 2021). The Company determined the fair value of the warrant at the end of each reporting period using the Black-Scholes option pricing model until the warrant converted to a warrant to purchase 66,436 shares of common stock upon the completion of the Company’s initial public offering. The value of the warrant was recorded as a discount to the loan and was being amortized as interest expense using the effective interest method over the 36-month repayment term. The unamortized discount relating to the warrants, or $0.2 million, was expensed as interest expense upon repayment of the loan in January 2015.</w:t>
      </w:r>
    </w:p>
    <w:p>
      <w:pPr>
        <w:spacing w:after="0" w:line="185" w:lineRule="exact"/>
        <w:rPr>
          <w:sz w:val="20"/>
          <w:szCs w:val="20"/>
          <w:color w:val="auto"/>
        </w:rPr>
      </w:pPr>
    </w:p>
    <w:p>
      <w:pPr>
        <w:ind w:left="520" w:hanging="512"/>
        <w:spacing w:after="0"/>
        <w:tabs>
          <w:tab w:leader="none" w:pos="5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In March 2014, the Company’s board of directors adopted and its stockholders approved the 2014 Stock Incentive Plan (the “2014 Plan”) and the 2014 Employee Stock Purchase Plan (the “ESPP”), which became effective in April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29" w:lineRule="exact"/>
        <w:rPr>
          <w:sz w:val="20"/>
          <w:szCs w:val="20"/>
          <w:color w:val="auto"/>
        </w:rPr>
      </w:pPr>
    </w:p>
    <w:p>
      <w:pPr>
        <w:jc w:val="both"/>
        <w:ind w:right="120" w:firstLine="518"/>
        <w:spacing w:after="0" w:line="264" w:lineRule="auto"/>
        <w:rPr>
          <w:sz w:val="20"/>
          <w:szCs w:val="20"/>
          <w:color w:val="auto"/>
        </w:rPr>
      </w:pPr>
      <w:r>
        <w:rPr>
          <w:rFonts w:ascii="Arial" w:cs="Arial" w:eastAsia="Arial" w:hAnsi="Arial"/>
          <w:sz w:val="18"/>
          <w:szCs w:val="18"/>
          <w:color w:val="auto"/>
        </w:rPr>
        <w:t>The 2014 Plan provides for the grant of incentive stock options, nonstatutory stock options, stock appreciation rights, restricted stock, restricted stock units and other stock-based awards. A summary of stock option activity for employee, director and nonemployee awards under all stock option plans during the nine months ended September 30, 2016 is presented below (Aggregate Intrinsic Value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4"/>
              </w:rPr>
              <w:t>Weighted-</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Average</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3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Number of</w:t>
            </w:r>
          </w:p>
        </w:tc>
        <w:tc>
          <w:tcPr>
            <w:tcW w:w="840" w:type="dxa"/>
            <w:vAlign w:val="bottom"/>
          </w:tcPr>
          <w:p>
            <w:pPr>
              <w:jc w:val="center"/>
              <w:ind w:left="217"/>
              <w:spacing w:after="0" w:line="149" w:lineRule="exact"/>
              <w:rPr>
                <w:sz w:val="20"/>
                <w:szCs w:val="20"/>
                <w:color w:val="auto"/>
              </w:rPr>
            </w:pPr>
            <w:r>
              <w:rPr>
                <w:rFonts w:ascii="Arial" w:cs="Arial" w:eastAsia="Arial" w:hAnsi="Arial"/>
                <w:sz w:val="14"/>
                <w:szCs w:val="14"/>
                <w:b w:val="1"/>
                <w:bCs w:val="1"/>
                <w:color w:val="auto"/>
                <w:w w:val="90"/>
              </w:rPr>
              <w:t>Average</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840" w:type="dxa"/>
            <w:vAlign w:val="bottom"/>
          </w:tcPr>
          <w:p>
            <w:pPr>
              <w:jc w:val="center"/>
              <w:ind w:left="237"/>
              <w:spacing w:after="0" w:line="149" w:lineRule="exact"/>
              <w:rPr>
                <w:sz w:val="20"/>
                <w:szCs w:val="20"/>
                <w:color w:val="auto"/>
              </w:rPr>
            </w:pPr>
            <w:r>
              <w:rPr>
                <w:rFonts w:ascii="Arial" w:cs="Arial" w:eastAsia="Arial" w:hAnsi="Arial"/>
                <w:sz w:val="14"/>
                <w:szCs w:val="14"/>
                <w:b w:val="1"/>
                <w:bCs w:val="1"/>
                <w:color w:val="auto"/>
                <w:w w:val="90"/>
              </w:rPr>
              <w:t>Exercise</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Shares</w:t>
            </w:r>
          </w:p>
        </w:tc>
        <w:tc>
          <w:tcPr>
            <w:tcW w:w="840" w:type="dxa"/>
            <w:vAlign w:val="bottom"/>
          </w:tcPr>
          <w:p>
            <w:pPr>
              <w:jc w:val="center"/>
              <w:ind w:left="237"/>
              <w:spacing w:after="0"/>
              <w:rPr>
                <w:sz w:val="20"/>
                <w:szCs w:val="20"/>
                <w:color w:val="auto"/>
              </w:rPr>
            </w:pPr>
            <w:r>
              <w:rPr>
                <w:rFonts w:ascii="Arial" w:cs="Arial" w:eastAsia="Arial" w:hAnsi="Arial"/>
                <w:sz w:val="14"/>
                <w:szCs w:val="14"/>
                <w:b w:val="1"/>
                <w:bCs w:val="1"/>
                <w:color w:val="auto"/>
                <w:w w:val="93"/>
              </w:rPr>
              <w:t>Price</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January 1, 2016</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3,454,926</w:t>
            </w:r>
          </w:p>
        </w:tc>
        <w:tc>
          <w:tcPr>
            <w:tcW w:w="24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ind w:right="657"/>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5.39</w:t>
            </w: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1,570,070</w:t>
            </w:r>
          </w:p>
        </w:tc>
        <w:tc>
          <w:tcPr>
            <w:tcW w:w="240" w:type="dxa"/>
            <w:vAlign w:val="bottom"/>
          </w:tcPr>
          <w:p>
            <w:pPr>
              <w:spacing w:after="0"/>
              <w:rPr>
                <w:sz w:val="19"/>
                <w:szCs w:val="19"/>
                <w:color w:val="auto"/>
              </w:rPr>
            </w:pPr>
          </w:p>
        </w:tc>
        <w:tc>
          <w:tcPr>
            <w:tcW w:w="840" w:type="dxa"/>
            <w:vAlign w:val="bottom"/>
          </w:tcPr>
          <w:p>
            <w:pPr>
              <w:jc w:val="right"/>
              <w:ind w:right="657"/>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79"/>
              </w:rPr>
              <w:t>1.88</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(470,843)</w:t>
            </w:r>
          </w:p>
        </w:tc>
        <w:tc>
          <w:tcPr>
            <w:tcW w:w="840" w:type="dxa"/>
            <w:vAlign w:val="bottom"/>
          </w:tcPr>
          <w:p>
            <w:pPr>
              <w:jc w:val="right"/>
              <w:ind w:right="657"/>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79"/>
              </w:rPr>
              <w:t>4.27</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September 30, 2016</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4,554,153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CFF0FC"/>
              <w:bottom w:val="single" w:sz="8" w:color="CFF0FC"/>
            </w:tcBorders>
            <w:shd w:val="clear" w:color="auto" w:fill="CFF0FC"/>
          </w:tcPr>
          <w:p>
            <w:pPr>
              <w:jc w:val="right"/>
              <w:ind w:right="657"/>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4.29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420" w:type="dxa"/>
            <w:vAlign w:val="bottom"/>
            <w:tcBorders>
              <w:top w:val="single" w:sz="8" w:color="CFF0FC"/>
              <w:bottom w:val="single" w:sz="8" w:color="CFF0FC"/>
            </w:tcBorders>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1,620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Options exercisable at September 30, 2016</w:t>
            </w: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vMerge w:val="restart"/>
          </w:tcPr>
          <w:p>
            <w:pPr>
              <w:jc w:val="right"/>
              <w:ind w:right="657"/>
              <w:spacing w:after="0"/>
              <w:rPr>
                <w:sz w:val="20"/>
                <w:szCs w:val="20"/>
                <w:color w:val="auto"/>
              </w:rPr>
            </w:pPr>
            <w:r>
              <w:rPr>
                <w:rFonts w:ascii="Arial" w:cs="Arial" w:eastAsia="Arial" w:hAnsi="Arial"/>
                <w:sz w:val="18"/>
                <w:szCs w:val="18"/>
                <w:color w:val="auto"/>
                <w:w w:val="79"/>
              </w:rPr>
              <w:t>$</w:t>
            </w: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w w:val="79"/>
              </w:rPr>
              <w:t>5.66</w:t>
            </w:r>
          </w:p>
        </w:tc>
        <w:tc>
          <w:tcPr>
            <w:tcW w:w="240" w:type="dxa"/>
            <w:vAlign w:val="bottom"/>
          </w:tcPr>
          <w:p>
            <w:pPr>
              <w:spacing w:after="0" w:line="20" w:lineRule="exact"/>
              <w:rPr>
                <w:sz w:val="1"/>
                <w:szCs w:val="1"/>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6.8</w:t>
            </w:r>
          </w:p>
        </w:tc>
        <w:tc>
          <w:tcPr>
            <w:tcW w:w="420" w:type="dxa"/>
            <w:vAlign w:val="bottom"/>
            <w:gridSpan w:val="2"/>
            <w:vMerge w:val="restart"/>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FF0FC"/>
            </w:tcBorders>
            <w:vMerge w:val="continue"/>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1,453,813</w:t>
            </w:r>
          </w:p>
        </w:tc>
        <w:tc>
          <w:tcPr>
            <w:tcW w:w="240" w:type="dxa"/>
            <w:vAlign w:val="bottom"/>
            <w:tcBorders>
              <w:bottom w:val="single" w:sz="8" w:color="CFF0FC"/>
            </w:tcBorders>
          </w:tcPr>
          <w:p>
            <w:pPr>
              <w:spacing w:after="0"/>
              <w:rPr>
                <w:sz w:val="21"/>
                <w:szCs w:val="21"/>
                <w:color w:val="auto"/>
              </w:rPr>
            </w:pPr>
          </w:p>
        </w:tc>
        <w:tc>
          <w:tcPr>
            <w:tcW w:w="840" w:type="dxa"/>
            <w:vAlign w:val="bottom"/>
            <w:tcBorders>
              <w:bottom w:val="single" w:sz="8" w:color="CFF0FC"/>
            </w:tcBorders>
            <w:vMerge w:val="continue"/>
          </w:tcPr>
          <w:p>
            <w:pPr>
              <w:spacing w:after="0"/>
              <w:rPr>
                <w:sz w:val="21"/>
                <w:szCs w:val="21"/>
                <w:color w:val="auto"/>
              </w:rPr>
            </w:pPr>
          </w:p>
        </w:tc>
        <w:tc>
          <w:tcPr>
            <w:tcW w:w="320" w:type="dxa"/>
            <w:vAlign w:val="bottom"/>
            <w:tcBorders>
              <w:bottom w:val="single" w:sz="8" w:color="CFF0FC"/>
            </w:tcBorders>
            <w:vMerge w:val="continue"/>
          </w:tcPr>
          <w:p>
            <w:pPr>
              <w:spacing w:after="0"/>
              <w:rPr>
                <w:sz w:val="21"/>
                <w:szCs w:val="21"/>
                <w:color w:val="auto"/>
              </w:rPr>
            </w:pPr>
          </w:p>
        </w:tc>
        <w:tc>
          <w:tcPr>
            <w:tcW w:w="240" w:type="dxa"/>
            <w:vAlign w:val="bottom"/>
            <w:tcBorders>
              <w:bottom w:val="single" w:sz="8" w:color="CFF0FC"/>
            </w:tcBorders>
          </w:tcPr>
          <w:p>
            <w:pPr>
              <w:spacing w:after="0"/>
              <w:rPr>
                <w:sz w:val="21"/>
                <w:szCs w:val="21"/>
                <w:color w:val="auto"/>
              </w:rPr>
            </w:pPr>
          </w:p>
        </w:tc>
        <w:tc>
          <w:tcPr>
            <w:tcW w:w="1160" w:type="dxa"/>
            <w:vAlign w:val="bottom"/>
            <w:tcBorders>
              <w:bottom w:val="single" w:sz="8" w:color="CFF0FC"/>
            </w:tcBorders>
            <w:vMerge w:val="continue"/>
          </w:tcPr>
          <w:p>
            <w:pPr>
              <w:spacing w:after="0"/>
              <w:rPr>
                <w:sz w:val="21"/>
                <w:szCs w:val="21"/>
                <w:color w:val="auto"/>
              </w:rPr>
            </w:pPr>
          </w:p>
        </w:tc>
        <w:tc>
          <w:tcPr>
            <w:tcW w:w="420" w:type="dxa"/>
            <w:vAlign w:val="bottom"/>
            <w:tcBorders>
              <w:bottom w:val="single" w:sz="8" w:color="CFF0FC"/>
            </w:tcBorders>
            <w:gridSpan w:val="2"/>
            <w:vMerge w:val="continue"/>
          </w:tcPr>
          <w:p>
            <w:pPr>
              <w:spacing w:after="0"/>
              <w:rPr>
                <w:sz w:val="21"/>
                <w:szCs w:val="21"/>
                <w:color w:val="auto"/>
              </w:rPr>
            </w:pPr>
          </w:p>
        </w:tc>
        <w:tc>
          <w:tcPr>
            <w:tcW w:w="1000" w:type="dxa"/>
            <w:vAlign w:val="bottom"/>
            <w:tcBorders>
              <w:bottom w:val="single" w:sz="8" w:color="CFF0FC"/>
            </w:tcBorders>
            <w:vMerge w:val="continue"/>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vested and expected to vest at September 30, 2016</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4,407,931</w:t>
            </w:r>
          </w:p>
        </w:tc>
        <w:tc>
          <w:tcPr>
            <w:tcW w:w="24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jc w:val="right"/>
              <w:ind w:right="657"/>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4.31</w:t>
            </w:r>
          </w:p>
        </w:tc>
        <w:tc>
          <w:tcPr>
            <w:tcW w:w="24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420" w:type="dxa"/>
            <w:vAlign w:val="bottom"/>
            <w:tcBorders>
              <w:bottom w:val="single" w:sz="8" w:color="CFF0FC"/>
            </w:tcBorders>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1,578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The weighted-average per share grant date fair value of options granted during the nine months ended September 30, 2016 and 2015 was $1.09 and $4.22, respectively.</w:t>
      </w:r>
    </w:p>
    <w:p>
      <w:pPr>
        <w:spacing w:after="0" w:line="170"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The fair value of each option award is estimated on the date of grant using the Black-Scholes option-pricing model based on the assumptions noted in the table below. Expected volatility for the Company’s common stock was determined based on an average of the historical volatility of a peer-group of similar public companies. The Company has limited option exercise information, and as such, the expected term of the options granted was calculated using the simplified method that represents the average of the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 w:name="page9"/>
    <w:bookmarkEnd w:id="8"/>
    <w:p>
      <w:pPr>
        <w:spacing w:after="0" w:line="264" w:lineRule="auto"/>
        <w:rPr>
          <w:sz w:val="20"/>
          <w:szCs w:val="20"/>
          <w:color w:val="auto"/>
        </w:rPr>
      </w:pPr>
      <w:r>
        <w:rPr>
          <w:rFonts w:ascii="Arial" w:cs="Arial" w:eastAsia="Arial" w:hAnsi="Arial"/>
          <w:sz w:val="18"/>
          <w:szCs w:val="18"/>
          <w:color w:val="auto"/>
        </w:rPr>
        <w:t>contractual term of the option and the weighted-average vesting period of the option. The assumed dividend yield is based upon the Company’s expectation of not paying dividends in the foreseeable future. The risk-free rate for periods within the contractual life of the option is based upon the U.S. Treasury yield curve in effect at the time of grant.</w:t>
      </w:r>
    </w:p>
    <w:p>
      <w:pPr>
        <w:spacing w:after="0" w:line="181"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The Company has recorded stock-based compensation expense related to the issuance of stock option awards to employees of $685,000 and $773,000 for the three months ended September 30, 2016 and 2015, respectively, and $2.1 million and $1.6 million for the nine months ended September 30, 2016 and 2015, respectively. The assumptions used in the Black-Scholes option-pricing model for stock options granted to employees and to directors in respect of board services during the three and nine months ended September 30, 2016 and 2015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3700" w:type="dxa"/>
            <w:vAlign w:val="bottom"/>
            <w:gridSpan w:val="4"/>
          </w:tcPr>
          <w:p>
            <w:pPr>
              <w:ind w:left="680"/>
              <w:spacing w:after="0"/>
              <w:rPr>
                <w:sz w:val="20"/>
                <w:szCs w:val="20"/>
                <w:color w:val="auto"/>
              </w:rPr>
            </w:pPr>
            <w:r>
              <w:rPr>
                <w:rFonts w:ascii="Arial" w:cs="Arial" w:eastAsia="Arial" w:hAnsi="Arial"/>
                <w:sz w:val="14"/>
                <w:szCs w:val="14"/>
                <w:b w:val="1"/>
                <w:bCs w:val="1"/>
                <w:color w:val="auto"/>
              </w:rPr>
              <w:t>Three Months Ended September 30,</w:t>
            </w:r>
          </w:p>
        </w:tc>
        <w:tc>
          <w:tcPr>
            <w:tcW w:w="3600" w:type="dxa"/>
            <w:vAlign w:val="bottom"/>
            <w:gridSpan w:val="3"/>
          </w:tcPr>
          <w:p>
            <w:pPr>
              <w:jc w:val="right"/>
              <w:ind w:right="654"/>
              <w:spacing w:after="0"/>
              <w:rPr>
                <w:sz w:val="20"/>
                <w:szCs w:val="20"/>
                <w:color w:val="auto"/>
              </w:rPr>
            </w:pPr>
            <w:r>
              <w:rPr>
                <w:rFonts w:ascii="Arial" w:cs="Arial" w:eastAsia="Arial" w:hAnsi="Arial"/>
                <w:sz w:val="14"/>
                <w:szCs w:val="14"/>
                <w:b w:val="1"/>
                <w:bCs w:val="1"/>
                <w:color w:val="auto"/>
              </w:rPr>
              <w:t>Nine Months Ended September 30,</w:t>
            </w:r>
          </w:p>
        </w:tc>
      </w:tr>
      <w:tr>
        <w:trPr>
          <w:trHeight w:val="156"/>
        </w:trPr>
        <w:tc>
          <w:tcPr>
            <w:tcW w:w="4120" w:type="dxa"/>
            <w:vAlign w:val="bottom"/>
            <w:tcBorders>
              <w:bottom w:val="single" w:sz="8" w:color="CFF0FC"/>
            </w:tcBorders>
          </w:tcPr>
          <w:p>
            <w:pPr>
              <w:spacing w:after="0"/>
              <w:rPr>
                <w:sz w:val="13"/>
                <w:szCs w:val="13"/>
                <w:color w:val="auto"/>
              </w:rPr>
            </w:pPr>
          </w:p>
        </w:tc>
        <w:tc>
          <w:tcPr>
            <w:tcW w:w="1720" w:type="dxa"/>
            <w:vAlign w:val="bottom"/>
            <w:tcBorders>
              <w:top w:val="single" w:sz="8" w:color="auto"/>
              <w:bottom w:val="single" w:sz="8" w:color="auto"/>
            </w:tcBorders>
          </w:tcPr>
          <w:p>
            <w:pPr>
              <w:jc w:val="right"/>
              <w:ind w:right="636"/>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bottom w:val="single" w:sz="8" w:color="CFF0FC"/>
            </w:tcBorders>
          </w:tcPr>
          <w:p>
            <w:pPr>
              <w:spacing w:after="0"/>
              <w:rPr>
                <w:sz w:val="13"/>
                <w:szCs w:val="13"/>
                <w:color w:val="auto"/>
              </w:rPr>
            </w:pPr>
          </w:p>
        </w:tc>
        <w:tc>
          <w:tcPr>
            <w:tcW w:w="1720" w:type="dxa"/>
            <w:vAlign w:val="bottom"/>
            <w:tcBorders>
              <w:top w:val="single" w:sz="8" w:color="auto"/>
              <w:bottom w:val="single" w:sz="8" w:color="auto"/>
            </w:tcBorders>
          </w:tcPr>
          <w:p>
            <w:pPr>
              <w:jc w:val="right"/>
              <w:ind w:right="634"/>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3"/>
                <w:szCs w:val="13"/>
                <w:color w:val="auto"/>
              </w:rPr>
            </w:pPr>
          </w:p>
        </w:tc>
        <w:tc>
          <w:tcPr>
            <w:tcW w:w="1720" w:type="dxa"/>
            <w:vAlign w:val="bottom"/>
            <w:tcBorders>
              <w:top w:val="single" w:sz="8" w:color="auto"/>
              <w:bottom w:val="single" w:sz="8" w:color="auto"/>
            </w:tcBorders>
          </w:tcPr>
          <w:p>
            <w:pPr>
              <w:jc w:val="right"/>
              <w:ind w:right="636"/>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bottom w:val="single" w:sz="8" w:color="CFF0FC"/>
            </w:tcBorders>
          </w:tcPr>
          <w:p>
            <w:pPr>
              <w:spacing w:after="0"/>
              <w:rPr>
                <w:sz w:val="13"/>
                <w:szCs w:val="13"/>
                <w:color w:val="auto"/>
              </w:rPr>
            </w:pPr>
          </w:p>
        </w:tc>
        <w:tc>
          <w:tcPr>
            <w:tcW w:w="1740" w:type="dxa"/>
            <w:vAlign w:val="bottom"/>
            <w:tcBorders>
              <w:top w:val="single" w:sz="8" w:color="auto"/>
              <w:bottom w:val="single" w:sz="8" w:color="auto"/>
            </w:tcBorders>
          </w:tcPr>
          <w:p>
            <w:pPr>
              <w:jc w:val="right"/>
              <w:ind w:right="654"/>
              <w:spacing w:after="0" w:line="155" w:lineRule="exact"/>
              <w:rPr>
                <w:sz w:val="20"/>
                <w:szCs w:val="20"/>
                <w:color w:val="auto"/>
              </w:rPr>
            </w:pPr>
            <w:r>
              <w:rPr>
                <w:rFonts w:ascii="Arial" w:cs="Arial" w:eastAsia="Arial" w:hAnsi="Arial"/>
                <w:sz w:val="14"/>
                <w:szCs w:val="14"/>
                <w:b w:val="1"/>
                <w:bCs w:val="1"/>
                <w:color w:val="auto"/>
              </w:rPr>
              <w:t>2015</w:t>
            </w:r>
          </w:p>
        </w:tc>
      </w:tr>
      <w:tr>
        <w:trPr>
          <w:trHeight w:val="223"/>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Expected life</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5.4-6.0 years</w:t>
            </w:r>
          </w:p>
        </w:tc>
        <w:tc>
          <w:tcPr>
            <w:tcW w:w="14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6.0-6.1 years</w:t>
            </w:r>
          </w:p>
        </w:tc>
        <w:tc>
          <w:tcPr>
            <w:tcW w:w="12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5.4-6.1 years</w:t>
            </w:r>
          </w:p>
        </w:tc>
        <w:tc>
          <w:tcPr>
            <w:tcW w:w="1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5.4-6.1 years</w:t>
            </w: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720" w:type="dxa"/>
            <w:vAlign w:val="bottom"/>
          </w:tcPr>
          <w:p>
            <w:pPr>
              <w:jc w:val="right"/>
              <w:spacing w:after="0"/>
              <w:rPr>
                <w:sz w:val="20"/>
                <w:szCs w:val="20"/>
                <w:color w:val="auto"/>
              </w:rPr>
            </w:pPr>
            <w:r>
              <w:rPr>
                <w:rFonts w:ascii="Arial" w:cs="Arial" w:eastAsia="Arial" w:hAnsi="Arial"/>
                <w:sz w:val="18"/>
                <w:szCs w:val="18"/>
                <w:color w:val="auto"/>
              </w:rPr>
              <w:t>1.2%-1.3%</w:t>
            </w: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1.2%-1.9%</w:t>
            </w: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1.5%-2.0%</w:t>
            </w: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61%-68%</w:t>
            </w:r>
          </w:p>
        </w:tc>
        <w:tc>
          <w:tcPr>
            <w:tcW w:w="1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61%-63%</w:t>
            </w: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Expected dividend rate</w:t>
            </w: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ind w:right="140" w:firstLine="518"/>
        <w:spacing w:after="0" w:line="297" w:lineRule="auto"/>
        <w:rPr>
          <w:sz w:val="20"/>
          <w:szCs w:val="20"/>
          <w:color w:val="auto"/>
        </w:rPr>
      </w:pPr>
      <w:r>
        <w:rPr>
          <w:rFonts w:ascii="Arial" w:cs="Arial" w:eastAsia="Arial" w:hAnsi="Arial"/>
          <w:sz w:val="16"/>
          <w:szCs w:val="16"/>
          <w:color w:val="auto"/>
        </w:rPr>
        <w:t>The Company recorded stock-based compensation expense related to nonemployee awards of $11,000 and $63,000 for the three months ended September 30, 2016 and 2015, respectively and $63,000 and $135,000 for the nine months ended September 30, 2016 and 2015, respectively. The compensation expense related to nonemployee awards is included in the total stock-based compensation each year and is subject to re-measurement until the options vest. The fair value of the grants is being expensed over the vesting period of the options on a straight-line basis as the services are being provided. The Black-Scholes assumptions used to estimate fair value for the three and nine months ended September 30, 2016 and 2015 were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2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600" w:type="dxa"/>
            <w:vAlign w:val="bottom"/>
            <w:tcBorders>
              <w:bottom w:val="single" w:sz="8" w:color="auto"/>
            </w:tcBorders>
            <w:gridSpan w:val="3"/>
          </w:tcPr>
          <w:p>
            <w:pPr>
              <w:jc w:val="right"/>
              <w:ind w:right="654"/>
              <w:spacing w:after="0"/>
              <w:rPr>
                <w:sz w:val="20"/>
                <w:szCs w:val="20"/>
                <w:color w:val="auto"/>
              </w:rPr>
            </w:pPr>
            <w:r>
              <w:rPr>
                <w:rFonts w:ascii="Arial" w:cs="Arial" w:eastAsia="Arial" w:hAnsi="Arial"/>
                <w:sz w:val="14"/>
                <w:szCs w:val="14"/>
                <w:b w:val="1"/>
                <w:bCs w:val="1"/>
                <w:color w:val="auto"/>
              </w:rPr>
              <w:t>Nine Months Ended September 30,</w:t>
            </w:r>
          </w:p>
        </w:tc>
      </w:tr>
      <w:tr>
        <w:trPr>
          <w:trHeight w:val="156"/>
        </w:trPr>
        <w:tc>
          <w:tcPr>
            <w:tcW w:w="4120" w:type="dxa"/>
            <w:vAlign w:val="bottom"/>
            <w:tcBorders>
              <w:bottom w:val="single" w:sz="8" w:color="CFF0FC"/>
            </w:tcBorders>
          </w:tcPr>
          <w:p>
            <w:pPr>
              <w:spacing w:after="0"/>
              <w:rPr>
                <w:sz w:val="13"/>
                <w:szCs w:val="13"/>
                <w:color w:val="auto"/>
              </w:rPr>
            </w:pPr>
          </w:p>
        </w:tc>
        <w:tc>
          <w:tcPr>
            <w:tcW w:w="1720" w:type="dxa"/>
            <w:vAlign w:val="bottom"/>
            <w:tcBorders>
              <w:bottom w:val="single" w:sz="8" w:color="auto"/>
            </w:tcBorders>
          </w:tcPr>
          <w:p>
            <w:pPr>
              <w:jc w:val="right"/>
              <w:ind w:right="636"/>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66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720" w:type="dxa"/>
            <w:vAlign w:val="bottom"/>
            <w:tcBorders>
              <w:bottom w:val="single" w:sz="8" w:color="auto"/>
            </w:tcBorders>
          </w:tcPr>
          <w:p>
            <w:pPr>
              <w:jc w:val="right"/>
              <w:ind w:right="636"/>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FF0FC"/>
            </w:tcBorders>
          </w:tcPr>
          <w:p>
            <w:pPr>
              <w:spacing w:after="0"/>
              <w:rPr>
                <w:sz w:val="13"/>
                <w:szCs w:val="13"/>
                <w:color w:val="auto"/>
              </w:rPr>
            </w:pPr>
          </w:p>
        </w:tc>
        <w:tc>
          <w:tcPr>
            <w:tcW w:w="1740" w:type="dxa"/>
            <w:vAlign w:val="bottom"/>
            <w:tcBorders>
              <w:bottom w:val="single" w:sz="8" w:color="auto"/>
            </w:tcBorders>
          </w:tcPr>
          <w:p>
            <w:pPr>
              <w:jc w:val="right"/>
              <w:ind w:right="654"/>
              <w:spacing w:after="0" w:line="155" w:lineRule="exact"/>
              <w:rPr>
                <w:sz w:val="20"/>
                <w:szCs w:val="20"/>
                <w:color w:val="auto"/>
              </w:rPr>
            </w:pPr>
            <w:r>
              <w:rPr>
                <w:rFonts w:ascii="Arial" w:cs="Arial" w:eastAsia="Arial" w:hAnsi="Arial"/>
                <w:sz w:val="14"/>
                <w:szCs w:val="14"/>
                <w:b w:val="1"/>
                <w:bCs w:val="1"/>
                <w:color w:val="auto"/>
              </w:rPr>
              <w:t>2015</w:t>
            </w:r>
          </w:p>
        </w:tc>
      </w:tr>
      <w:tr>
        <w:trPr>
          <w:trHeight w:val="223"/>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Expected life</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5.0-6.0 years</w:t>
            </w: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10 years</w:t>
            </w:r>
          </w:p>
        </w:tc>
        <w:tc>
          <w:tcPr>
            <w:tcW w:w="12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5.0-6.0 years</w:t>
            </w:r>
          </w:p>
        </w:tc>
        <w:tc>
          <w:tcPr>
            <w:tcW w:w="1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 years</w:t>
            </w: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720" w:type="dxa"/>
            <w:vAlign w:val="bottom"/>
          </w:tcPr>
          <w:p>
            <w:pPr>
              <w:jc w:val="right"/>
              <w:spacing w:after="0"/>
              <w:rPr>
                <w:sz w:val="20"/>
                <w:szCs w:val="20"/>
                <w:color w:val="auto"/>
              </w:rPr>
            </w:pPr>
            <w:r>
              <w:rPr>
                <w:rFonts w:ascii="Arial" w:cs="Arial" w:eastAsia="Arial" w:hAnsi="Arial"/>
                <w:sz w:val="18"/>
                <w:szCs w:val="18"/>
                <w:color w:val="auto"/>
              </w:rPr>
              <w:t>1.1%-1.3%</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1.1%-1.3%</w:t>
            </w: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2.0%-2.1%</w:t>
            </w: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Expected dividend rate</w:t>
            </w: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ind w:right="180" w:firstLine="518"/>
        <w:spacing w:after="0" w:line="255" w:lineRule="auto"/>
        <w:rPr>
          <w:sz w:val="20"/>
          <w:szCs w:val="20"/>
          <w:color w:val="auto"/>
        </w:rPr>
      </w:pPr>
      <w:r>
        <w:rPr>
          <w:rFonts w:ascii="Arial" w:cs="Arial" w:eastAsia="Arial" w:hAnsi="Arial"/>
          <w:sz w:val="18"/>
          <w:szCs w:val="18"/>
          <w:color w:val="auto"/>
        </w:rPr>
        <w:t>During the nine months ended September 30, 2016 and 2015, the Company granted nonemployee stock options to purchase 135,000 and 192,000 shares, respectively, of the Company’s common stock. The weighted-average exercise price and the weighted-average grant date fair value of nonemployee stock options granted for the nine months ended September 30, 2016 was $1.09 per share and $0.61 per share, respectively, and for the nine months ended September 30, 2015 was $5.28 per share and $2.33 per share, respectively. On September 4, 2015, nonemployee stock options to purchase 90,000 shares of the Company’s common stock were converted to employee stock options upon the appointment of the Company’s Chief Medical Officer who had been serving as a consultant to the Company until his appointment. The exercise price and the fair value of these stock options is $4.71 per share and $2.71 per share,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 w:name="page10"/>
    <w:bookmarkEnd w:id="9"/>
    <w:p>
      <w:pPr>
        <w:ind w:right="40" w:firstLine="518"/>
        <w:spacing w:after="0" w:line="293" w:lineRule="auto"/>
        <w:rPr>
          <w:sz w:val="20"/>
          <w:szCs w:val="20"/>
          <w:color w:val="auto"/>
        </w:rPr>
      </w:pPr>
      <w:r>
        <w:rPr>
          <w:rFonts w:ascii="Arial" w:cs="Arial" w:eastAsia="Arial" w:hAnsi="Arial"/>
          <w:sz w:val="16"/>
          <w:szCs w:val="16"/>
          <w:color w:val="auto"/>
        </w:rPr>
        <w:t>The ESPP permits eligible employees to enroll in a six-month offering period whereby participants may purchase shares of the Company’s common stock, through payroll deductions, at a price equal to 85% of the closing price of the common stock on the first day of the offering period or the last day of the offering period, whichever is lower. Purchase dates under the ESPP occur on or about June 30 and December 31 of each year. The first offering period under the ESPP opened on July 1, 2015. During the nine months ended September 30, 2016, 37,712 shares of common stock were purchased under the ESPP at a weighted average price of $2.07 per share. The stock-based compensation expense related to the ESPP for the three and nine months ended September 30, 2016 was $5,000 and $29,000, respectively, and was $13,000 for each of the three and nine months ended September 30, 2015.</w:t>
      </w:r>
    </w:p>
    <w:p>
      <w:pPr>
        <w:spacing w:after="0" w:line="161"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The Company’s financial instruments consist of cash equivalents, accounts payable, accrued expenses, and debt obligations. The carrying amount of accounts payable and accrued expenses are considered a reasonable estimate of their fair value, due to the short-term maturity of these instruments. The carrying amount of debt is also considered to be a reasonable estimate of its fair value based on the short term nature of the debt and because the debt bears interest at the prevailing market rate for instruments with similar characteristics.</w:t>
      </w:r>
    </w:p>
    <w:p>
      <w:pPr>
        <w:spacing w:after="0" w:line="187" w:lineRule="exact"/>
        <w:rPr>
          <w:sz w:val="20"/>
          <w:szCs w:val="20"/>
          <w:color w:val="auto"/>
        </w:rPr>
      </w:pPr>
    </w:p>
    <w:p>
      <w:pPr>
        <w:ind w:right="300" w:firstLine="518"/>
        <w:spacing w:after="0" w:line="312" w:lineRule="auto"/>
        <w:rPr>
          <w:sz w:val="20"/>
          <w:szCs w:val="20"/>
          <w:color w:val="auto"/>
        </w:rPr>
      </w:pPr>
      <w:r>
        <w:rPr>
          <w:rFonts w:ascii="Arial" w:cs="Arial" w:eastAsia="Arial" w:hAnsi="Arial"/>
          <w:sz w:val="16"/>
          <w:szCs w:val="16"/>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are performed in a manner to maximize the use of observable inputs and minimize the use of unobservable inputs.</w:t>
      </w:r>
    </w:p>
    <w:p>
      <w:pPr>
        <w:spacing w:after="0" w:line="147"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 accounting standard describes a fair value hierarchy based on three levels of inputs, of which the first two are considered observable and the last unobservable, that may be used to measure fair value, which are the following:</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Level 1 — Quoted prices (unadjusted) in active markets that are accessible at the market date for identical unrestricted assets or liabilities.</w:t>
      </w:r>
    </w:p>
    <w:p>
      <w:pPr>
        <w:spacing w:after="0" w:line="237" w:lineRule="exact"/>
        <w:rPr>
          <w:sz w:val="20"/>
          <w:szCs w:val="20"/>
          <w:color w:val="auto"/>
        </w:rPr>
      </w:pPr>
    </w:p>
    <w:p>
      <w:pPr>
        <w:jc w:val="both"/>
        <w:ind w:right="460" w:firstLine="518"/>
        <w:spacing w:after="0" w:line="264" w:lineRule="auto"/>
        <w:rPr>
          <w:sz w:val="20"/>
          <w:szCs w:val="20"/>
          <w:color w:val="auto"/>
        </w:rPr>
      </w:pPr>
      <w:r>
        <w:rPr>
          <w:rFonts w:ascii="Arial" w:cs="Arial" w:eastAsia="Arial" w:hAnsi="Arial"/>
          <w:sz w:val="18"/>
          <w:szCs w:val="18"/>
          <w:color w:val="auto"/>
        </w:rPr>
        <w:t>Level 2 — Inputs other than Level 1 that are observable, either directly or indirectly, such as quoted prices for similar assets or liabilities; quoted prices in markets that are not active; or other inputs for which all significant inputs are observable or can be corroborated by observable market data for substantially the full term of the assets or liabilities.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Level 3 — Unobservable inputs that are supported by little or no market activity and that are significant to the fair value of the assets or liabilities.</w:t>
      </w:r>
    </w:p>
    <w:p>
      <w:pPr>
        <w:spacing w:after="0" w:line="237"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A summary of the financial assets and liabilities that are measured on a recurring basis at fair value as of September 30, 2016 and December 31, 2015, is as follows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6"/>
          </w:tcPr>
          <w:p>
            <w:pPr>
              <w:jc w:val="center"/>
              <w:ind w:left="924"/>
              <w:spacing w:after="0"/>
              <w:rPr>
                <w:sz w:val="20"/>
                <w:szCs w:val="20"/>
                <w:color w:val="auto"/>
              </w:rPr>
            </w:pPr>
            <w:r>
              <w:rPr>
                <w:rFonts w:ascii="Arial" w:cs="Arial" w:eastAsia="Arial" w:hAnsi="Arial"/>
                <w:sz w:val="14"/>
                <w:szCs w:val="14"/>
                <w:b w:val="1"/>
                <w:bCs w:val="1"/>
                <w:color w:val="auto"/>
                <w:w w:val="93"/>
              </w:rPr>
              <w:t>Fair Value Measurements Using</w:t>
            </w: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3"/>
              </w:rPr>
              <w:t>Quoted Prices in</w:t>
            </w:r>
          </w:p>
        </w:tc>
        <w:tc>
          <w:tcPr>
            <w:tcW w:w="180" w:type="dxa"/>
            <w:vAlign w:val="bottom"/>
          </w:tcPr>
          <w:p>
            <w:pPr>
              <w:spacing w:after="0"/>
              <w:rPr>
                <w:sz w:val="11"/>
                <w:szCs w:val="11"/>
                <w:color w:val="auto"/>
              </w:rPr>
            </w:pPr>
          </w:p>
        </w:tc>
        <w:tc>
          <w:tcPr>
            <w:tcW w:w="132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1"/>
                <w:szCs w:val="11"/>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Active Markets</w:t>
            </w:r>
          </w:p>
        </w:tc>
        <w:tc>
          <w:tcPr>
            <w:tcW w:w="18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14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18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62"/>
        </w:trPr>
        <w:tc>
          <w:tcPr>
            <w:tcW w:w="5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Assets</w:t>
            </w:r>
          </w:p>
        </w:tc>
        <w:tc>
          <w:tcPr>
            <w:tcW w:w="180" w:type="dxa"/>
            <w:vAlign w:val="bottom"/>
          </w:tcPr>
          <w:p>
            <w:pPr>
              <w:spacing w:after="0"/>
              <w:rPr>
                <w:sz w:val="14"/>
                <w:szCs w:val="1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5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4"/>
                <w:szCs w:val="14"/>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4"/>
                <w:szCs w:val="14"/>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3"/>
        </w:trPr>
        <w:tc>
          <w:tcPr>
            <w:tcW w:w="5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September 30, 2016</w:t>
            </w:r>
          </w:p>
        </w:tc>
        <w:tc>
          <w:tcPr>
            <w:tcW w:w="2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Money market funds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37,139</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37,139</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December 31, 2015</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Money market funds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75,325</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75,325</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The Company believes that its debt obligations bear interest at rates which approximate prevailing market rates for instruments with similar characteristics and, accordingly, the carrying values for these instruments approximate fair value. The Company’s debt obligations are Level 2 measurements in the fair value hierarchy.</w:t>
      </w:r>
    </w:p>
    <w:p>
      <w:pPr>
        <w:spacing w:after="0" w:line="18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Company’s money market funds have been valued on the basis of valuations provided by third-party pricing services, as derived from such services’ pricing models. Inputs to the models may include, but are not limited to, reported trades, executable bid and asked prices, broker/dealer quotations, prices or yields of securities with similar characteristics, benchmark curves or information pertaining to the issuer, as well as industry and economic events. The pricing services may use a matrix approach, which considers information regarding securities with similar characteristics to determine the valuation for a security. The Company is ultimately responsible for the consolidated financial statements and underlying estimates. Accordingly, the Company assesses the reasonableness of the valuations provided by the third-party pricing services by reviewing actual trade data, broker/dealer quotes and other similar data, which are obtained from quoted market prices or other sources.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 w:name="page11"/>
    <w:bookmarkEnd w:id="10"/>
    <w:p>
      <w:pPr>
        <w:ind w:left="520"/>
        <w:spacing w:after="0"/>
        <w:rPr>
          <w:sz w:val="20"/>
          <w:szCs w:val="20"/>
          <w:color w:val="auto"/>
        </w:rPr>
      </w:pPr>
      <w:r>
        <w:rPr>
          <w:rFonts w:ascii="Arial" w:cs="Arial" w:eastAsia="Arial" w:hAnsi="Arial"/>
          <w:sz w:val="18"/>
          <w:szCs w:val="18"/>
          <w:color w:val="auto"/>
        </w:rPr>
        <w:t>No transfers between levels occurred during the periods presented.</w:t>
      </w:r>
    </w:p>
    <w:p>
      <w:pPr>
        <w:spacing w:after="0" w:line="221"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w:t>
      </w:r>
    </w:p>
    <w:p>
      <w:pPr>
        <w:spacing w:after="0" w:line="229"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In August 2016, the Company announced its plan to reduce its workforce by approximately 48%. This workforce reduction is designed to reduce operating expenses while the company refocuses its clinical strategy for CRLX101.</w:t>
      </w:r>
    </w:p>
    <w:p>
      <w:pPr>
        <w:spacing w:after="0" w:line="170"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The Company recorded approximately $300,000 of total pre-tax charges recorded to research and development expense in the quarter ended September 30, 2016 in connection with the restructuring. Of this total, $274,000 was attributed to contractual termination benefits which were provided for once it was determined that such costs were both probable and estimable in accordance with the provisions of FASB Accounting Standard Codification 712, “Compensation—Nonretirement Postemployment Benefits”, and $26,000 was charged for discretionary termination benefits upon notification of the affected employees in accordance with ASC 420, “Exit or Disposal Cost Obligations”. Substantially all of the restructuring costs associated with the workforce reduction are expected to be paid by March 31, 2017.</w:t>
      </w:r>
    </w:p>
    <w:p>
      <w:pPr>
        <w:spacing w:after="0" w:line="189" w:lineRule="exact"/>
        <w:rPr>
          <w:sz w:val="20"/>
          <w:szCs w:val="20"/>
          <w:color w:val="auto"/>
        </w:rPr>
      </w:pPr>
    </w:p>
    <w:p>
      <w:pPr>
        <w:ind w:left="520" w:hanging="512"/>
        <w:spacing w:after="0"/>
        <w:tabs>
          <w:tab w:leader="none" w:pos="5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On October 14, 2016, the Company entered into a common stock purchase agreement (the “Purchase Agreement”) with Aspire Capital Fund, LLC, (“Aspire Capital”), which provides that, upon the terms and subject to the conditions and limitations set forth therein, Aspire Capital is committed to purchase up to an aggregate of $20.0 million of shares of the Company’s common stock over a term of 24 months from the execution of the Purchase Agreement. In consideration for entering into the Purchase Agreement, the Company issued to Aspire Capital 700,000 shares of the Company’s common stock. Immediately following the execution of the Purchase Agreement, the Company made an initial sale to Aspire Capital under the Purchase Agreement of 800,000 shares of common stock at a price of $1.25 per share, for proceeds of $1.0 million.</w:t>
      </w:r>
    </w:p>
    <w:p>
      <w:pPr>
        <w:spacing w:after="0" w:line="178" w:lineRule="exact"/>
        <w:rPr>
          <w:sz w:val="20"/>
          <w:szCs w:val="20"/>
          <w:color w:val="auto"/>
        </w:rPr>
      </w:pPr>
    </w:p>
    <w:p>
      <w:pPr>
        <w:ind w:right="100" w:firstLine="518"/>
        <w:spacing w:after="0" w:line="254" w:lineRule="auto"/>
        <w:rPr>
          <w:sz w:val="20"/>
          <w:szCs w:val="20"/>
          <w:color w:val="auto"/>
        </w:rPr>
      </w:pPr>
      <w:r>
        <w:rPr>
          <w:rFonts w:ascii="Arial" w:cs="Arial" w:eastAsia="Arial" w:hAnsi="Arial"/>
          <w:sz w:val="18"/>
          <w:szCs w:val="18"/>
          <w:color w:val="auto"/>
        </w:rPr>
        <w:t>On October 18, 2016, the Company entered into a research collaboration agreement (the “Collaboration Agreement”) with Novartis Institutes for BioMedical Research, Inc. (“Novartis”). Under the Collaboration Agreement, the Company will create NDC candidates using its Dynamic Tumor Targeting Platform and Novartis-selected active pharmaceutical ingredients, and Novartis will be responsible for the development and commercialization of NDC products resulting from the collaborative research efforts. The initial research term of the Collaboration Agreement is two years which may be extended for up to two additional one-year terms. The Company received a $5.0 million upfront payment under the Collaboration Agreement, and is entitled to receive funding from Novartis for up to five full-time employees of the Company to be engaged in activities under the collaboration during the research term. The Company may also receive additional research, development, regulatory and sales milestone payments, as well as royalties on net sales of any NDC product commercialized by Novartis.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1" w:name="page12"/>
    <w:bookmarkEnd w:id="11"/>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condensed consolidated financial statements and the related notes appearing elsewhere in this Quarterly Report on Form 10-Q.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You should read the “Risk Factors” section of this Quarterly Report on Form 10-Q for a discussion of important factors that could cause actual results to differ materially from the results described in or implied by the forward-looking statements contained in the following discussion and analysis.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We are a clinical-stage, oncology-focused company applying our proprietary Dynamic Tumor Targeting™ Platform to develop differentiated therapies. We were incorporated under the laws of the State of Delaware on November 28, 2005, under the name Tempo Pharmaceuticals, Inc. In October 2008, we changed our name to Cerulean Pharma Inc.</w:t>
      </w:r>
    </w:p>
    <w:p>
      <w:pPr>
        <w:spacing w:after="0" w:line="18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Our Dynamic Tumor Targeting Platform is designed to create nanoparticle-drug conjugates, or NDCs, with the aim of providing safer and more effective therapies for patients living with cancer. NDCs consist of anti-cancer therapeutics, or payloads, covalently linked to a proprietary polymer. We believe our NDCs concentrate their anti-cancer payloads inside tumor cells while sparing normal tissue because they are small enough to pass through the leaky pores of new blood vessels in tumors as an entry portal into tumor tissue, but are too large to pass through the pores of healthy blood vessels. Once inside tumors, we believe our NDCs are actively taken up into tumor cells where they slowly release their anti-cancer payloads, providing a durable inhibition of their targets.</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believe that the ability to combine our NDCs with other agents, either approved or experimental, is a key differentiating feature of our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platform. Based on their properties and design, our NDCs have the potential to enable synergistic combination therapies that can offer better tolerability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efficacy. We believe that better tolerability can be achieved through the preferential accumulation of the NDC in the tumor cells while better efficacy can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achieved by combining drugs that have different and complementary mechanisms of action.</w:t>
      </w:r>
    </w:p>
    <w:p>
      <w:pPr>
        <w:spacing w:after="0" w:line="211"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Our platform has generated two clinical-stage NDCs. Our first platform-generated and lead clinical candidate, CRLX101, is in Phase 2 clinical development in patients with platinum-resistant ovarian cancer and in other earlier stage clinical trials in multiple tumor types. In July 2016, the United States Food and Drug Administration, or FDA, granted CRLX101 fast track designation in combination with paclitaxel for the treatment of platinum-resistant ovarian carcinoma, fallopian tube or primary peritoneal cancer. In May 2015, the FDA also granted CRLX101 orphan drug designation for the treatment of ovarian cancer. Our second platform-generated clinical candidate, CRLX301, is currently in Phase 1/2a clinical development. We intend to generate additional candidates, alone and potentially in collaboration with partners.</w:t>
      </w:r>
    </w:p>
    <w:p>
      <w:pPr>
        <w:spacing w:after="0" w:line="193"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CRLX101 is an NDC with a camptothecin payload. Camptothecin is a potent topoisomerase 1, or topo 1, inhibitor that was too toxic to develop in the clinic; however, we believe that CRLX101 reduces the toxicities associated with this highly potent agent, while selectively accumulating the payload in tumors. CRLX101 inhibits topo 1, which is involved in cellular replication, causing damage to a cancer cell’s DNA resulting in the death of the cancer cell. We are focusing the clinical development of CRLX101 on cancer indications in which we expect the durable inhibition of topo 1, in combination with other cancer treatments, will lead to differentiated efficacy.</w:t>
      </w:r>
    </w:p>
    <w:p>
      <w:pPr>
        <w:spacing w:after="0" w:line="188"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We are pursuing development of CRLX101 in combination with anti-cancer therapies in multiple ongoing clinical trials. We are conducting a Phase 1b/2 company-sponsored trial of CRLX101 in combination with weekly paclitaxel in patients with relapsed ovarian cancer in collaboration with the GOG Foundation, Inc. (formerly known as the Gynecologic Oncology Group), or GOG. This Phase 1b/2 multi-center, open-label study combines CRLX101 with weekly paclitaxel in approximately 35 patients with recurrent or persistent epithelial ovarian, fallopian tube or primary peritoneal cancer. The Phase 1b portion of this clinical trial was designed to identify the maximum tolerated dose, or MTD, as well as pharmacokinetics, safety, tolerability and preliminary signals of efficacy of CRLX101 in combination with weekly paclitaxel. In April 2016, we announced the determination of the MTD and recommended Phase 2 dose for this combination to be 15 mg/m2 for CRLX101 administered every other week and 80 mg/m2 for weekly paclitaxel administered three weeks on and one week off. The Phase 2 expansion portion of this clinical trial is ongoing and will assess the overall response rate in patients with recurrent platinum resistant epithelial ovarian, fallopian tube or primary peritoneal cancer. In July 2016 we received fast track designation for CRLX101 in combination with paclitaxel for the treatment of platinum-resistant ovarian carcinoma, fallopian tube or primary peritoneal cancer, based in part on the emerging data from this Phase 1b/2 trial. We expect to report further data from this Phase 1b/2 clinical trial in 2017.</w:t>
      </w:r>
    </w:p>
    <w:p>
      <w:pPr>
        <w:spacing w:after="0" w:line="183" w:lineRule="exact"/>
        <w:rPr>
          <w:sz w:val="20"/>
          <w:szCs w:val="20"/>
          <w:color w:val="auto"/>
        </w:rPr>
      </w:pPr>
    </w:p>
    <w:p>
      <w:pPr>
        <w:ind w:right="820" w:firstLine="518"/>
        <w:spacing w:after="0" w:line="277" w:lineRule="auto"/>
        <w:rPr>
          <w:sz w:val="20"/>
          <w:szCs w:val="20"/>
          <w:color w:val="auto"/>
        </w:rPr>
      </w:pPr>
      <w:r>
        <w:rPr>
          <w:rFonts w:ascii="Arial" w:cs="Arial" w:eastAsia="Arial" w:hAnsi="Arial"/>
          <w:sz w:val="18"/>
          <w:szCs w:val="18"/>
          <w:color w:val="auto"/>
        </w:rPr>
        <w:t>We are evaluating the combination of CRLX101 with Poly ADP ribose polymerase inhibitors, or PARP inhibitors. PARP inhibitors, such as LYNPARZA™ (olaparib), hinder a cell’s ability to repair single-strand DNA breaks. Topo 1 inhibitors, such as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2" w:name="page13"/>
    <w:bookmarkEnd w:id="12"/>
    <w:p>
      <w:pPr>
        <w:ind w:right="160"/>
        <w:spacing w:after="0" w:line="288" w:lineRule="auto"/>
        <w:rPr>
          <w:sz w:val="20"/>
          <w:szCs w:val="20"/>
          <w:color w:val="auto"/>
        </w:rPr>
      </w:pPr>
      <w:r>
        <w:rPr>
          <w:rFonts w:ascii="Arial" w:cs="Arial" w:eastAsia="Arial" w:hAnsi="Arial"/>
          <w:sz w:val="16"/>
          <w:szCs w:val="16"/>
          <w:color w:val="auto"/>
        </w:rPr>
        <w:t>CRLX101, create persistent single-strand DNA breaks, and preclinical experiments have shown that PARP inhibition potentiates the DNA damage resulting from topo 1 inhibition. PARP-topo 1 combinations have traditionally been limited by toxicity. However, we believe our NDC platform may enable a therapeutic PARP-topo 1 combination because NDC’s are designed to concentrate anti-cancer payloads inside tumor cells and spare healthy</w:t>
      </w:r>
    </w:p>
    <w:p>
      <w:pPr>
        <w:jc w:val="both"/>
        <w:ind w:right="320"/>
        <w:spacing w:after="0" w:line="277" w:lineRule="auto"/>
        <w:rPr>
          <w:sz w:val="20"/>
          <w:szCs w:val="20"/>
          <w:color w:val="auto"/>
        </w:rPr>
      </w:pPr>
      <w:r>
        <w:rPr>
          <w:rFonts w:ascii="Arial" w:cs="Arial" w:eastAsia="Arial" w:hAnsi="Arial"/>
          <w:sz w:val="17"/>
          <w:szCs w:val="17"/>
          <w:color w:val="auto"/>
        </w:rPr>
        <w:t>tissue. Preclinical data generated by AstraZeneca AB, or AstraZeneca, with a LYNPARZA-CRLX101 combination demonstrated a synergistic anti-tumor effect from targeting two validated pathways. Based on this data, in November 2015, we entered into a collaboration agreement with the National Cancer Institute, or the NCI, and AstraZeneca to study the LYNPARZA-CRLX101 combination in human clinical trials.</w:t>
      </w:r>
    </w:p>
    <w:p>
      <w:pPr>
        <w:spacing w:after="0" w:line="173" w:lineRule="exact"/>
        <w:rPr>
          <w:sz w:val="20"/>
          <w:szCs w:val="20"/>
          <w:color w:val="auto"/>
        </w:rPr>
      </w:pPr>
    </w:p>
    <w:p>
      <w:pPr>
        <w:ind w:right="100" w:firstLine="518"/>
        <w:spacing w:after="0" w:line="272" w:lineRule="auto"/>
        <w:rPr>
          <w:sz w:val="20"/>
          <w:szCs w:val="20"/>
          <w:color w:val="auto"/>
        </w:rPr>
      </w:pPr>
      <w:r>
        <w:rPr>
          <w:rFonts w:ascii="Arial" w:cs="Arial" w:eastAsia="Arial" w:hAnsi="Arial"/>
          <w:sz w:val="17"/>
          <w:szCs w:val="17"/>
          <w:color w:val="auto"/>
        </w:rPr>
        <w:t>In May 2016, the first patient was dosed in an open-label, single center Phase 1/2 clinical trial of CRLX101 in combination with LYNPARZA in patients with advanced solid tumors. This trial is being conducted by the NCI. We believe that with our NDC and the work AstraZeneca has done to define a clinical dose and schedule, we may be able to develop an effective and tolerable LYNPARZA-CRLX101 combination. The Phase 1 portion of this clinical trial will enroll up to 30 patients with advanced solid tumors that are resistant or refractory to standard therapy. The trial is designed to identify the MTD, or recommended Phase 2 dose, of CRLX101 when combined with LYNPARZA, and to provide additional data on pharmacokinetics, pharmacodynamics and safety. The Phase 2 portion will evaluate the efficacy of this combination in relapsed small cell lung cancer patients dosed at the identified recommended Phase 2 dose and schedule. We expect to report further data from this Phase 1/2 clinical trial in 2017.</w:t>
      </w:r>
    </w:p>
    <w:p>
      <w:pPr>
        <w:spacing w:after="0" w:line="178" w:lineRule="exact"/>
        <w:rPr>
          <w:sz w:val="20"/>
          <w:szCs w:val="20"/>
          <w:color w:val="auto"/>
        </w:rPr>
      </w:pPr>
    </w:p>
    <w:p>
      <w:pPr>
        <w:jc w:val="both"/>
        <w:ind w:right="660" w:firstLine="518"/>
        <w:spacing w:after="0" w:line="264" w:lineRule="auto"/>
        <w:rPr>
          <w:sz w:val="20"/>
          <w:szCs w:val="20"/>
          <w:color w:val="auto"/>
        </w:rPr>
      </w:pPr>
      <w:r>
        <w:rPr>
          <w:rFonts w:ascii="Arial" w:cs="Arial" w:eastAsia="Arial" w:hAnsi="Arial"/>
          <w:sz w:val="18"/>
          <w:szCs w:val="18"/>
          <w:color w:val="auto"/>
        </w:rPr>
        <w:t>Additional trials involving CRLX101 are also ongoing, including a Phase 1b company-sponsored trial exploring a dose-intensive schedule for CRLX101 in patients with solid tumors, which includes an arm exploring weekly CRLX101 in combination with a chemotherapy regimen known as FOLFOX (comprised of leucovorin calcium + fluorouracil + oxaliplatin) in solid tumor patients.</w:t>
      </w:r>
    </w:p>
    <w:p>
      <w:pPr>
        <w:spacing w:after="0" w:line="181"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In August 2016 we announced top-line results from our Phase 2, randomized, multi-center clinical trial of CRLX101 in combination with Avastin in the treatment of patients with advanced renal cell carcinoma, or RCC. We refer to this trial as the RCC Trial. The RCC Trial was conducted at 43 sites in the United States and South Korea, and enrolled 115 patients with RCC who progressed through two or three prior lines of therapy. Patients were randomized to receive CRLX101 in combination with Avastin or investigator’s choice standard of care, or SOC, therapy. The primary endpoint was progression free survival, or PFS, in the clear cell population assessed by independent radiological review. Secondary endpoints included overall response rate, duration of response and overall survival. The study demonstrated no statistically significant difference in median PFS and objective response rate for the CRLX101 and Avastin combination compared to SOC. The CRLX101 and Avastin combination appeared to be safe and well-tolerated and the safety and tolerability profile of the combination was consistent with that observed in previous studies. We expect to submit the full data set from the trial for presentation at an upcoming medical conference. Based on these top-line results, we submitted a letter to the FDA voluntarily surrendering the Fast Track Designation in metastatic RCC we received in April 2015. We are no longer developing CRLX101 in this indication.</w:t>
      </w:r>
    </w:p>
    <w:p>
      <w:pPr>
        <w:spacing w:after="0" w:line="178"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Our second platform-generated NDC clinical candidate, CRLX301, is an NDC with docetaxel as its anti-cancer payload. CRLX301 is designed to concentrate in tumors and slowly release docetaxel inside tumor cells. We are studying CRLX301 in a Phase 1/2a trial in patients with advanced solid tumor malignancies in order to evaluate the safety of the drug and establish an MTD for two dosing schedules. In the Phase 1 stage of the clinical trial we explored tolerability of dose ranges when CRLX301 was administered once every three weeks and have determined an MTD for this dosing schedule. We are also exploring a weekly dosing schedule as part of the Phase 1 stage to determine the MTD for that regimen. These parallel paths will allow us to determine the recommended Phase 2 dose with the preferred dosing schedule.</w:t>
      </w:r>
    </w:p>
    <w:p>
      <w:pPr>
        <w:spacing w:after="0" w:line="193"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Our Dynamic Tumor Targeting Platform has the potential to create additional NDCs for development by us or in collaboration with our partners. For example, in October 2016 we announced a collaboration with Novartis Institutes for BioMedical Research, Inc., or Novartis, pursuant to which we will create NDC candidates using our Dynamic Tumor Targeting Platform and Novartis-selected active pharmaceutical ingredients, and Novartis will be responsible for the development and commercialization of NDC product candidates resulting from our collaborative research efforts. The initial research term of the Collaboration Agreement is two years which may be extended for up to two additional one-year terms. The Company received a $5.0 million upfront payment under the Collaboration Agreement, and is entitled to receive funding from Novartis for up to five full-time employees of the Company to be engaged in activities under the collaboration during the research term. The Company may also receive additional research, development, regulatory and sales milestone payments, as well as royalties on net sales of any NDC product commercialized by Novartis.</w:t>
      </w:r>
    </w:p>
    <w:p>
      <w:pPr>
        <w:spacing w:after="0" w:line="179"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To date, we have devoted substantially all of our resources to our drug discovery and development efforts, including conducting clinical trials of our product candidates, protecting our intellectual property and the general and administrative support of our operations. We have generated no revenue from product sales. We expect that it will be several years before we commercialize a product candidate, if ever. Through September 30, 2016, we have funded our operations primarily through $84.2 million in proceeds from the sale of shares of our convertible preferred stock in private placements, net proceeds of $59.9 million from sales of shares of our common stock in our initial public offering, or IPO, net proceeds of $37.2 million from the sale of shares of our common stock in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 w:name="page14"/>
    <w:bookmarkEnd w:id="13"/>
    <w:p>
      <w:pPr>
        <w:ind w:right="60"/>
        <w:spacing w:after="0" w:line="272" w:lineRule="auto"/>
        <w:rPr>
          <w:sz w:val="20"/>
          <w:szCs w:val="20"/>
          <w:color w:val="auto"/>
        </w:rPr>
      </w:pPr>
      <w:r>
        <w:rPr>
          <w:rFonts w:ascii="Arial" w:cs="Arial" w:eastAsia="Arial" w:hAnsi="Arial"/>
          <w:sz w:val="17"/>
          <w:szCs w:val="17"/>
          <w:color w:val="auto"/>
        </w:rPr>
        <w:t>April 2015 in an underwritten public offering, or Secondary Offering, $17.3 million in proceeds from our sale of convertible promissory notes, $10.0 million in proceeds from a loan and security agreement with Lighthouse Capital Partners VI, L.P., or Lighthouse Capital, and $21.0 million in proceeds from a loan and security agreement with Hercules Technology Growth Capital, Inc., or Hercules. We refer to our loan and security agreements with Lighthouse Capital and Hercules as the Lighthouse Loan Agreement and the Hercules Loan Agreement, respectively. In October 2016 we entered into a common stock purchase agreement with Aspire Capital Fund, LLC, or Aspire, for a $20.0 million firm commitment at-the-market equity facility, which we refer to as the ATM. In connection with entry into the ATM, Aspire made an initial $1.0 million investment. $19.0 million remains available under the facility, upon the terms and subject to the conditions and limitations set forth therein.</w:t>
      </w:r>
    </w:p>
    <w:p>
      <w:pPr>
        <w:spacing w:after="0" w:line="178"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In August 2016, we announced the reduction of our workforce under a plan that we expect will be substantially completed by the end of 2016. This workforce reduction is designed to reduce operating expenses while we refocus our clinical strategy for CRLX101. We have never been profitable and have incurred significant operating losses since our incorporation. As of September 30, 2016, we had an accumulated deficit of $195.7 million. We incurred net losses of approximately $34.4 million and $28.9 million for the nine months ended September 30, 2016 and 2015, respectively.</w:t>
      </w:r>
    </w:p>
    <w:p>
      <w:pPr>
        <w:spacing w:after="0" w:line="171" w:lineRule="exact"/>
        <w:rPr>
          <w:sz w:val="20"/>
          <w:szCs w:val="20"/>
          <w:color w:val="auto"/>
        </w:rPr>
      </w:pPr>
    </w:p>
    <w:p>
      <w:pPr>
        <w:ind w:right="140" w:firstLine="518"/>
        <w:spacing w:after="0" w:line="312" w:lineRule="auto"/>
        <w:rPr>
          <w:sz w:val="20"/>
          <w:szCs w:val="20"/>
          <w:color w:val="auto"/>
        </w:rPr>
      </w:pPr>
      <w:r>
        <w:rPr>
          <w:rFonts w:ascii="Arial" w:cs="Arial" w:eastAsia="Arial" w:hAnsi="Arial"/>
          <w:sz w:val="16"/>
          <w:szCs w:val="16"/>
          <w:color w:val="auto"/>
        </w:rPr>
        <w:t>We expect to continue to incur significant expenses and operating losses for the foreseeable future, as we advance our product candidates through clinical trials, and as we seek regulatory approval for, and eventually commercialize, our product candidates. Our net losses may fluctuate significantly from quarter to quarter and from year to year. We will need to raise additional capital in the future to support our expenses and operating activities.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To date, we have not generated any revenue from product sales and do not expect to generate any revenue from product sales for the next several years, if ever. In the future, we may generate revenue from a combination of product sales, license fees, milestone and research and development payments in connection with strategic partnerships, and royalties resulting from the sales of products developed under licenses of our intellectual property. We expect that any revenue we generate will fluctuate from quarter to quarter as a result of the timing and amount of any such payments. Our ability to generate product revenues will depend on the successful development and eventual commercialization of our product candidates. If we fail to complete the development of our product candidates in a timely manner or to obtain regulatory approval for our product candidates, our ability to generate future revenue and our results of operations and financial position would be materially adversely affected.</w:t>
      </w:r>
    </w:p>
    <w:p>
      <w:pPr>
        <w:spacing w:after="0" w:line="178"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To date, our only revenue has consisted of a government tax credit that we received in 2010 and payments in each of the years from 2011 through 2014 from material transfer agreements and/or a research agreement.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Research and development expense consists of costs incurred in connection with the discovery and development of our Dynamic Tumor Targeting Platform and our NDCs. These expenses consist primarily of:</w:t>
      </w:r>
    </w:p>
    <w:p>
      <w:pPr>
        <w:ind w:left="1040" w:hanging="519"/>
        <w:spacing w:after="0" w:line="210" w:lineRule="auto"/>
        <w:tabs>
          <w:tab w:leader="none" w:pos="1040" w:val="left"/>
        </w:tabs>
        <w:numPr>
          <w:ilvl w:val="0"/>
          <w:numId w:val="12"/>
        </w:numPr>
        <w:rPr>
          <w:rFonts w:ascii="Arial" w:cs="Arial" w:eastAsia="Arial" w:hAnsi="Arial"/>
          <w:sz w:val="29"/>
          <w:szCs w:val="29"/>
          <w:color w:val="auto"/>
          <w:vertAlign w:val="superscript"/>
        </w:rPr>
      </w:pPr>
      <w:r>
        <w:rPr>
          <w:rFonts w:ascii="Arial" w:cs="Arial" w:eastAsia="Arial" w:hAnsi="Arial"/>
          <w:sz w:val="18"/>
          <w:szCs w:val="18"/>
          <w:color w:val="auto"/>
        </w:rPr>
        <w:t>employee-related expenses, including salaries, benefits and stock-based compensation expense;</w:t>
      </w:r>
    </w:p>
    <w:p>
      <w:pPr>
        <w:spacing w:after="0" w:line="110" w:lineRule="exact"/>
        <w:rPr>
          <w:rFonts w:ascii="Arial" w:cs="Arial" w:eastAsia="Arial" w:hAnsi="Arial"/>
          <w:sz w:val="29"/>
          <w:szCs w:val="29"/>
          <w:color w:val="auto"/>
          <w:vertAlign w:val="superscript"/>
        </w:rPr>
      </w:pPr>
    </w:p>
    <w:p>
      <w:pPr>
        <w:ind w:left="1040" w:right="520" w:hanging="519"/>
        <w:spacing w:after="0" w:line="191" w:lineRule="auto"/>
        <w:tabs>
          <w:tab w:leader="none" w:pos="1040" w:val="left"/>
        </w:tabs>
        <w:numPr>
          <w:ilvl w:val="0"/>
          <w:numId w:val="12"/>
        </w:numPr>
        <w:rPr>
          <w:rFonts w:ascii="Arial" w:cs="Arial" w:eastAsia="Arial" w:hAnsi="Arial"/>
          <w:sz w:val="29"/>
          <w:szCs w:val="29"/>
          <w:color w:val="auto"/>
          <w:vertAlign w:val="superscript"/>
        </w:rPr>
      </w:pPr>
      <w:r>
        <w:rPr>
          <w:rFonts w:ascii="Arial" w:cs="Arial" w:eastAsia="Arial" w:hAnsi="Arial"/>
          <w:sz w:val="18"/>
          <w:szCs w:val="18"/>
          <w:color w:val="auto"/>
        </w:rPr>
        <w:t>expenses incurred under agreements with contract research organizations, or CROs, investigative sites that conduct our clinical trials and consultants that conduct a portion of our preclinical studies;</w:t>
      </w:r>
    </w:p>
    <w:p>
      <w:pPr>
        <w:ind w:left="1040" w:hanging="519"/>
        <w:spacing w:after="0" w:line="233" w:lineRule="auto"/>
        <w:tabs>
          <w:tab w:leader="none" w:pos="1040" w:val="left"/>
        </w:tabs>
        <w:numPr>
          <w:ilvl w:val="0"/>
          <w:numId w:val="12"/>
        </w:numPr>
        <w:rPr>
          <w:rFonts w:ascii="Arial" w:cs="Arial" w:eastAsia="Arial" w:hAnsi="Arial"/>
          <w:sz w:val="29"/>
          <w:szCs w:val="29"/>
          <w:color w:val="auto"/>
          <w:vertAlign w:val="superscript"/>
        </w:rPr>
      </w:pPr>
      <w:r>
        <w:rPr>
          <w:rFonts w:ascii="Arial" w:cs="Arial" w:eastAsia="Arial" w:hAnsi="Arial"/>
          <w:sz w:val="18"/>
          <w:szCs w:val="18"/>
          <w:color w:val="auto"/>
        </w:rPr>
        <w:t>expenses relating to scientific and medical consultants and advisors;</w:t>
      </w:r>
    </w:p>
    <w:p>
      <w:pPr>
        <w:spacing w:after="0" w:line="110" w:lineRule="exact"/>
        <w:rPr>
          <w:rFonts w:ascii="Arial" w:cs="Arial" w:eastAsia="Arial" w:hAnsi="Arial"/>
          <w:sz w:val="29"/>
          <w:szCs w:val="29"/>
          <w:color w:val="auto"/>
          <w:vertAlign w:val="superscript"/>
        </w:rPr>
      </w:pPr>
    </w:p>
    <w:p>
      <w:pPr>
        <w:ind w:left="1040" w:hanging="519"/>
        <w:spacing w:after="0" w:line="186" w:lineRule="auto"/>
        <w:tabs>
          <w:tab w:leader="none" w:pos="1040" w:val="left"/>
        </w:tabs>
        <w:numPr>
          <w:ilvl w:val="0"/>
          <w:numId w:val="12"/>
        </w:numPr>
        <w:rPr>
          <w:rFonts w:ascii="Arial" w:cs="Arial" w:eastAsia="Arial" w:hAnsi="Arial"/>
          <w:sz w:val="24"/>
          <w:szCs w:val="24"/>
          <w:color w:val="auto"/>
          <w:vertAlign w:val="superscript"/>
        </w:rPr>
      </w:pPr>
      <w:r>
        <w:rPr>
          <w:rFonts w:ascii="Arial" w:cs="Arial" w:eastAsia="Arial" w:hAnsi="Arial"/>
          <w:sz w:val="15"/>
          <w:szCs w:val="15"/>
          <w:color w:val="auto"/>
        </w:rPr>
        <w:t>the cost of acquiring and manufacturing clinical trial materials;</w:t>
      </w:r>
    </w:p>
    <w:p>
      <w:pPr>
        <w:spacing w:after="0" w:line="110" w:lineRule="exact"/>
        <w:rPr>
          <w:rFonts w:ascii="Arial" w:cs="Arial" w:eastAsia="Arial" w:hAnsi="Arial"/>
          <w:sz w:val="24"/>
          <w:szCs w:val="24"/>
          <w:color w:val="auto"/>
          <w:vertAlign w:val="superscript"/>
        </w:rPr>
      </w:pPr>
    </w:p>
    <w:p>
      <w:pPr>
        <w:ind w:left="1040" w:right="640" w:hanging="519"/>
        <w:spacing w:after="0" w:line="191" w:lineRule="auto"/>
        <w:tabs>
          <w:tab w:leader="none" w:pos="1040" w:val="left"/>
        </w:tabs>
        <w:numPr>
          <w:ilvl w:val="0"/>
          <w:numId w:val="12"/>
        </w:numPr>
        <w:rPr>
          <w:rFonts w:ascii="Arial" w:cs="Arial" w:eastAsia="Arial" w:hAnsi="Arial"/>
          <w:sz w:val="29"/>
          <w:szCs w:val="29"/>
          <w:color w:val="auto"/>
          <w:vertAlign w:val="superscript"/>
        </w:rPr>
      </w:pPr>
      <w:r>
        <w:rPr>
          <w:rFonts w:ascii="Arial" w:cs="Arial" w:eastAsia="Arial" w:hAnsi="Arial"/>
          <w:sz w:val="18"/>
          <w:szCs w:val="18"/>
          <w:color w:val="auto"/>
        </w:rPr>
        <w:t>facilities, depreciation of fixed assets and other allocated expenses, including direct and allocated expenses for rent and maintenance of facilities and equipment;</w:t>
      </w:r>
    </w:p>
    <w:p>
      <w:pPr>
        <w:spacing w:after="0" w:line="25" w:lineRule="exact"/>
        <w:rPr>
          <w:rFonts w:ascii="Arial" w:cs="Arial" w:eastAsia="Arial" w:hAnsi="Arial"/>
          <w:sz w:val="29"/>
          <w:szCs w:val="29"/>
          <w:color w:val="auto"/>
          <w:vertAlign w:val="superscript"/>
        </w:rPr>
      </w:pPr>
    </w:p>
    <w:p>
      <w:pPr>
        <w:ind w:left="1040" w:hanging="519"/>
        <w:spacing w:after="0"/>
        <w:tabs>
          <w:tab w:leader="none" w:pos="1040" w:val="left"/>
        </w:tabs>
        <w:numPr>
          <w:ilvl w:val="0"/>
          <w:numId w:val="12"/>
        </w:numPr>
        <w:rPr>
          <w:rFonts w:ascii="Arial" w:cs="Arial" w:eastAsia="Arial" w:hAnsi="Arial"/>
          <w:sz w:val="26"/>
          <w:szCs w:val="26"/>
          <w:color w:val="auto"/>
          <w:vertAlign w:val="superscript"/>
        </w:rPr>
      </w:pPr>
      <w:r>
        <w:rPr>
          <w:rFonts w:ascii="Arial" w:cs="Arial" w:eastAsia="Arial" w:hAnsi="Arial"/>
          <w:sz w:val="16"/>
          <w:szCs w:val="16"/>
          <w:color w:val="auto"/>
        </w:rPr>
        <w:t>lab supplies, reagents, active pharmaceutical ingredients and other direct and indirect costs in support of our preclinical and clinical activities;</w:t>
      </w:r>
    </w:p>
    <w:p>
      <w:pPr>
        <w:spacing w:after="0" w:line="109" w:lineRule="exact"/>
        <w:rPr>
          <w:rFonts w:ascii="Arial" w:cs="Arial" w:eastAsia="Arial" w:hAnsi="Arial"/>
          <w:sz w:val="26"/>
          <w:szCs w:val="26"/>
          <w:color w:val="auto"/>
          <w:vertAlign w:val="superscript"/>
        </w:rPr>
      </w:pPr>
    </w:p>
    <w:p>
      <w:pPr>
        <w:ind w:left="1040" w:hanging="519"/>
        <w:spacing w:after="0" w:line="186" w:lineRule="auto"/>
        <w:tabs>
          <w:tab w:leader="none" w:pos="1040" w:val="left"/>
        </w:tabs>
        <w:numPr>
          <w:ilvl w:val="0"/>
          <w:numId w:val="12"/>
        </w:numPr>
        <w:rPr>
          <w:rFonts w:ascii="Arial" w:cs="Arial" w:eastAsia="Arial" w:hAnsi="Arial"/>
          <w:sz w:val="24"/>
          <w:szCs w:val="24"/>
          <w:color w:val="auto"/>
          <w:vertAlign w:val="superscript"/>
        </w:rPr>
      </w:pPr>
      <w:r>
        <w:rPr>
          <w:rFonts w:ascii="Arial" w:cs="Arial" w:eastAsia="Arial" w:hAnsi="Arial"/>
          <w:sz w:val="15"/>
          <w:szCs w:val="15"/>
          <w:color w:val="auto"/>
        </w:rPr>
        <w:t>license fees related to in-licensed products and technology; and</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12"/>
        </w:numPr>
        <w:rPr>
          <w:rFonts w:ascii="Arial" w:cs="Arial" w:eastAsia="Arial" w:hAnsi="Arial"/>
          <w:sz w:val="24"/>
          <w:szCs w:val="24"/>
          <w:color w:val="auto"/>
          <w:vertAlign w:val="superscript"/>
        </w:rPr>
      </w:pPr>
      <w:r>
        <w:rPr>
          <w:rFonts w:ascii="Arial" w:cs="Arial" w:eastAsia="Arial" w:hAnsi="Arial"/>
          <w:sz w:val="15"/>
          <w:szCs w:val="15"/>
          <w:color w:val="auto"/>
        </w:rPr>
        <w:t>costs associated with non-clinical activities and regulatory approvals.</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expense research and development costs as incurred.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 w:name="page15"/>
    <w:bookmarkEnd w:id="14"/>
    <w:p>
      <w:pPr>
        <w:ind w:right="40" w:firstLine="518"/>
        <w:spacing w:after="0" w:line="255" w:lineRule="auto"/>
        <w:rPr>
          <w:sz w:val="20"/>
          <w:szCs w:val="20"/>
          <w:color w:val="auto"/>
        </w:rPr>
      </w:pPr>
      <w:r>
        <w:rPr>
          <w:rFonts w:ascii="Arial" w:cs="Arial" w:eastAsia="Arial" w:hAnsi="Arial"/>
          <w:sz w:val="18"/>
          <w:szCs w:val="18"/>
          <w:color w:val="auto"/>
        </w:rPr>
        <w:t>Conducting a significant amount of research and development is central to our business model. Product candidates in late stages of clinical development generally have higher development costs than those in earlier stages of clinical development primarily due to the increased size and duration of late-stage clinical trials. We expect our research and development expenses will decline in the near future as we focus our resources to support ongoing early stage clinical trials of CRLX101 and CRLX301 and our strategic collaboration with Novartis. Additionally, our collaboration with Novartis requires Novartis to provide us a certain amount of reimbursement for research expenses, further decreasing our overall expected future expenses needed to support our research efforts.</w:t>
      </w:r>
    </w:p>
    <w:p>
      <w:pPr>
        <w:spacing w:after="0" w:line="193"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We use our employee and infrastructure resources across multiple research and development programs. We track external research and development expenses and personnel expense on a program-by-program basis and have allocated expenses such as stock-based compensation and indirect laboratory supplies and services to each program based on the personnel resources allocated to each program. Facilities, depreciation and scientific advisory board fees and expenses are not allocated to a program and are considered overhead. Below is a summary of our research and development expenses for the three and nine months ended September 30, 2016 and 2015 (in thousands):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266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20" w:type="dxa"/>
            <w:vAlign w:val="bottom"/>
            <w:gridSpan w:val="6"/>
          </w:tcPr>
          <w:p>
            <w:pPr>
              <w:ind w:left="460"/>
              <w:spacing w:after="0"/>
              <w:rPr>
                <w:sz w:val="20"/>
                <w:szCs w:val="20"/>
                <w:color w:val="auto"/>
              </w:rPr>
            </w:pPr>
            <w:r>
              <w:rPr>
                <w:rFonts w:ascii="Arial" w:cs="Arial" w:eastAsia="Arial" w:hAnsi="Arial"/>
                <w:sz w:val="14"/>
                <w:szCs w:val="14"/>
                <w:b w:val="1"/>
                <w:bCs w:val="1"/>
                <w:color w:val="auto"/>
              </w:rPr>
              <w:t>Nine Months Ended September 30,</w:t>
            </w:r>
          </w:p>
        </w:tc>
      </w:tr>
      <w:tr>
        <w:trPr>
          <w:trHeight w:val="156"/>
        </w:trPr>
        <w:tc>
          <w:tcPr>
            <w:tcW w:w="4860" w:type="dxa"/>
            <w:vAlign w:val="bottom"/>
          </w:tcPr>
          <w:p>
            <w:pPr>
              <w:spacing w:after="0"/>
              <w:rPr>
                <w:sz w:val="13"/>
                <w:szCs w:val="13"/>
                <w:color w:val="auto"/>
              </w:rPr>
            </w:pP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5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jc w:val="right"/>
              <w:ind w:right="65"/>
              <w:spacing w:after="0" w:line="155"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493"/>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r>
      <w:tr>
        <w:trPr>
          <w:trHeight w:val="223"/>
        </w:trPr>
        <w:tc>
          <w:tcPr>
            <w:tcW w:w="4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CRLX101</w:t>
            </w:r>
          </w:p>
        </w:tc>
        <w:tc>
          <w:tcPr>
            <w:tcW w:w="920" w:type="dxa"/>
            <w:vAlign w:val="bottom"/>
            <w:tcBorders>
              <w:top w:val="single" w:sz="8" w:color="auto"/>
            </w:tcBorders>
            <w:shd w:val="clear" w:color="auto" w:fill="CFF0FC"/>
          </w:tcPr>
          <w:p>
            <w:pPr>
              <w:jc w:val="right"/>
              <w:ind w:right="739"/>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5,290</w:t>
            </w:r>
          </w:p>
        </w:tc>
        <w:tc>
          <w:tcPr>
            <w:tcW w:w="26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825"/>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5,114</w:t>
            </w:r>
          </w:p>
        </w:tc>
        <w:tc>
          <w:tcPr>
            <w:tcW w:w="26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72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17,423</w:t>
            </w:r>
          </w:p>
        </w:tc>
        <w:tc>
          <w:tcPr>
            <w:tcW w:w="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13,486</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CRLX301</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979</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1,075</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4,196</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2,790</w:t>
            </w:r>
          </w:p>
        </w:tc>
        <w:tc>
          <w:tcPr>
            <w:tcW w:w="120" w:type="dxa"/>
            <w:vAlign w:val="bottom"/>
          </w:tcPr>
          <w:p>
            <w:pPr>
              <w:spacing w:after="0"/>
              <w:rPr>
                <w:sz w:val="19"/>
                <w:szCs w:val="19"/>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Dynamic Tumor Targeting Platform</w:t>
            </w:r>
          </w:p>
        </w:tc>
        <w:tc>
          <w:tcPr>
            <w:tcW w:w="9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1,879</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CFF0FC"/>
          </w:tcPr>
          <w:p>
            <w:pPr>
              <w:spacing w:after="0"/>
              <w:rPr>
                <w:sz w:val="19"/>
                <w:szCs w:val="19"/>
                <w:color w:val="auto"/>
              </w:rPr>
            </w:pPr>
          </w:p>
        </w:tc>
      </w:tr>
      <w:tr>
        <w:trPr>
          <w:trHeight w:val="230"/>
        </w:trPr>
        <w:tc>
          <w:tcPr>
            <w:tcW w:w="4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Overhead</w:t>
            </w: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26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26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w:t>
            </w:r>
          </w:p>
        </w:tc>
        <w:tc>
          <w:tcPr>
            <w:tcW w:w="120" w:type="dxa"/>
            <w:vAlign w:val="bottom"/>
            <w:tcBorders>
              <w:bottom w:val="single" w:sz="8" w:color="CFF0FC"/>
            </w:tcBorders>
          </w:tcPr>
          <w:p>
            <w:pPr>
              <w:spacing w:after="0"/>
              <w:rPr>
                <w:sz w:val="19"/>
                <w:szCs w:val="19"/>
                <w:color w:val="auto"/>
              </w:rPr>
            </w:pPr>
          </w:p>
        </w:tc>
      </w:tr>
      <w:tr>
        <w:trPr>
          <w:trHeight w:val="223"/>
        </w:trPr>
        <w:tc>
          <w:tcPr>
            <w:tcW w:w="4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and development expense</w:t>
            </w:r>
          </w:p>
        </w:tc>
        <w:tc>
          <w:tcPr>
            <w:tcW w:w="920" w:type="dxa"/>
            <w:vAlign w:val="bottom"/>
            <w:tcBorders>
              <w:bottom w:val="single" w:sz="8" w:color="auto"/>
            </w:tcBorders>
            <w:shd w:val="clear" w:color="auto" w:fill="CFF0FC"/>
          </w:tcPr>
          <w:p>
            <w:pPr>
              <w:jc w:val="right"/>
              <w:ind w:right="73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7,089</w:t>
            </w:r>
          </w:p>
        </w:tc>
        <w:tc>
          <w:tcPr>
            <w:tcW w:w="26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825"/>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7,092</w:t>
            </w:r>
          </w:p>
        </w:tc>
        <w:tc>
          <w:tcPr>
            <w:tcW w:w="26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727"/>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24,381</w:t>
            </w:r>
          </w:p>
        </w:tc>
        <w:tc>
          <w:tcPr>
            <w:tcW w:w="2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18,791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summarizes our research and development programs.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CRLX101</w:t>
      </w:r>
    </w:p>
    <w:p>
      <w:pPr>
        <w:spacing w:after="0" w:line="225"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Our lead product candidate, CRLX101, is an NDC in Phase 2 clinical development in our lead indication, platinum-resistant ovarian cancer. We are conducting a Phase 1b/2 company-sponsored trial of CRLX101 in combination with weekly paclitaxel in patients with relapsed ovarian cancer in collaboration with GOG. A Phase 2 single-arm investigator sponsored trial, or IST, of CRLX101 as monotherapy and in combination with Avastin in patients with relapsed ovarian cancer is also ongoing. This IST is being conducted by Massachusetts General Hospital and affiliated Harvard University teaching hospitals.</w:t>
      </w:r>
    </w:p>
    <w:p>
      <w:pPr>
        <w:spacing w:after="0" w:line="188" w:lineRule="exact"/>
        <w:rPr>
          <w:sz w:val="20"/>
          <w:szCs w:val="20"/>
          <w:color w:val="auto"/>
        </w:rPr>
      </w:pPr>
    </w:p>
    <w:p>
      <w:pPr>
        <w:ind w:right="260" w:firstLine="518"/>
        <w:spacing w:after="0" w:line="259" w:lineRule="auto"/>
        <w:rPr>
          <w:sz w:val="20"/>
          <w:szCs w:val="20"/>
          <w:color w:val="auto"/>
        </w:rPr>
      </w:pPr>
      <w:r>
        <w:rPr>
          <w:rFonts w:ascii="Arial" w:cs="Arial" w:eastAsia="Arial" w:hAnsi="Arial"/>
          <w:sz w:val="18"/>
          <w:szCs w:val="18"/>
          <w:color w:val="auto"/>
        </w:rPr>
        <w:t>Additional trials involving CRLX101 are also ongoing, including a Phase 1/2 clinical trial sponsored by the NCI, evaluating the combination of CRLX101 and LYNPARZA™ (olaparib) in patients with advanced solid tumors. CRLX101 is also being evaluated in a Phase 1b company-sponsored trial exploring a dose-intensive schedule for CRLX101 in patients with solid tumors, which includes an arm exploring weekly CRLX101 in combination with a chemotherapy regimen known as FOLFOX in solid tumor patients.</w:t>
      </w:r>
    </w:p>
    <w:p>
      <w:pPr>
        <w:spacing w:after="0" w:line="187" w:lineRule="exact"/>
        <w:rPr>
          <w:sz w:val="20"/>
          <w:szCs w:val="20"/>
          <w:color w:val="auto"/>
        </w:rPr>
      </w:pPr>
    </w:p>
    <w:p>
      <w:pPr>
        <w:jc w:val="both"/>
        <w:ind w:right="40" w:firstLine="518"/>
        <w:spacing w:after="0" w:line="264" w:lineRule="auto"/>
        <w:rPr>
          <w:sz w:val="20"/>
          <w:szCs w:val="20"/>
          <w:color w:val="auto"/>
        </w:rPr>
      </w:pPr>
      <w:r>
        <w:rPr>
          <w:rFonts w:ascii="Arial" w:cs="Arial" w:eastAsia="Arial" w:hAnsi="Arial"/>
          <w:sz w:val="18"/>
          <w:szCs w:val="18"/>
          <w:color w:val="auto"/>
        </w:rPr>
        <w:t>We cannot accurately project future research and development expenses for our CRLX101 program because such expenses are dependent on a number of variables, including, among others, the cost and design of any additional clinical trials, the duration of the regulatory process and the results of any clinical trials.</w:t>
      </w:r>
    </w:p>
    <w:p>
      <w:pPr>
        <w:spacing w:after="0" w:line="181"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color w:val="auto"/>
        </w:rPr>
        <w:t>In August 2016 we announced top-line results from the RCC Trial which is a Phase 2 randomized, controlled, company-sponsored trial comparing CRLX101 administered in combination with Avastin to investigator’s choice of standard of care in patients with RCC who have received two or three prior lines of therapy. The results showed that the study failed to meet its primary or secondary endpoints. We expect to continue to incur expenses associated with the RCC Trial, at least through the end of 2016, including CRO fees and expenses associated with remaining patients who continue on study.</w:t>
      </w:r>
    </w:p>
    <w:p>
      <w:pPr>
        <w:spacing w:after="0" w:line="154"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Under our license agreement with Calando Pharmaceuticals, Inc., or Calando, pursuant to which we obtained rights to CRLX101, or the CRLX101 Agreement, we are obligated to pay milestone payments which could total, in the aggregate, $32.8 million, if we achieve certain development and sales events with CRLX101. In addition, under the CRLX101 Agreement, if we, or one of our affiliates, sell CRLX101, we are required to pay tiered royalty payments ranging from low- to mid-single digits, as a percentage of worldwide net sales, depending on whether there is patent protection for CRLX101 at the time of the sale. In the event we license or sublicense the intellectual property that we purchased or licensed from Calando, we are required to pay Calando a percentage of the income we receive from the licensee or sublicensee to the extent attributable to such license or sublicense, subject to certain exceptions. The percentage of such license income that we are obligated to pay Calando ranges from the low- to mid-double digits depending on the development stage of CRLX101 at the time we first provide or receive draft terms of a license arrangement with the third party that results in a license agreement.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CRLX301</w:t>
      </w:r>
    </w:p>
    <w:p>
      <w:pPr>
        <w:spacing w:after="0" w:line="225"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We are studying CRLX301 in a Phase 1/2a trial in patients with advanced solid tumor malignancies in order to evaluate the safety of the drug and establish an MTD for two dosing schedules. In the Phase 1 stage of the clinical trial we explored tolerability of dose ranges when the CRLX301 was administered once every three weeks and have determined an MTD for this dosing schedule. We are also exploring a weekly dosing schedule as part of the Phase 1 stage of the trial to determine the MTD for that regimen. These parallel paths will allow us to determine the recommended Phase 2 dose with the preferred dosing schedule. The Phase 2a expansion of this clinical trial includes two stages. Stage 1 is designed to further establish the safety and tolerability of each dosing schedule and to provide additional data on pharmacokinetics, pharmacodynamics and antitumor activity. Stage 2 will enroll additional patients with specific tumor types using the optimal dosing schedule.</w:t>
      </w:r>
    </w:p>
    <w:p>
      <w:pPr>
        <w:spacing w:after="0" w:line="189"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Under our license agreement with Calando pursuant to which we obtained rights to Calando’s cyclodextrin system for purposes of conjugating or complexing certain other therapeutic agents to the system, or the Platform Agreement, we paid a $250,000 clinical development milestone to Calando in January 2015 in connection with the initiation of our Phase 1/2a clinical trial of CRLX301 in December 2014. We are also required to make milestone payments in an aggregate amount of up to approximately $18.0 million to Calando if we achieve certain development and sales events with respect to CRLX301. Further, under the Platform Agreement, if we, or one of our affiliates, sell CRLX301 we are required to pay tiered royalty payments ranging from low- to mid-single digits, as a percentage of worldwide net sales, depending on whether there is patent protection at the time of the sale. In the event we license or sublicense the intellectual property that we purchased or licensed from Calando, we are required to pay Calando a percentage of the income we receive from the licensee or sublicensee to the extent attributable to such license or sublicense, subject to certain exceptions. The percentage of such license income that we are obligated to pay Calando is in the low-double digits.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Dynamic Tumor Targeting Platform</w:t>
      </w:r>
    </w:p>
    <w:p>
      <w:pPr>
        <w:spacing w:after="0" w:line="225"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We expect that the expenses related to our NDCs and the development of our platform will decline in the near future as we focus on our strategic collaboration with Novartis, and as Novartis provides reimbursement for a certain amount of our research personnel. We cannot accurately predict future research and development expenses for our NDCs because such costs are dependent on a number of variables, including the success of our collaboration with Novartis and preclinical studies of any such NDC.</w:t>
      </w:r>
    </w:p>
    <w:p>
      <w:pPr>
        <w:spacing w:after="0" w:line="187"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The successful development of any of our NDCs or our partners’ NDCs is highly uncertain. As such, at this time, we cannot reasonably predict with certainty the duration and costs of the current or future preclinical studies or clinical trials of any NDC or if, when or to what extent we will generate revenues from any commercialization and sale of any of NDCs that obtain marketing approval. We or our partners may never succeed in achieving regulatory approval for any NDCs. The duration, costs and timing of development of NDCs will depend on a variety of factors, including:</w:t>
      </w:r>
    </w:p>
    <w:p>
      <w:pPr>
        <w:ind w:left="1040" w:hanging="519"/>
        <w:spacing w:after="0" w:line="211" w:lineRule="auto"/>
        <w:tabs>
          <w:tab w:leader="none" w:pos="1040" w:val="left"/>
        </w:tabs>
        <w:numPr>
          <w:ilvl w:val="0"/>
          <w:numId w:val="13"/>
        </w:numPr>
        <w:rPr>
          <w:rFonts w:ascii="Arial" w:cs="Arial" w:eastAsia="Arial" w:hAnsi="Arial"/>
          <w:sz w:val="29"/>
          <w:szCs w:val="29"/>
          <w:color w:val="auto"/>
          <w:vertAlign w:val="superscript"/>
        </w:rPr>
      </w:pPr>
      <w:r>
        <w:rPr>
          <w:rFonts w:ascii="Arial" w:cs="Arial" w:eastAsia="Arial" w:hAnsi="Arial"/>
          <w:sz w:val="18"/>
          <w:szCs w:val="18"/>
          <w:color w:val="auto"/>
        </w:rPr>
        <w:t>the scope and rate of progress of ongoing clinical trials;</w:t>
      </w:r>
    </w:p>
    <w:p>
      <w:pPr>
        <w:spacing w:after="0" w:line="110" w:lineRule="exact"/>
        <w:rPr>
          <w:rFonts w:ascii="Arial" w:cs="Arial" w:eastAsia="Arial" w:hAnsi="Arial"/>
          <w:sz w:val="29"/>
          <w:szCs w:val="29"/>
          <w:color w:val="auto"/>
          <w:vertAlign w:val="superscript"/>
        </w:rPr>
      </w:pPr>
    </w:p>
    <w:p>
      <w:pPr>
        <w:ind w:left="1040" w:hanging="519"/>
        <w:spacing w:after="0" w:line="186" w:lineRule="auto"/>
        <w:tabs>
          <w:tab w:leader="none" w:pos="1040" w:val="left"/>
        </w:tabs>
        <w:numPr>
          <w:ilvl w:val="0"/>
          <w:numId w:val="13"/>
        </w:numPr>
        <w:rPr>
          <w:rFonts w:ascii="Arial" w:cs="Arial" w:eastAsia="Arial" w:hAnsi="Arial"/>
          <w:sz w:val="24"/>
          <w:szCs w:val="24"/>
          <w:color w:val="auto"/>
          <w:vertAlign w:val="superscript"/>
        </w:rPr>
      </w:pPr>
      <w:r>
        <w:rPr>
          <w:rFonts w:ascii="Arial" w:cs="Arial" w:eastAsia="Arial" w:hAnsi="Arial"/>
          <w:sz w:val="15"/>
          <w:szCs w:val="15"/>
          <w:color w:val="auto"/>
        </w:rPr>
        <w:t>a continued acceptable safety profile of any product candidate once approved;</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13"/>
        </w:numPr>
        <w:rPr>
          <w:rFonts w:ascii="Arial" w:cs="Arial" w:eastAsia="Arial" w:hAnsi="Arial"/>
          <w:sz w:val="24"/>
          <w:szCs w:val="24"/>
          <w:color w:val="auto"/>
          <w:vertAlign w:val="superscript"/>
        </w:rPr>
      </w:pPr>
      <w:r>
        <w:rPr>
          <w:rFonts w:ascii="Arial" w:cs="Arial" w:eastAsia="Arial" w:hAnsi="Arial"/>
          <w:sz w:val="15"/>
          <w:szCs w:val="15"/>
          <w:color w:val="auto"/>
        </w:rPr>
        <w:t>the scope, progress, timing, results and costs of researching and developing NDCs and conducting preclinical and clinical trials;</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13"/>
        </w:numPr>
        <w:rPr>
          <w:rFonts w:ascii="Arial" w:cs="Arial" w:eastAsia="Arial" w:hAnsi="Arial"/>
          <w:sz w:val="24"/>
          <w:szCs w:val="24"/>
          <w:color w:val="auto"/>
          <w:vertAlign w:val="superscript"/>
        </w:rPr>
      </w:pPr>
      <w:r>
        <w:rPr>
          <w:rFonts w:ascii="Arial" w:cs="Arial" w:eastAsia="Arial" w:hAnsi="Arial"/>
          <w:sz w:val="15"/>
          <w:szCs w:val="15"/>
          <w:color w:val="auto"/>
        </w:rPr>
        <w:t>results from ongoing as well as any future clinical trials;</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13"/>
        </w:numPr>
        <w:rPr>
          <w:rFonts w:ascii="Arial" w:cs="Arial" w:eastAsia="Arial" w:hAnsi="Arial"/>
          <w:sz w:val="24"/>
          <w:szCs w:val="24"/>
          <w:color w:val="auto"/>
          <w:vertAlign w:val="superscript"/>
        </w:rPr>
      </w:pPr>
      <w:r>
        <w:rPr>
          <w:rFonts w:ascii="Arial" w:cs="Arial" w:eastAsia="Arial" w:hAnsi="Arial"/>
          <w:sz w:val="15"/>
          <w:szCs w:val="15"/>
          <w:color w:val="auto"/>
        </w:rPr>
        <w:t>significant and changing government regulation in the United States and abroad;</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13"/>
        </w:numPr>
        <w:rPr>
          <w:rFonts w:ascii="Arial" w:cs="Arial" w:eastAsia="Arial" w:hAnsi="Arial"/>
          <w:sz w:val="24"/>
          <w:szCs w:val="24"/>
          <w:color w:val="auto"/>
          <w:vertAlign w:val="superscript"/>
        </w:rPr>
      </w:pPr>
      <w:r>
        <w:rPr>
          <w:rFonts w:ascii="Arial" w:cs="Arial" w:eastAsia="Arial" w:hAnsi="Arial"/>
          <w:sz w:val="15"/>
          <w:szCs w:val="15"/>
          <w:color w:val="auto"/>
        </w:rPr>
        <w:t>the costs, timing and outcome of regulatory review or approval of NDCs in the United States and abroad;</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13"/>
        </w:numPr>
        <w:rPr>
          <w:rFonts w:ascii="Arial" w:cs="Arial" w:eastAsia="Arial" w:hAnsi="Arial"/>
          <w:sz w:val="24"/>
          <w:szCs w:val="24"/>
          <w:color w:val="auto"/>
          <w:vertAlign w:val="superscript"/>
        </w:rPr>
      </w:pPr>
      <w:r>
        <w:rPr>
          <w:rFonts w:ascii="Arial" w:cs="Arial" w:eastAsia="Arial" w:hAnsi="Arial"/>
          <w:sz w:val="15"/>
          <w:szCs w:val="15"/>
          <w:color w:val="auto"/>
        </w:rPr>
        <w:t>our ability to establish and maintain strategic partnerships, licensing or other arrangements and the financial terms of such agreements;</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13"/>
        </w:numPr>
        <w:rPr>
          <w:rFonts w:ascii="Arial" w:cs="Arial" w:eastAsia="Arial" w:hAnsi="Arial"/>
          <w:sz w:val="24"/>
          <w:szCs w:val="24"/>
          <w:color w:val="auto"/>
          <w:vertAlign w:val="superscript"/>
        </w:rPr>
      </w:pPr>
      <w:r>
        <w:rPr>
          <w:rFonts w:ascii="Arial" w:cs="Arial" w:eastAsia="Arial" w:hAnsi="Arial"/>
          <w:sz w:val="15"/>
          <w:szCs w:val="15"/>
          <w:color w:val="auto"/>
        </w:rPr>
        <w:t>our ability to raise additional capital, as and when needed;</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13"/>
        </w:numPr>
        <w:rPr>
          <w:rFonts w:ascii="Arial" w:cs="Arial" w:eastAsia="Arial" w:hAnsi="Arial"/>
          <w:sz w:val="24"/>
          <w:szCs w:val="24"/>
          <w:color w:val="auto"/>
          <w:vertAlign w:val="superscript"/>
        </w:rPr>
      </w:pPr>
      <w:r>
        <w:rPr>
          <w:rFonts w:ascii="Arial" w:cs="Arial" w:eastAsia="Arial" w:hAnsi="Arial"/>
          <w:sz w:val="15"/>
          <w:szCs w:val="15"/>
          <w:color w:val="auto"/>
        </w:rPr>
        <w:t>establishment of arrangements with third party suppliers of raw materials and third party manufacturers of finished drug product;</w:t>
      </w:r>
    </w:p>
    <w:p>
      <w:pPr>
        <w:spacing w:after="0" w:line="110" w:lineRule="exact"/>
        <w:rPr>
          <w:rFonts w:ascii="Arial" w:cs="Arial" w:eastAsia="Arial" w:hAnsi="Arial"/>
          <w:sz w:val="24"/>
          <w:szCs w:val="24"/>
          <w:color w:val="auto"/>
          <w:vertAlign w:val="superscript"/>
        </w:rPr>
      </w:pPr>
    </w:p>
    <w:p>
      <w:pPr>
        <w:ind w:left="1040" w:right="220" w:hanging="519"/>
        <w:spacing w:after="0" w:line="191" w:lineRule="auto"/>
        <w:tabs>
          <w:tab w:leader="none" w:pos="1040" w:val="left"/>
        </w:tabs>
        <w:numPr>
          <w:ilvl w:val="0"/>
          <w:numId w:val="13"/>
        </w:numPr>
        <w:rPr>
          <w:rFonts w:ascii="Arial" w:cs="Arial" w:eastAsia="Arial" w:hAnsi="Arial"/>
          <w:sz w:val="29"/>
          <w:szCs w:val="29"/>
          <w:color w:val="auto"/>
          <w:vertAlign w:val="superscript"/>
        </w:rPr>
      </w:pPr>
      <w:r>
        <w:rPr>
          <w:rFonts w:ascii="Arial" w:cs="Arial" w:eastAsia="Arial" w:hAnsi="Arial"/>
          <w:sz w:val="18"/>
          <w:szCs w:val="18"/>
          <w:color w:val="auto"/>
        </w:rPr>
        <w:t>our ability, or the ability of our partners, to manufacture, market, commercialize and achieve market acceptance for any NDCs that we or our partners are developing or may develop in the future;</w:t>
      </w:r>
    </w:p>
    <w:p>
      <w:pPr>
        <w:ind w:left="1040" w:hanging="519"/>
        <w:spacing w:after="0" w:line="233" w:lineRule="auto"/>
        <w:tabs>
          <w:tab w:leader="none" w:pos="1040" w:val="left"/>
        </w:tabs>
        <w:numPr>
          <w:ilvl w:val="0"/>
          <w:numId w:val="13"/>
        </w:numPr>
        <w:rPr>
          <w:rFonts w:ascii="Arial" w:cs="Arial" w:eastAsia="Arial" w:hAnsi="Arial"/>
          <w:sz w:val="29"/>
          <w:szCs w:val="29"/>
          <w:color w:val="auto"/>
          <w:vertAlign w:val="superscript"/>
        </w:rPr>
      </w:pPr>
      <w:r>
        <w:rPr>
          <w:rFonts w:ascii="Arial" w:cs="Arial" w:eastAsia="Arial" w:hAnsi="Arial"/>
          <w:sz w:val="18"/>
          <w:szCs w:val="18"/>
          <w:color w:val="auto"/>
        </w:rPr>
        <w:t>the emergence of competing technologies and products and other adverse market developments; and</w:t>
      </w:r>
    </w:p>
    <w:p>
      <w:pPr>
        <w:spacing w:after="0" w:line="110" w:lineRule="exact"/>
        <w:rPr>
          <w:rFonts w:ascii="Arial" w:cs="Arial" w:eastAsia="Arial" w:hAnsi="Arial"/>
          <w:sz w:val="29"/>
          <w:szCs w:val="29"/>
          <w:color w:val="auto"/>
          <w:vertAlign w:val="superscript"/>
        </w:rPr>
      </w:pPr>
    </w:p>
    <w:p>
      <w:pPr>
        <w:ind w:left="1040" w:right="380" w:hanging="519"/>
        <w:spacing w:after="0" w:line="191" w:lineRule="auto"/>
        <w:tabs>
          <w:tab w:leader="none" w:pos="1040" w:val="left"/>
        </w:tabs>
        <w:numPr>
          <w:ilvl w:val="0"/>
          <w:numId w:val="13"/>
        </w:numPr>
        <w:rPr>
          <w:rFonts w:ascii="Arial" w:cs="Arial" w:eastAsia="Arial" w:hAnsi="Arial"/>
          <w:sz w:val="29"/>
          <w:szCs w:val="29"/>
          <w:color w:val="auto"/>
          <w:vertAlign w:val="superscript"/>
        </w:rPr>
      </w:pPr>
      <w:r>
        <w:rPr>
          <w:rFonts w:ascii="Arial" w:cs="Arial" w:eastAsia="Arial" w:hAnsi="Arial"/>
          <w:sz w:val="18"/>
          <w:szCs w:val="18"/>
          <w:color w:val="auto"/>
        </w:rPr>
        <w:t>the cost and timing of preparing, filing and prosecuting patent applications and maintaining, enforcing and defending intellectual property-related claims.</w:t>
      </w:r>
    </w:p>
    <w:p>
      <w:pPr>
        <w:spacing w:after="0" w:line="202"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Any change in the outcome of any of these variables with respect to the development of an NDC could mean a significant change in the cost and timing associated with the development of that NDC. For example, if the FDA, or a comparable non-U.S.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6" w:name="page17"/>
    <w:bookmarkEnd w:id="16"/>
    <w:p>
      <w:pPr>
        <w:ind w:right="120"/>
        <w:spacing w:after="0" w:line="264" w:lineRule="auto"/>
        <w:rPr>
          <w:sz w:val="20"/>
          <w:szCs w:val="20"/>
          <w:color w:val="auto"/>
        </w:rPr>
      </w:pPr>
      <w:r>
        <w:rPr>
          <w:rFonts w:ascii="Arial" w:cs="Arial" w:eastAsia="Arial" w:hAnsi="Arial"/>
          <w:sz w:val="18"/>
          <w:szCs w:val="18"/>
          <w:color w:val="auto"/>
        </w:rPr>
        <w:t>regulatory authority were to require us or a partner to conduct clinical trials beyond those currently anticipated to be required for the marketing authorization of an NDC, or if significant delays in enrollment in any clinical trial occur, significant additional financial resources and time may be necessary to obtain marketing authorization.</w:t>
      </w:r>
    </w:p>
    <w:p>
      <w:pPr>
        <w:spacing w:after="0" w:line="181"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As a result of the uncertainties discussed above, we are unable to determine when, or to what extent, we will generate revenues from the commercialization and sale of any NDC either on our own or as part of a collaboration. We anticipate that we will make determinations as to which additional programs to pursue and how much funding to direct to each program on an ongoing basis in response to the scientific and clinical data with respect to each NDC, our current financial condition, agreements with collaborators, and ongoing assessment of the NDCs’ commercial potential. We will need to raise additional capital in the future in order to complete the development and commercialization of CRLX101 and CRLX301 and to fund the development of any other NDCs, if any.</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General and administrative expenses consist principally of salaries and related costs for personnel in our executive, finance, business development, marketing, legal, information technology and human resources functions. Other general and administrative expenses include patent filing, patent prosecution, professional fees for legal, insurance, consulting, information technology, auditing and tax services and facility costs not otherwise included in research and development expenses.</w:t>
      </w:r>
    </w:p>
    <w:p>
      <w:pPr>
        <w:spacing w:after="0" w:line="187"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We expect that our general and administrative expenses will decrease in the near future as a result of our reduction in force and other cost control measures.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Interest income consists of interest earned on our cash and cash equivalents. The primary objective of our investment policy is capital preservation.</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jc w:val="both"/>
        <w:ind w:right="60" w:firstLine="518"/>
        <w:spacing w:after="0" w:line="264" w:lineRule="auto"/>
        <w:rPr>
          <w:sz w:val="20"/>
          <w:szCs w:val="20"/>
          <w:color w:val="auto"/>
        </w:rPr>
      </w:pPr>
      <w:r>
        <w:rPr>
          <w:rFonts w:ascii="Arial" w:cs="Arial" w:eastAsia="Arial" w:hAnsi="Arial"/>
          <w:sz w:val="18"/>
          <w:szCs w:val="18"/>
          <w:color w:val="auto"/>
        </w:rPr>
        <w:t>Interest expense consists primarily of interest, amortization of debt discount and amortization of deferred financing costs associated with the Hercules Loan Agreement. Interest expense in 2015 also included the write off of debt discount and deferred financing costs associated with the repayment of the debt incurred under the Lighthouse Loan Agreement.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September 30, 2016 and 2015 (Unaudited)</w:t>
      </w:r>
    </w:p>
    <w:p>
      <w:pPr>
        <w:spacing w:after="0" w:line="225"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The following table summarizes our consolidated results of operations for the three months ended September 30, 2016 and 2015, together with the changes in those items in dollars and as a percentage (in thousands, except percentages):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2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4"/>
              </w:rPr>
              <w:t>Three Months Ended September 30,</w:t>
            </w:r>
          </w:p>
        </w:tc>
        <w:tc>
          <w:tcPr>
            <w:tcW w:w="240" w:type="dxa"/>
            <w:vAlign w:val="bottom"/>
          </w:tcPr>
          <w:p>
            <w:pPr>
              <w:spacing w:after="0"/>
              <w:rPr>
                <w:sz w:val="14"/>
                <w:szCs w:val="1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Change</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56"/>
        </w:trPr>
        <w:tc>
          <w:tcPr>
            <w:tcW w:w="41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right"/>
              <w:ind w:right="640"/>
              <w:spacing w:after="0" w:line="155" w:lineRule="exact"/>
              <w:rPr>
                <w:sz w:val="20"/>
                <w:szCs w:val="20"/>
                <w:color w:val="auto"/>
              </w:rPr>
            </w:pPr>
            <w:r>
              <w:rPr>
                <w:rFonts w:ascii="Arial" w:cs="Arial" w:eastAsia="Arial" w:hAnsi="Arial"/>
                <w:sz w:val="14"/>
                <w:szCs w:val="14"/>
                <w:b w:val="1"/>
                <w:bCs w:val="1"/>
                <w:color w:val="auto"/>
              </w:rPr>
              <w:t>Dollar</w:t>
            </w:r>
          </w:p>
        </w:tc>
        <w:tc>
          <w:tcPr>
            <w:tcW w:w="800" w:type="dxa"/>
            <w:vAlign w:val="bottom"/>
            <w:tcBorders>
              <w:top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r>
      <w:tr>
        <w:trPr>
          <w:trHeight w:val="223"/>
        </w:trPr>
        <w:tc>
          <w:tcPr>
            <w:tcW w:w="4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19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Operating expenses:</w:t>
            </w:r>
          </w:p>
        </w:tc>
        <w:tc>
          <w:tcPr>
            <w:tcW w:w="1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4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7,089</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7,092</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w:t>
            </w:r>
          </w:p>
        </w:tc>
      </w:tr>
      <w:tr>
        <w:trPr>
          <w:trHeight w:val="230"/>
        </w:trPr>
        <w:tc>
          <w:tcPr>
            <w:tcW w:w="416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1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2,374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2,954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(580)</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r>
      <w:tr>
        <w:trPr>
          <w:trHeight w:val="223"/>
        </w:trPr>
        <w:tc>
          <w:tcPr>
            <w:tcW w:w="4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9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(9,463)</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(10,046)</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583</w:t>
            </w:r>
          </w:p>
        </w:tc>
        <w:tc>
          <w:tcPr>
            <w:tcW w:w="24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w:t>
            </w: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Total other expense, net</w:t>
            </w:r>
          </w:p>
        </w:tc>
        <w:tc>
          <w:tcPr>
            <w:tcW w:w="1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(496)</w:t>
            </w:r>
          </w:p>
        </w:tc>
        <w:tc>
          <w:tcPr>
            <w:tcW w:w="2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(505)</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23"/>
        </w:trPr>
        <w:tc>
          <w:tcPr>
            <w:tcW w:w="41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9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(9,959)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(10,551)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w:t>
            </w:r>
          </w:p>
        </w:tc>
      </w:tr>
      <w:tr>
        <w:trPr>
          <w:trHeight w:val="20"/>
        </w:trPr>
        <w:tc>
          <w:tcPr>
            <w:tcW w:w="4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 xml:space="preserve">Research and development. </w:t>
      </w:r>
      <w:r>
        <w:rPr>
          <w:rFonts w:ascii="Arial" w:cs="Arial" w:eastAsia="Arial" w:hAnsi="Arial"/>
          <w:sz w:val="16"/>
          <w:szCs w:val="16"/>
          <w:color w:val="auto"/>
        </w:rPr>
        <w:t>Research and development expense was $7.1 million for each of the three months ended September 30, 2016 and</w:t>
      </w:r>
    </w:p>
    <w:p>
      <w:pPr>
        <w:spacing w:after="0" w:line="4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2015. The following table summarizes our research and development expense by program for the three months ended September 30, 2016 and 2015, together with the change in spending by program in dollars and as a percentage (in thousands, except percentages):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860" w:type="dxa"/>
            <w:vAlign w:val="bottom"/>
            <w:gridSpan w:val="6"/>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4"/>
                <w:szCs w:val="14"/>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Change</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540" w:type="dxa"/>
            <w:vAlign w:val="bottom"/>
            <w:tcBorders>
              <w:bottom w:val="single" w:sz="8" w:color="CFF0FC"/>
            </w:tcBorders>
          </w:tcPr>
          <w:p>
            <w:pPr>
              <w:spacing w:after="0"/>
              <w:rPr>
                <w:sz w:val="13"/>
                <w:szCs w:val="13"/>
                <w:color w:val="auto"/>
              </w:rPr>
            </w:pPr>
          </w:p>
        </w:tc>
        <w:tc>
          <w:tcPr>
            <w:tcW w:w="1600" w:type="dxa"/>
            <w:vAlign w:val="bottom"/>
            <w:tcBorders>
              <w:bottom w:val="single" w:sz="8" w:color="CFF0FC"/>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Dollar</w:t>
            </w:r>
          </w:p>
        </w:tc>
        <w:tc>
          <w:tcPr>
            <w:tcW w:w="240" w:type="dxa"/>
            <w:vAlign w:val="bottom"/>
            <w:tcBorders>
              <w:top w:val="single" w:sz="8" w:color="auto"/>
              <w:bottom w:val="single" w:sz="8" w:color="CFF0FC"/>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CRLX101</w:t>
            </w:r>
          </w:p>
        </w:tc>
        <w:tc>
          <w:tcPr>
            <w:tcW w:w="16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60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5,290</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CRLX301</w:t>
            </w:r>
          </w:p>
        </w:tc>
        <w:tc>
          <w:tcPr>
            <w:tcW w:w="1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979</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(96)</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Dynamic Tumor Targeting Platform</w:t>
            </w:r>
          </w:p>
        </w:tc>
        <w:tc>
          <w:tcPr>
            <w:tcW w:w="16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(51)</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Overhead</w:t>
            </w:r>
          </w:p>
        </w:tc>
        <w:tc>
          <w:tcPr>
            <w:tcW w:w="1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306</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(32)</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45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research and development expense</w:t>
            </w:r>
          </w:p>
        </w:tc>
        <w:tc>
          <w:tcPr>
            <w:tcW w:w="1600" w:type="dxa"/>
            <w:vAlign w:val="bottom"/>
            <w:vMerge w:val="restart"/>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40" w:type="dxa"/>
            <w:vAlign w:val="bottom"/>
            <w:vMerge w:val="continue"/>
            <w:shd w:val="clear" w:color="auto" w:fill="CFF0FC"/>
          </w:tcPr>
          <w:p>
            <w:pPr>
              <w:spacing w:after="0"/>
              <w:rPr>
                <w:sz w:val="19"/>
                <w:szCs w:val="19"/>
                <w:color w:val="auto"/>
              </w:rPr>
            </w:pPr>
          </w:p>
        </w:tc>
        <w:tc>
          <w:tcPr>
            <w:tcW w:w="1600" w:type="dxa"/>
            <w:vAlign w:val="bottom"/>
            <w:vMerge w:val="continue"/>
            <w:shd w:val="clear" w:color="auto" w:fill="CFF0FC"/>
          </w:tcPr>
          <w:p>
            <w:pPr>
              <w:spacing w:after="0"/>
              <w:rPr>
                <w:sz w:val="19"/>
                <w:szCs w:val="19"/>
                <w:color w:val="auto"/>
              </w:rPr>
            </w:pPr>
          </w:p>
        </w:tc>
        <w:tc>
          <w:tcPr>
            <w:tcW w:w="760" w:type="dxa"/>
            <w:vAlign w:val="bottom"/>
            <w:shd w:val="clear" w:color="auto" w:fill="CFF0FC"/>
          </w:tcPr>
          <w:p>
            <w:pPr>
              <w:jc w:val="right"/>
              <w:ind w:right="60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7,089</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7,092</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4540" w:type="dxa"/>
            <w:vAlign w:val="bottom"/>
            <w:tcBorders>
              <w:top w:val="single" w:sz="8" w:color="CFF0FC"/>
            </w:tcBorders>
          </w:tcPr>
          <w:p>
            <w:pPr>
              <w:spacing w:after="0" w:line="20" w:lineRule="exact"/>
              <w:rPr>
                <w:sz w:val="1"/>
                <w:szCs w:val="1"/>
                <w:color w:val="auto"/>
              </w:rPr>
            </w:pPr>
          </w:p>
        </w:tc>
        <w:tc>
          <w:tcPr>
            <w:tcW w:w="16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360" w:firstLine="518"/>
        <w:spacing w:after="0" w:line="257" w:lineRule="auto"/>
        <w:rPr>
          <w:sz w:val="20"/>
          <w:szCs w:val="20"/>
          <w:color w:val="auto"/>
        </w:rPr>
      </w:pPr>
      <w:r>
        <w:rPr>
          <w:rFonts w:ascii="Arial" w:cs="Arial" w:eastAsia="Arial" w:hAnsi="Arial"/>
          <w:sz w:val="18"/>
          <w:szCs w:val="18"/>
          <w:color w:val="auto"/>
        </w:rPr>
        <w:t>For the three months ended September 30, 2016, CRLX101 program expenses increased by $0.2 million, or 3%, to $5.3 million compared to $5.1 million for the three months ended September 30, 2015. The increase in CRLX101 program expenses was primarily attributable to an increase of $0.2 million in salary and benefits expenses and an increase of $0.2 million in travel and other operating costs reflecting increased headcount to support the CRLX101 program and the CRLX101 clinical trials. These increases were partially offset by a decrease of $0.2 million in chemistry, manufacturing, and controls, or CMC, external expenses.</w:t>
      </w:r>
    </w:p>
    <w:p>
      <w:pPr>
        <w:spacing w:after="0" w:line="188"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For the three months ended September 30, 2016, CRLX301 program expenses decreased $0.1 million, or 9%, to $1.0 million compared to $1.1 million for the three months ended September 30, 2015. The decrease in CRLX301 program expense was attributable to a decrease in salary and benefits expenses. Other CRLX301 program expenses including clinical trial costs and CMC costs remained relatively unchanged for the three months ended September 30, 2016 compared to the same period last year.</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Expenses associated with our Dynamic Tumor Targeting Platform were $0.5 million for the three months ended September 30, 2016, a decrease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$0.1 million, or 9%, compared to $0.6 million for the three months ended September 30, 2015. The decrease was primarily due to decreases in consulting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external lab costs. Overhead costs decreased $32,000, or 9%, for the three months ended September 30, 2016 as compared to the three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2015. The decrease was primarily attributable to a decrease in general operating costs.</w:t>
      </w:r>
    </w:p>
    <w:p>
      <w:pPr>
        <w:spacing w:after="0" w:line="211"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b w:val="1"/>
          <w:bCs w:val="1"/>
          <w:i w:val="1"/>
          <w:iCs w:val="1"/>
          <w:color w:val="auto"/>
        </w:rPr>
        <w:t xml:space="preserve">General and administrative. </w:t>
      </w:r>
      <w:r>
        <w:rPr>
          <w:rFonts w:ascii="Arial" w:cs="Arial" w:eastAsia="Arial" w:hAnsi="Arial"/>
          <w:sz w:val="18"/>
          <w:szCs w:val="18"/>
          <w:color w:val="auto"/>
        </w:rPr>
        <w:t>General and administrative expense for the three months ended September 30, 2016, was $2.4 million compared to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three months ended September 30, 2015, a decrease of $0.6 million, or 20%. The decrease in general and administrative costs was primarily attributable to a decrease in salary and benefits expenses of $0.3 million and a decrease in other general and administrative costs of $0.3 million reflecting a reduction in head count and general cost cutting measures taken during the quarter.</w:t>
      </w:r>
    </w:p>
    <w:p>
      <w:pPr>
        <w:spacing w:after="0" w:line="18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b w:val="1"/>
          <w:bCs w:val="1"/>
          <w:i w:val="1"/>
          <w:iCs w:val="1"/>
          <w:color w:val="auto"/>
        </w:rPr>
        <w:t xml:space="preserve">Other expense, net. </w:t>
      </w:r>
      <w:r>
        <w:rPr>
          <w:rFonts w:ascii="Arial" w:cs="Arial" w:eastAsia="Arial" w:hAnsi="Arial"/>
          <w:sz w:val="18"/>
          <w:szCs w:val="18"/>
          <w:color w:val="auto"/>
        </w:rPr>
        <w:t>Other expense, net was $0.5 million for each of the three months ended September 30, 2016 and 2015. For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September 30, 2016 and 2015, other expense, net, was primarily interest expense associated with the Hercules Loan Agreement, including $0.1 million for the amortization of debt discount and deferred financing costs.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Nine Months Ended September 30, 2016 and 2015 (Unaudited)</w:t>
      </w:r>
    </w:p>
    <w:p>
      <w:pPr>
        <w:spacing w:after="0" w:line="225"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The following table summarizes our consolidated results of operations for the nine months ended September 30, 2016 and 2015, together with the changes in those items in dollars and as a percentage (in thousands, except percentages):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4"/>
              </w:rPr>
              <w:t>Nine Months Ended September 30,</w:t>
            </w:r>
          </w:p>
        </w:tc>
        <w:tc>
          <w:tcPr>
            <w:tcW w:w="240" w:type="dxa"/>
            <w:vAlign w:val="bottom"/>
          </w:tcPr>
          <w:p>
            <w:pPr>
              <w:spacing w:after="0"/>
              <w:rPr>
                <w:sz w:val="14"/>
                <w:szCs w:val="1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Change</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56"/>
        </w:trPr>
        <w:tc>
          <w:tcPr>
            <w:tcW w:w="41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right"/>
              <w:ind w:right="640"/>
              <w:spacing w:after="0" w:line="155" w:lineRule="exact"/>
              <w:rPr>
                <w:sz w:val="20"/>
                <w:szCs w:val="20"/>
                <w:color w:val="auto"/>
              </w:rPr>
            </w:pPr>
            <w:r>
              <w:rPr>
                <w:rFonts w:ascii="Arial" w:cs="Arial" w:eastAsia="Arial" w:hAnsi="Arial"/>
                <w:sz w:val="14"/>
                <w:szCs w:val="14"/>
                <w:b w:val="1"/>
                <w:bCs w:val="1"/>
                <w:color w:val="auto"/>
              </w:rPr>
              <w:t>Dollar</w:t>
            </w:r>
          </w:p>
        </w:tc>
        <w:tc>
          <w:tcPr>
            <w:tcW w:w="800" w:type="dxa"/>
            <w:vAlign w:val="bottom"/>
            <w:tcBorders>
              <w:top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r>
      <w:tr>
        <w:trPr>
          <w:trHeight w:val="223"/>
        </w:trPr>
        <w:tc>
          <w:tcPr>
            <w:tcW w:w="4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19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Operating expenses:</w:t>
            </w:r>
          </w:p>
        </w:tc>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4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24,381</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18,791</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5,590</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30%</w:t>
            </w:r>
          </w:p>
        </w:tc>
      </w:tr>
      <w:tr>
        <w:trPr>
          <w:trHeight w:val="230"/>
        </w:trPr>
        <w:tc>
          <w:tcPr>
            <w:tcW w:w="416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8,265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8,352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(87)</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223"/>
        </w:trPr>
        <w:tc>
          <w:tcPr>
            <w:tcW w:w="4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9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(32,646)</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(27,143)</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(5,503)</w:t>
            </w:r>
          </w:p>
        </w:tc>
        <w:tc>
          <w:tcPr>
            <w:tcW w:w="24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w:t>
            </w: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Total other expense, net</w:t>
            </w:r>
          </w:p>
        </w:tc>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(1,714)</w:t>
            </w:r>
          </w:p>
        </w:tc>
        <w:tc>
          <w:tcPr>
            <w:tcW w:w="2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(1,743)</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23"/>
        </w:trPr>
        <w:tc>
          <w:tcPr>
            <w:tcW w:w="41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9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(34,360)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(28,886)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CFF0FC"/>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w:t>
            </w:r>
          </w:p>
        </w:tc>
      </w:tr>
      <w:tr>
        <w:trPr>
          <w:trHeight w:val="20"/>
        </w:trPr>
        <w:tc>
          <w:tcPr>
            <w:tcW w:w="4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60" w:firstLine="518"/>
        <w:spacing w:after="0" w:line="302" w:lineRule="auto"/>
        <w:rPr>
          <w:sz w:val="20"/>
          <w:szCs w:val="20"/>
          <w:color w:val="auto"/>
        </w:rPr>
      </w:pPr>
      <w:r>
        <w:rPr>
          <w:rFonts w:ascii="Arial" w:cs="Arial" w:eastAsia="Arial" w:hAnsi="Arial"/>
          <w:sz w:val="16"/>
          <w:szCs w:val="16"/>
          <w:b w:val="1"/>
          <w:bCs w:val="1"/>
          <w:i w:val="1"/>
          <w:iCs w:val="1"/>
          <w:color w:val="auto"/>
        </w:rPr>
        <w:t xml:space="preserve">Research and development. </w:t>
      </w:r>
      <w:r>
        <w:rPr>
          <w:rFonts w:ascii="Arial" w:cs="Arial" w:eastAsia="Arial" w:hAnsi="Arial"/>
          <w:sz w:val="16"/>
          <w:szCs w:val="16"/>
          <w:color w:val="auto"/>
        </w:rPr>
        <w:t>Research and development expense for the nine months ended September 30, 2016, was $24.4 million compared to $18.8</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nine months ended September 30, 2015, an increase of $5.6 million, or 30%. The increase was primarily attributable to an increase in costs associated with the CRLX101 program. The following table summarizes our research and development expense by program for the nine months ended September 30, 2016 and 2015, together with the change in spending by program in dollars and as a percentage (in thousands, except percentages):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71"/>
        </w:trPr>
        <w:tc>
          <w:tcPr>
            <w:tcW w:w="6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00" w:type="dxa"/>
            <w:vAlign w:val="bottom"/>
            <w:gridSpan w:val="5"/>
          </w:tcPr>
          <w:p>
            <w:pPr>
              <w:ind w:left="60"/>
              <w:spacing w:after="0"/>
              <w:rPr>
                <w:sz w:val="20"/>
                <w:szCs w:val="20"/>
                <w:color w:val="auto"/>
              </w:rPr>
            </w:pPr>
            <w:r>
              <w:rPr>
                <w:rFonts w:ascii="Arial" w:cs="Arial" w:eastAsia="Arial" w:hAnsi="Arial"/>
                <w:sz w:val="14"/>
                <w:szCs w:val="14"/>
                <w:b w:val="1"/>
                <w:bCs w:val="1"/>
                <w:color w:val="auto"/>
              </w:rPr>
              <w:t>Nine Months Ended September 30,</w:t>
            </w:r>
          </w:p>
        </w:tc>
        <w:tc>
          <w:tcPr>
            <w:tcW w:w="240" w:type="dxa"/>
            <w:vAlign w:val="bottom"/>
          </w:tcPr>
          <w:p>
            <w:pPr>
              <w:spacing w:after="0"/>
              <w:rPr>
                <w:sz w:val="14"/>
                <w:szCs w:val="1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Change</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56"/>
        </w:trPr>
        <w:tc>
          <w:tcPr>
            <w:tcW w:w="612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75"/>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Dollar</w:t>
            </w:r>
          </w:p>
        </w:tc>
        <w:tc>
          <w:tcPr>
            <w:tcW w:w="240" w:type="dxa"/>
            <w:vAlign w:val="bottom"/>
            <w:tcBorders>
              <w:top w:val="single" w:sz="8" w:color="auto"/>
              <w:bottom w:val="single" w:sz="8" w:color="CFF0FC"/>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FF0FC"/>
            </w:tcBorders>
          </w:tcPr>
          <w:p>
            <w:pPr>
              <w:spacing w:after="0"/>
              <w:rPr>
                <w:sz w:val="13"/>
                <w:szCs w:val="13"/>
                <w:color w:val="auto"/>
              </w:rPr>
            </w:pPr>
          </w:p>
        </w:tc>
      </w:tr>
      <w:tr>
        <w:trPr>
          <w:trHeight w:val="223"/>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CRLX101</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17,423</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13,486</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3,937</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29%</w:t>
            </w:r>
          </w:p>
        </w:tc>
      </w:t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CRLX301</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4,196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2,790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1,406</w:t>
            </w:r>
          </w:p>
        </w:tc>
        <w:tc>
          <w:tcPr>
            <w:tcW w:w="24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50%</w:t>
            </w:r>
          </w:p>
        </w:tc>
      </w:tr>
      <w:tr>
        <w:trPr>
          <w:trHeight w:val="230"/>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Dynamic Tumor Targeting Platform</w:t>
            </w: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1,879</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w:t>
            </w:r>
          </w:p>
        </w:tc>
      </w:t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Overhead</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(132)</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r>
      <w:tr>
        <w:trPr>
          <w:trHeight w:val="223"/>
        </w:trPr>
        <w:tc>
          <w:tcPr>
            <w:tcW w:w="6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and development expense</w:t>
            </w: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24,381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18,791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5,590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CFF0FC"/>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30%</w:t>
            </w:r>
          </w:p>
        </w:tc>
      </w:tr>
      <w:tr>
        <w:trPr>
          <w:trHeight w:val="20"/>
        </w:trPr>
        <w:tc>
          <w:tcPr>
            <w:tcW w:w="6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518"/>
        <w:spacing w:after="0" w:line="255" w:lineRule="auto"/>
        <w:rPr>
          <w:sz w:val="20"/>
          <w:szCs w:val="20"/>
          <w:color w:val="auto"/>
        </w:rPr>
      </w:pPr>
      <w:r>
        <w:rPr>
          <w:rFonts w:ascii="Arial" w:cs="Arial" w:eastAsia="Arial" w:hAnsi="Arial"/>
          <w:sz w:val="18"/>
          <w:szCs w:val="18"/>
          <w:color w:val="auto"/>
        </w:rPr>
        <w:t>For the nine months ended September 30, 2016, CRLX101 program expenses increased by $3.9 million, or 29%, to $17.4 million compared to $13.5 million for the nine months ended September 30, 2015. The increase in CRLX101 program expenses was primarily attributable to CMC, for which costs increased $3.0 million, reflecting increased production and activity to support current and future clinical development of CRLX101. Salary and benefits expenses also increased $0.8 million, reflecting increased headcount to support the CRLX101 program and the CRLX101 clinical trials. These increases were partially offset by a decrease of $0.3 million in clinical trial expenses, reflecting a decrease in CRO fees, investigator fees and costs associated with clinical sites and laboratories.</w:t>
      </w:r>
    </w:p>
    <w:p>
      <w:pPr>
        <w:spacing w:after="0" w:line="193"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For the nine months ended September 30, 2016, CRLX301 program expenses increased $1.4 million, or 50%, to $4.2 million compared to $2.8 million for the nine months ended September 30, 2015. The increase in CRLX301 program expense was attributable to an increase of $0.6 million in salary and benefits expenses reflecting increased headcount to support the CRLX301 program and the CRLX301 clinical trials, an increase of $0.5 million in clinical trial expenses, consisting primarily of increases in CRO and laboratory costs, and an increase of $0.3 million in CMC costs to support current and future clinical development of CRLX301.</w:t>
      </w:r>
    </w:p>
    <w:p>
      <w:pPr>
        <w:spacing w:after="0" w:line="188" w:lineRule="exact"/>
        <w:rPr>
          <w:sz w:val="20"/>
          <w:szCs w:val="20"/>
          <w:color w:val="auto"/>
        </w:rPr>
      </w:pPr>
    </w:p>
    <w:p>
      <w:pPr>
        <w:ind w:right="220" w:firstLine="518"/>
        <w:spacing w:after="0" w:line="257" w:lineRule="auto"/>
        <w:rPr>
          <w:sz w:val="20"/>
          <w:szCs w:val="20"/>
          <w:color w:val="auto"/>
        </w:rPr>
      </w:pPr>
      <w:r>
        <w:rPr>
          <w:rFonts w:ascii="Arial" w:cs="Arial" w:eastAsia="Arial" w:hAnsi="Arial"/>
          <w:sz w:val="18"/>
          <w:szCs w:val="18"/>
          <w:color w:val="auto"/>
        </w:rPr>
        <w:t>Expenses associated with our Dynamic Tumor Targeting Platform were $1.9 million for the nine months ended September 30, 2016, an increase of $0.4 million, or 25%, compared to $1.5 million for the nine months ended September 30, 2015. The increase was primarily due to increased salary and benefits expenses combined with increases in consulting and external lab costs. Overhead costs decreased $0.1 million, or 13%, to $0.9 million for the nine months ended September 30, 2016 compared to $1.0 million for the nine months ended September 30, 2015. The decrease was primarily attributable to a decrease in facility costs.</w:t>
      </w:r>
    </w:p>
    <w:p>
      <w:pPr>
        <w:spacing w:after="0" w:line="188"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b w:val="1"/>
          <w:bCs w:val="1"/>
          <w:i w:val="1"/>
          <w:iCs w:val="1"/>
          <w:color w:val="auto"/>
        </w:rPr>
        <w:t xml:space="preserve">General and administrative. </w:t>
      </w:r>
      <w:r>
        <w:rPr>
          <w:rFonts w:ascii="Arial" w:cs="Arial" w:eastAsia="Arial" w:hAnsi="Arial"/>
          <w:sz w:val="18"/>
          <w:szCs w:val="18"/>
          <w:color w:val="auto"/>
        </w:rPr>
        <w:t>General and administrative expense for the nine months ended September 30, 2016, was $8.3 million compared to $8.4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nine months ended September 30, 2015, a decrease of $0.1 million, or 1%. The decrease in general and administrative costs was primarily due to reduced headcount and cost control measures taken in the third quarter. For the nine months ended September 30, 2016 other general and administrative costs remained relatively unchanged compared to the same period last year.</w:t>
      </w:r>
    </w:p>
    <w:p>
      <w:pPr>
        <w:spacing w:after="0" w:line="187"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b w:val="1"/>
          <w:bCs w:val="1"/>
          <w:i w:val="1"/>
          <w:iCs w:val="1"/>
          <w:color w:val="auto"/>
        </w:rPr>
        <w:t xml:space="preserve">Other expense, net. </w:t>
      </w:r>
      <w:r>
        <w:rPr>
          <w:rFonts w:ascii="Arial" w:cs="Arial" w:eastAsia="Arial" w:hAnsi="Arial"/>
          <w:sz w:val="16"/>
          <w:szCs w:val="16"/>
          <w:color w:val="auto"/>
        </w:rPr>
        <w:t>Other expense, net, was $1.7 million for each of the nine months ended September 30, 2016 and 2015. For the nine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30, 2016 and 2015, other expense, net, was primarily interest expense associated with the Hercules Loan Agreement, including $0.4 million in each period for the amortization of debt discount and deferred financing costs. For the nine months ended September 30, 2015, interest expense included $0.2 million for the write off of debt discount and deferred financing costs associated with the repayment of the Lighthouse Loan Agreement.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From our incorporation through September 30, 2016, we raised an aggregate of $230.6 million to fund our operations, of which $84.2 million was from the sale of preferred stock in private placements, $59.9 million was from the IPO, $37.2 million was from the Secondary Offering, $17.3 million was from the sale of convertible promissory notes, $31.0 million was from borrowings under loan and security agreements and $1.0 million was from the private placement of our common stock to Hercules. As of September 30, 2016, we had cash and cash equivalents of approximately $38.1 million. In October 2016 we entered into the $20 million firm commitment at-the-market equity facility with Aspire. Upon entering into the ATM, Aspire made and initial $1.0 million investment. $19.0 million remains available under the facility, upon the terms and subject to the conditions and limitations set forth therein. Also in October 2016, we entered into the Collaboration Agreement with Novartis, pursuant to which Novartis paid us $5.0 million upfront and is obligated to fund up to five of our full-time employees engaged in activities under the collaboration during the research term.</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225"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On January 8, 2015, we entered into the Hercules Loan Agreement and borrowed $15.0 million from Hercules. We used a portion of those proceeds to repay our outstanding indebtedness under the Lighthouse Loan Agreement.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9" w:name="page20"/>
    <w:bookmarkEnd w:id="19"/>
    <w:p>
      <w:pPr>
        <w:ind w:right="100" w:firstLine="518"/>
        <w:spacing w:after="0" w:line="302" w:lineRule="auto"/>
        <w:rPr>
          <w:sz w:val="20"/>
          <w:szCs w:val="20"/>
          <w:color w:val="auto"/>
        </w:rPr>
      </w:pPr>
      <w:r>
        <w:rPr>
          <w:rFonts w:ascii="Arial" w:cs="Arial" w:eastAsia="Arial" w:hAnsi="Arial"/>
          <w:sz w:val="16"/>
          <w:szCs w:val="16"/>
          <w:color w:val="auto"/>
        </w:rPr>
        <w:t>The Hercules Loan Agreement provided for up to three separate tranches of borrowings, the first of which was funded in the amount of $15.0 million on January 8, 2015. On November 24, 2015, we drew a second tranche in the amount of $6.0 million. We elected not to commence a randomized Phase 2 clinical trial of CRLX101 in combination with chemoradiotherapy on or prior to December 15, 2015, which was a condition of obtaining an additional tranche in an amount of up to $5.0 million. As a result, we are no longer eligible to borrow this amount under the Hercules Loan Agreement.</w:t>
      </w:r>
    </w:p>
    <w:p>
      <w:pPr>
        <w:spacing w:after="0" w:line="154"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Our indebtedness under the Hercules Loan Agreement will mature on July 1, 2018. Each advance under the Hercules Loan Agreement accrues interest at a floating per annum rate equal to the greater of (i) 7.30% or (ii) the sum of 7.30% plus the prime rate minus 5.75%. The Hercules Loan Agreement provided for interest-only payments on a monthly basis until December 31, 2015. Thereafter, payments are payable monthly in equal installments of principal and interest to fully amortize the outstanding principal over the remaining term of the loan, subject to recalculation upon a change in the prime rate. We may prepay the indebtedness under the Hercules Loan Agreement in whole or in part upon seven business days’ prior written notice to Hercules. Any such prepayment is subject to a prepayment charge of 2.0% if such prepayment occurs after January 8, 2016, but on or before January 8, 2017, or 1.0% if such prepayment occurs after January 8, 2017. Amounts outstanding during an event of default are payable upon Hercules’ demand and shall accrue interest at an additional rate of 5.0% per annum of the past due amount outstanding. At the end of the loan term (whether at maturity, by prepayment in full or otherwise), we shall pay a final end of term charge to Hercules in the amount of 6.7% of the aggregate original principal amount advanced by Hercules.</w:t>
      </w:r>
    </w:p>
    <w:p>
      <w:pPr>
        <w:spacing w:after="0" w:line="16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Hercules Loan Agreement is secured by substantially all of our assets other than our intellectual property. We have also granted Hercules a negative pledge with respect to our intellectual property, which, among other things, restricts our ability to sell, transfer, assign, mortgage, pledge, lease, grant a security interest in or otherwise encumber our intellectual property, subject to certain exceptions. The Hercules Loan Agreement includes restrictive covenants that may restrict our ability to obtain further debt or equity financing.</w:t>
      </w:r>
    </w:p>
    <w:p>
      <w:pPr>
        <w:spacing w:after="0" w:line="187" w:lineRule="exact"/>
        <w:rPr>
          <w:sz w:val="20"/>
          <w:szCs w:val="20"/>
          <w:color w:val="auto"/>
        </w:rPr>
      </w:pPr>
    </w:p>
    <w:p>
      <w:pPr>
        <w:ind w:right="320" w:firstLine="518"/>
        <w:spacing w:after="0" w:line="279" w:lineRule="auto"/>
        <w:rPr>
          <w:sz w:val="20"/>
          <w:szCs w:val="20"/>
          <w:color w:val="auto"/>
        </w:rPr>
      </w:pPr>
      <w:r>
        <w:rPr>
          <w:rFonts w:ascii="Arial" w:cs="Arial" w:eastAsia="Arial" w:hAnsi="Arial"/>
          <w:sz w:val="17"/>
          <w:szCs w:val="17"/>
          <w:i w:val="1"/>
          <w:iCs w:val="1"/>
          <w:color w:val="auto"/>
        </w:rPr>
        <w:t xml:space="preserve">Lighthouse Loan Agreement. </w:t>
      </w:r>
      <w:r>
        <w:rPr>
          <w:rFonts w:ascii="Arial" w:cs="Arial" w:eastAsia="Arial" w:hAnsi="Arial"/>
          <w:sz w:val="17"/>
          <w:szCs w:val="17"/>
          <w:color w:val="auto"/>
        </w:rPr>
        <w:t>In 2011, we entered into the Lighthouse Loan Agreement which permitted us to borrow up to an aggregate principal</w:t>
      </w:r>
      <w:r>
        <w:rPr>
          <w:rFonts w:ascii="Arial" w:cs="Arial" w:eastAsia="Arial" w:hAnsi="Arial"/>
          <w:sz w:val="17"/>
          <w:szCs w:val="17"/>
          <w:i w:val="1"/>
          <w:iCs w:val="1"/>
          <w:color w:val="auto"/>
        </w:rPr>
        <w:t xml:space="preserve"> </w:t>
      </w:r>
      <w:r>
        <w:rPr>
          <w:rFonts w:ascii="Arial" w:cs="Arial" w:eastAsia="Arial" w:hAnsi="Arial"/>
          <w:sz w:val="17"/>
          <w:szCs w:val="17"/>
          <w:color w:val="auto"/>
        </w:rPr>
        <w:t>amount of $10.0 million. We borrowed $5.0 million in March 2012 and an additional $5.0 million in August 2012. Interest accrued under the Lighthouse Loan Agreement at an annual rate of 8.25%. We repaid in full our outstanding indebtedness under the Lighthouse Loan Agreement and terminated the agreement on January 8, 2015. There were no prepayment charges associated with the early repayment of the loan.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of Operations and Future Funding Requirements</w:t>
      </w:r>
    </w:p>
    <w:p>
      <w:pPr>
        <w:spacing w:after="0" w:line="225" w:lineRule="exact"/>
        <w:rPr>
          <w:sz w:val="20"/>
          <w:szCs w:val="20"/>
          <w:color w:val="auto"/>
        </w:rPr>
      </w:pPr>
    </w:p>
    <w:p>
      <w:pPr>
        <w:jc w:val="both"/>
        <w:ind w:right="280" w:firstLine="518"/>
        <w:spacing w:after="0" w:line="264" w:lineRule="auto"/>
        <w:rPr>
          <w:sz w:val="20"/>
          <w:szCs w:val="20"/>
          <w:color w:val="auto"/>
        </w:rPr>
      </w:pPr>
      <w:r>
        <w:rPr>
          <w:rFonts w:ascii="Arial" w:cs="Arial" w:eastAsia="Arial" w:hAnsi="Arial"/>
          <w:sz w:val="18"/>
          <w:szCs w:val="18"/>
          <w:color w:val="auto"/>
        </w:rPr>
        <w:t>Our primary uses of capital are, and we expect will continue to be, compensation and related expenses, clinical trial costs, contract manufacturing services, third-party clinical research and development services, laboratory and related supplies, legal and other regulatory expenses and general overhead costs, as well as debt service requirements.</w:t>
      </w:r>
    </w:p>
    <w:p>
      <w:pPr>
        <w:spacing w:after="0" w:line="181"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Following a reduction in force initiated in August 2016, we believe our cash and cash equivalents of approximately $38.1 million at September 30, 2016, together with the $1.0 million in proceeds from the initial sale of common stock to Aspire in October 2016, and the $5.0 million upfront payment under our collaboration agreement with Novartis received in October 2016 are sufficient to fund our planned operations for at least twelve months following the date of this report. We will need to raise additional capital to continue to fund our long-term operations. Should our operating plan change further, or prove to be inaccurate, then we will be required to reassess our operating capital needs. However, there can be no assurance that we will have the cash resources to fund our operating plan or that additional funding will be available on terms acceptable to us, or at all.</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4" w:lineRule="exact"/>
        <w:rPr>
          <w:sz w:val="20"/>
          <w:szCs w:val="20"/>
          <w:color w:val="auto"/>
        </w:rPr>
      </w:pPr>
    </w:p>
    <w:p>
      <w:pPr>
        <w:ind w:left="900" w:hanging="379"/>
        <w:spacing w:after="0"/>
        <w:tabs>
          <w:tab w:leader="none" w:pos="900" w:val="left"/>
        </w:tabs>
        <w:numPr>
          <w:ilvl w:val="0"/>
          <w:numId w:val="14"/>
        </w:numPr>
        <w:rPr>
          <w:rFonts w:ascii="Arial" w:cs="Arial" w:eastAsia="Arial" w:hAnsi="Arial"/>
          <w:sz w:val="29"/>
          <w:szCs w:val="29"/>
          <w:color w:val="auto"/>
          <w:vertAlign w:val="superscript"/>
        </w:rPr>
      </w:pPr>
      <w:r>
        <w:rPr>
          <w:rFonts w:ascii="Arial" w:cs="Arial" w:eastAsia="Arial" w:hAnsi="Arial"/>
          <w:sz w:val="18"/>
          <w:szCs w:val="18"/>
          <w:color w:val="auto"/>
        </w:rPr>
        <w:t>the number and development requirements of the NDCs we or our partners pursue;</w:t>
      </w:r>
    </w:p>
    <w:p>
      <w:pPr>
        <w:spacing w:after="0" w:line="109" w:lineRule="exact"/>
        <w:rPr>
          <w:rFonts w:ascii="Arial" w:cs="Arial" w:eastAsia="Arial" w:hAnsi="Arial"/>
          <w:sz w:val="29"/>
          <w:szCs w:val="29"/>
          <w:color w:val="auto"/>
          <w:vertAlign w:val="superscript"/>
        </w:rPr>
      </w:pPr>
    </w:p>
    <w:p>
      <w:pPr>
        <w:ind w:left="900" w:hanging="379"/>
        <w:spacing w:after="0" w:line="186" w:lineRule="auto"/>
        <w:tabs>
          <w:tab w:leader="none" w:pos="900" w:val="left"/>
        </w:tabs>
        <w:numPr>
          <w:ilvl w:val="0"/>
          <w:numId w:val="14"/>
        </w:numPr>
        <w:rPr>
          <w:rFonts w:ascii="Arial" w:cs="Arial" w:eastAsia="Arial" w:hAnsi="Arial"/>
          <w:sz w:val="24"/>
          <w:szCs w:val="24"/>
          <w:color w:val="auto"/>
          <w:vertAlign w:val="superscript"/>
        </w:rPr>
      </w:pPr>
      <w:r>
        <w:rPr>
          <w:rFonts w:ascii="Arial" w:cs="Arial" w:eastAsia="Arial" w:hAnsi="Arial"/>
          <w:sz w:val="15"/>
          <w:szCs w:val="15"/>
          <w:color w:val="auto"/>
        </w:rPr>
        <w:t>the scope, progress, timing, results and costs of researching and developing NDCs, and conducting preclinical studies and clinical trials;</w:t>
      </w:r>
    </w:p>
    <w:p>
      <w:pPr>
        <w:spacing w:after="0" w:line="110" w:lineRule="exact"/>
        <w:rPr>
          <w:rFonts w:ascii="Arial" w:cs="Arial" w:eastAsia="Arial" w:hAnsi="Arial"/>
          <w:sz w:val="24"/>
          <w:szCs w:val="24"/>
          <w:color w:val="auto"/>
          <w:vertAlign w:val="superscript"/>
        </w:rPr>
      </w:pPr>
    </w:p>
    <w:p>
      <w:pPr>
        <w:ind w:left="900" w:hanging="379"/>
        <w:spacing w:after="0" w:line="186" w:lineRule="auto"/>
        <w:tabs>
          <w:tab w:leader="none" w:pos="900" w:val="left"/>
        </w:tabs>
        <w:numPr>
          <w:ilvl w:val="0"/>
          <w:numId w:val="14"/>
        </w:numPr>
        <w:rPr>
          <w:rFonts w:ascii="Arial" w:cs="Arial" w:eastAsia="Arial" w:hAnsi="Arial"/>
          <w:sz w:val="24"/>
          <w:szCs w:val="24"/>
          <w:color w:val="auto"/>
          <w:vertAlign w:val="superscript"/>
        </w:rPr>
      </w:pPr>
      <w:r>
        <w:rPr>
          <w:rFonts w:ascii="Arial" w:cs="Arial" w:eastAsia="Arial" w:hAnsi="Arial"/>
          <w:sz w:val="15"/>
          <w:szCs w:val="15"/>
          <w:color w:val="auto"/>
        </w:rPr>
        <w:t>the costs, timing and outcome of regulatory review of NDCs in the United States and abroad;</w:t>
      </w:r>
    </w:p>
    <w:p>
      <w:pPr>
        <w:spacing w:after="0" w:line="110" w:lineRule="exact"/>
        <w:rPr>
          <w:rFonts w:ascii="Arial" w:cs="Arial" w:eastAsia="Arial" w:hAnsi="Arial"/>
          <w:sz w:val="24"/>
          <w:szCs w:val="24"/>
          <w:color w:val="auto"/>
          <w:vertAlign w:val="superscript"/>
        </w:rPr>
      </w:pPr>
    </w:p>
    <w:p>
      <w:pPr>
        <w:ind w:left="900" w:right="180" w:hanging="379"/>
        <w:spacing w:after="0" w:line="191" w:lineRule="auto"/>
        <w:tabs>
          <w:tab w:leader="none" w:pos="900" w:val="left"/>
        </w:tabs>
        <w:numPr>
          <w:ilvl w:val="0"/>
          <w:numId w:val="14"/>
        </w:numPr>
        <w:rPr>
          <w:rFonts w:ascii="Arial" w:cs="Arial" w:eastAsia="Arial" w:hAnsi="Arial"/>
          <w:sz w:val="29"/>
          <w:szCs w:val="29"/>
          <w:color w:val="auto"/>
          <w:vertAlign w:val="superscript"/>
        </w:rPr>
      </w:pPr>
      <w:r>
        <w:rPr>
          <w:rFonts w:ascii="Arial" w:cs="Arial" w:eastAsia="Arial" w:hAnsi="Arial"/>
          <w:sz w:val="18"/>
          <w:szCs w:val="18"/>
          <w:color w:val="auto"/>
        </w:rPr>
        <w:t>the cost and timing of future commercialization activities, including product manufacturing, marketing, sales and distribution, for any NDC for which we or our partners receive marketing approval;</w:t>
      </w:r>
    </w:p>
    <w:p>
      <w:pPr>
        <w:ind w:left="900" w:hanging="379"/>
        <w:spacing w:after="0" w:line="233" w:lineRule="auto"/>
        <w:tabs>
          <w:tab w:leader="none" w:pos="900" w:val="left"/>
        </w:tabs>
        <w:numPr>
          <w:ilvl w:val="0"/>
          <w:numId w:val="14"/>
        </w:numPr>
        <w:rPr>
          <w:rFonts w:ascii="Arial" w:cs="Arial" w:eastAsia="Arial" w:hAnsi="Arial"/>
          <w:sz w:val="29"/>
          <w:szCs w:val="29"/>
          <w:color w:val="auto"/>
          <w:vertAlign w:val="superscript"/>
        </w:rPr>
      </w:pPr>
      <w:r>
        <w:rPr>
          <w:rFonts w:ascii="Arial" w:cs="Arial" w:eastAsia="Arial" w:hAnsi="Arial"/>
          <w:sz w:val="18"/>
          <w:szCs w:val="18"/>
          <w:color w:val="auto"/>
        </w:rPr>
        <w:t>the revenue, if any, received from commercial sales of any NDCs for which we or our partners receive marketing approval;</w:t>
      </w:r>
    </w:p>
    <w:p>
      <w:pPr>
        <w:spacing w:after="0" w:line="110" w:lineRule="exact"/>
        <w:rPr>
          <w:rFonts w:ascii="Arial" w:cs="Arial" w:eastAsia="Arial" w:hAnsi="Arial"/>
          <w:sz w:val="29"/>
          <w:szCs w:val="29"/>
          <w:color w:val="auto"/>
          <w:vertAlign w:val="superscript"/>
        </w:rPr>
      </w:pPr>
    </w:p>
    <w:p>
      <w:pPr>
        <w:ind w:left="900" w:hanging="379"/>
        <w:spacing w:after="0" w:line="186" w:lineRule="auto"/>
        <w:tabs>
          <w:tab w:leader="none" w:pos="900" w:val="left"/>
        </w:tabs>
        <w:numPr>
          <w:ilvl w:val="0"/>
          <w:numId w:val="14"/>
        </w:numPr>
        <w:rPr>
          <w:rFonts w:ascii="Arial" w:cs="Arial" w:eastAsia="Arial" w:hAnsi="Arial"/>
          <w:sz w:val="24"/>
          <w:szCs w:val="24"/>
          <w:color w:val="auto"/>
          <w:vertAlign w:val="superscript"/>
        </w:rPr>
      </w:pPr>
      <w:r>
        <w:rPr>
          <w:rFonts w:ascii="Arial" w:cs="Arial" w:eastAsia="Arial" w:hAnsi="Arial"/>
          <w:sz w:val="15"/>
          <w:szCs w:val="15"/>
          <w:color w:val="auto"/>
        </w:rPr>
        <w:t>our ability to establish and maintain strategic partnerships, licensing or other arrangements and the financial terms of such agreements;</w:t>
      </w:r>
    </w:p>
    <w:p>
      <w:pPr>
        <w:spacing w:after="0" w:line="110" w:lineRule="exact"/>
        <w:rPr>
          <w:rFonts w:ascii="Arial" w:cs="Arial" w:eastAsia="Arial" w:hAnsi="Arial"/>
          <w:sz w:val="24"/>
          <w:szCs w:val="24"/>
          <w:color w:val="auto"/>
          <w:vertAlign w:val="superscript"/>
        </w:rPr>
      </w:pPr>
    </w:p>
    <w:p>
      <w:pPr>
        <w:ind w:left="900" w:hanging="379"/>
        <w:spacing w:after="0" w:line="186" w:lineRule="auto"/>
        <w:tabs>
          <w:tab w:leader="none" w:pos="900" w:val="left"/>
        </w:tabs>
        <w:numPr>
          <w:ilvl w:val="0"/>
          <w:numId w:val="14"/>
        </w:numPr>
        <w:rPr>
          <w:rFonts w:ascii="Arial" w:cs="Arial" w:eastAsia="Arial" w:hAnsi="Arial"/>
          <w:sz w:val="24"/>
          <w:szCs w:val="24"/>
          <w:color w:val="auto"/>
          <w:vertAlign w:val="superscript"/>
        </w:rPr>
      </w:pPr>
      <w:r>
        <w:rPr>
          <w:rFonts w:ascii="Arial" w:cs="Arial" w:eastAsia="Arial" w:hAnsi="Arial"/>
          <w:sz w:val="15"/>
          <w:szCs w:val="15"/>
          <w:color w:val="auto"/>
        </w:rPr>
        <w:t>the scope, costs and timing of the manufacture, supply and distribution of NDCs for preclinical studies and clinical trials;</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0" w:name="page21"/>
    <w:bookmarkEnd w:id="20"/>
    <w:p>
      <w:pPr>
        <w:ind w:left="900" w:right="420" w:hanging="379"/>
        <w:spacing w:after="0" w:line="198" w:lineRule="auto"/>
        <w:tabs>
          <w:tab w:leader="none" w:pos="900"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the costs and timing of preparing, filing and prosecuting patent applications and maintaining, enforcing and defending intellectual property - related claims;</w:t>
      </w:r>
    </w:p>
    <w:p>
      <w:pPr>
        <w:ind w:left="900" w:hanging="379"/>
        <w:spacing w:after="0" w:line="233" w:lineRule="auto"/>
        <w:tabs>
          <w:tab w:leader="none" w:pos="900"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the extent to which we acquire or in-license other medicines and technology;</w:t>
      </w:r>
    </w:p>
    <w:p>
      <w:pPr>
        <w:spacing w:after="0" w:line="110" w:lineRule="exact"/>
        <w:rPr>
          <w:rFonts w:ascii="Arial" w:cs="Arial" w:eastAsia="Arial" w:hAnsi="Arial"/>
          <w:sz w:val="29"/>
          <w:szCs w:val="29"/>
          <w:color w:val="auto"/>
          <w:vertAlign w:val="superscript"/>
        </w:rPr>
      </w:pPr>
    </w:p>
    <w:p>
      <w:pPr>
        <w:ind w:left="900" w:hanging="379"/>
        <w:spacing w:after="0" w:line="186" w:lineRule="auto"/>
        <w:tabs>
          <w:tab w:leader="none" w:pos="900" w:val="left"/>
        </w:tabs>
        <w:numPr>
          <w:ilvl w:val="0"/>
          <w:numId w:val="15"/>
        </w:numPr>
        <w:rPr>
          <w:rFonts w:ascii="Arial" w:cs="Arial" w:eastAsia="Arial" w:hAnsi="Arial"/>
          <w:sz w:val="24"/>
          <w:szCs w:val="24"/>
          <w:color w:val="auto"/>
          <w:vertAlign w:val="superscript"/>
        </w:rPr>
      </w:pPr>
      <w:r>
        <w:rPr>
          <w:rFonts w:ascii="Arial" w:cs="Arial" w:eastAsia="Arial" w:hAnsi="Arial"/>
          <w:sz w:val="15"/>
          <w:szCs w:val="15"/>
          <w:color w:val="auto"/>
        </w:rPr>
        <w:t>our headcount growth and associated costs; and</w:t>
      </w:r>
    </w:p>
    <w:p>
      <w:pPr>
        <w:spacing w:after="0" w:line="110" w:lineRule="exact"/>
        <w:rPr>
          <w:rFonts w:ascii="Arial" w:cs="Arial" w:eastAsia="Arial" w:hAnsi="Arial"/>
          <w:sz w:val="24"/>
          <w:szCs w:val="24"/>
          <w:color w:val="auto"/>
          <w:vertAlign w:val="superscript"/>
        </w:rPr>
      </w:pPr>
    </w:p>
    <w:p>
      <w:pPr>
        <w:ind w:left="900" w:hanging="379"/>
        <w:spacing w:after="0" w:line="186" w:lineRule="auto"/>
        <w:tabs>
          <w:tab w:leader="none" w:pos="900" w:val="left"/>
        </w:tabs>
        <w:numPr>
          <w:ilvl w:val="0"/>
          <w:numId w:val="15"/>
        </w:numPr>
        <w:rPr>
          <w:rFonts w:ascii="Arial" w:cs="Arial" w:eastAsia="Arial" w:hAnsi="Arial"/>
          <w:sz w:val="24"/>
          <w:szCs w:val="24"/>
          <w:color w:val="auto"/>
          <w:vertAlign w:val="superscript"/>
        </w:rPr>
      </w:pPr>
      <w:r>
        <w:rPr>
          <w:rFonts w:ascii="Arial" w:cs="Arial" w:eastAsia="Arial" w:hAnsi="Arial"/>
          <w:sz w:val="15"/>
          <w:szCs w:val="15"/>
          <w:color w:val="auto"/>
        </w:rPr>
        <w:t>the costs of operating as a public company.</w:t>
      </w:r>
    </w:p>
    <w:p>
      <w:pPr>
        <w:spacing w:after="0" w:line="202"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Identifying potential NDCs and conducting preclinical testing and clinical trials is a time-consuming, expensive and uncertain process that takes years to complete, and we may never generate the necessary data or results required to obtain regulatory approval and achieve product sales. In addition, our NDCs, if approved, may not achieve commercial success. Until such time, if ever, as we can generate substantial product revenues, we expect to finance our cash needs through a combination of equity offerings, debt financings and revenue from collaboration arrangements. To the extent that we raise additional capital through the future sale of equity or debt, the ownership interest of our stockholders will be diluted, and the terms of these securities may include liquidation or other preferences that adversely affect the rights of our existing common stockholders. If we raise additional funds through collaboration arrangements in the future, we may have to relinquish valuable rights to our technologies, future revenue streams or drug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drug candidates that we would otherwise prefer to develop and market ourselves.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primary sources and uses of cash for each period set forth below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8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8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20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(31,661)</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830"/>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(23,705)</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(382)</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(371)</w:t>
            </w:r>
          </w:p>
        </w:tc>
      </w:tr>
      <w:tr>
        <w:trPr>
          <w:trHeight w:val="23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 financing activities</w:t>
            </w:r>
          </w:p>
        </w:tc>
        <w:tc>
          <w:tcPr>
            <w:tcW w:w="20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(5,807)</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50,533</w:t>
            </w:r>
          </w:p>
        </w:tc>
        <w:tc>
          <w:tcPr>
            <w:tcW w:w="120" w:type="dxa"/>
            <w:vAlign w:val="bottom"/>
            <w:shd w:val="clear" w:color="auto" w:fill="CFF0FC"/>
          </w:tcPr>
          <w:p>
            <w:pPr>
              <w:spacing w:after="0"/>
              <w:rPr>
                <w:sz w:val="19"/>
                <w:szCs w:val="19"/>
                <w:color w:val="auto"/>
              </w:rPr>
            </w:pPr>
          </w:p>
        </w:tc>
      </w:tr>
      <w:tr>
        <w:trPr>
          <w:trHeight w:val="223"/>
        </w:trPr>
        <w:tc>
          <w:tcPr>
            <w:tcW w:w="582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20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(37,850)</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26,457</w:t>
            </w:r>
          </w:p>
        </w:tc>
        <w:tc>
          <w:tcPr>
            <w:tcW w:w="120" w:type="dxa"/>
            <w:vAlign w:val="bottom"/>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net use of cash in each period resulted primarily from our net losses adjusted for non-cash charges and changes in components of working capital.</w:t>
      </w:r>
    </w:p>
    <w:p>
      <w:pPr>
        <w:spacing w:after="0" w:line="248" w:lineRule="exact"/>
        <w:rPr>
          <w:sz w:val="20"/>
          <w:szCs w:val="20"/>
          <w:color w:val="auto"/>
        </w:rPr>
      </w:pPr>
    </w:p>
    <w:p>
      <w:pPr>
        <w:jc w:val="both"/>
        <w:ind w:right="80" w:firstLine="518"/>
        <w:spacing w:after="0" w:line="279" w:lineRule="auto"/>
        <w:rPr>
          <w:sz w:val="20"/>
          <w:szCs w:val="20"/>
          <w:color w:val="auto"/>
        </w:rPr>
      </w:pPr>
      <w:r>
        <w:rPr>
          <w:rFonts w:ascii="Arial" w:cs="Arial" w:eastAsia="Arial" w:hAnsi="Arial"/>
          <w:sz w:val="17"/>
          <w:szCs w:val="17"/>
          <w:color w:val="auto"/>
        </w:rPr>
        <w:t>Net cash used in operating activities was $31.7 million for the nine months ended September 30, 2016, compared to $23.7 million for the nine months ended September 30, 2015, an increase of $8.0 million, or 33.6%. The increase in net cash used in operating activities resulted primarily from an increase in operating expenses of $5.5 million, an increase in cash paid for interest of $0.3 million and components of working capital of $2.8 million, partially offset by an increase in stock compensation expense of $0.4 million and an increase in deferred rent of $0.2 million.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225"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Net cash used in investing activities was $0.4 million for each of the nine months ended September 30, 2016 and 2015. For the nine months ended September 30, 2016, cash used in investing activities included $0.5 million for purchases of property and equipment, primarily lab equipment, partially offset by a $0.1 million decrease in restricted cash used to collateralize a stand-by letter of credit issued as a security deposit on our former facility lease. Cash used in investing activities for the nine months ended September 30, 2015, included $0.2 million for purchases of property and equipment and a $0.2 million increase in restricted cash used to collateralize a stand-by letter of credit issued as a security deposit on our new facility lease.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(Provided by) Financing Activities</w:t>
      </w:r>
    </w:p>
    <w:p>
      <w:pPr>
        <w:spacing w:after="0" w:line="225"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Net cash used in financing activities was $5.8 million for the nine months ended September 30, 2016, compared to net cash provided by financing activities of $50.5 million for the nine months ended September 30, 2015. Net cash used in financing activities for the nine months ended September 30, 2016 was due to the principal payments of $5.9 million under the Hercules Loan Agreement. Net cash provided by financing activities for the nine months ended September 30, 2015, was primarily due to net proceeds of $37.2 million from our Secondary Offering, proceeds of $15.0 million from our initial borrowing under the Hercules Loan Agreement, proceeds of $1.0 million from the sale of our common stock in a private placement to Hercules and proceeds of $1.5 million from the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spacing w:after="0" w:line="277" w:lineRule="auto"/>
        <w:rPr>
          <w:sz w:val="20"/>
          <w:szCs w:val="20"/>
          <w:color w:val="auto"/>
        </w:rPr>
      </w:pPr>
      <w:r>
        <w:rPr>
          <w:rFonts w:ascii="Arial" w:cs="Arial" w:eastAsia="Arial" w:hAnsi="Arial"/>
          <w:sz w:val="18"/>
          <w:szCs w:val="18"/>
          <w:color w:val="auto"/>
        </w:rPr>
        <w:t>exercise of stock options. Net cash provided by financing activities for the nine months ended September 30, 2015, was reduced by $3.9 million paid to repay in full the Lighthouse Loan Agreement and cash paid for debt issuance costs of $0.4 million.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Contingent Liabilities</w:t>
      </w:r>
    </w:p>
    <w:p>
      <w:pPr>
        <w:spacing w:after="0" w:line="229"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As of September 30, 2016, there were no material changes, outside of the ordinary course of business, in our outstanding contractual obligations from those disclosed in our Annual Report on Form 10-K for the fiscal year ended December 31,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did not have during the periods presented, and we do not currently have, any off-balance sheet arrangements, as defined under applicable SEC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rules.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right="240" w:firstLine="518"/>
        <w:spacing w:after="0" w:line="259" w:lineRule="auto"/>
        <w:rPr>
          <w:sz w:val="20"/>
          <w:szCs w:val="20"/>
          <w:color w:val="auto"/>
        </w:rPr>
      </w:pPr>
      <w:r>
        <w:rPr>
          <w:rFonts w:ascii="Arial" w:cs="Arial" w:eastAsia="Arial" w:hAnsi="Arial"/>
          <w:sz w:val="18"/>
          <w:szCs w:val="18"/>
          <w:color w:val="auto"/>
        </w:rPr>
        <w:t>In August 2016, the Financial Accounting Standards Board, or the FASB, issued Accounting Standards Update 2016-15, “Statement of Cash Flows (Topic 230)”, or ASU 2016-15. ASU 2016-15 makes cash payments for debt prepayment or debt extinguishment costs to be classified as cash outflows for financing activities. The standard is effective for financial statements issued for fiscal years beginning after December 15, 2017, and interim periods within those fiscal years. We are evaluating the impact of the new guidance.</w:t>
      </w:r>
    </w:p>
    <w:p>
      <w:pPr>
        <w:spacing w:after="0" w:line="187"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In March 2016, the FASB issued Accounting Standards Update 2016-09, “Compensation – Stock Compensation (Topic 718)” or, ASU 2016-09. ASU 2016-09 is intended to simplify various aspects of how share-based payments are accounted for and presented in financial statements. The standard is effective prospectively for fiscal years, and interim periods within those fiscal years, beginning after December 15, 2016, with early adoption permitted. We are currently evaluating the effect this standard will have on our consolidated financial statements and related disclosures.</w:t>
      </w:r>
    </w:p>
    <w:p>
      <w:pPr>
        <w:spacing w:after="0" w:line="171"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In February 2016, the FASB issued Accounting Standards Update 2016-02, “Leases (Topic 842)” or, ASU 2016-02, which provides new accounting guidance on leases. ASU 2016-02 requires lessees to recognize leases on their balance sheets, and leaves lessor accounting largely unchanged. The amendments in ASU 2016-02 are effective for fiscal years beginning after December 15, 2018 and interim periods within those fiscal years. Early application is permitted for all entities. ASU 2016-02 requires a modified retrospective approach for all leases existing at, or entered into after, the date of initial application, with an option to elect to use certain transition relief. We are currently evaluating the effect this standard will have on our consolidated financial statements and related disclosures.</w:t>
      </w:r>
    </w:p>
    <w:p>
      <w:pPr>
        <w:spacing w:after="0" w:line="193" w:lineRule="exact"/>
        <w:rPr>
          <w:sz w:val="20"/>
          <w:szCs w:val="20"/>
          <w:color w:val="auto"/>
        </w:rPr>
      </w:pPr>
    </w:p>
    <w:p>
      <w:pPr>
        <w:ind w:right="180" w:firstLine="518"/>
        <w:spacing w:after="0" w:line="257" w:lineRule="auto"/>
        <w:rPr>
          <w:sz w:val="20"/>
          <w:szCs w:val="20"/>
          <w:color w:val="auto"/>
        </w:rPr>
      </w:pPr>
      <w:r>
        <w:rPr>
          <w:rFonts w:ascii="Arial" w:cs="Arial" w:eastAsia="Arial" w:hAnsi="Arial"/>
          <w:sz w:val="18"/>
          <w:szCs w:val="18"/>
          <w:color w:val="auto"/>
        </w:rPr>
        <w:t>In August 2014, the FASB issued Accounting Standards Update 2014-15, “Presentation of Financial Statements – Going Concern (Subtopic 205-40): Disclosure of Uncertainties About an Entity’s Ability to Continue as a Going Concern”, or ASU 2014-15. ASU 2014-15 requires management to evaluate, at each annual and interim reporting period, whether there are conditions or events that raise substantial doubt about the entity’s ability to continue as a going concern and provide related disclosures. ASU 2014-15 is effective for annual and interim reporting periods beginning January 1, 2017 and is not expected to have a material impact on our consolidated financial statements.</w:t>
      </w:r>
    </w:p>
    <w:p>
      <w:pPr>
        <w:spacing w:after="0" w:line="17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We are exposed to market risk related to changes in interest rates. As of September 30, 2016, we had cash and cash equivalents, including restricted cash, of approximately $38.1 million, consisting primarily of investments in money market funds and certificates of deposit. Our primary exposure to market risk is interest rate sensitivity, which is affected by changes in the general level of United States interest rates, particularly because our investments are in cash and cash equivalents. Due to the short-term duration of our investment portfolio and the low risk profile of our investments, an immediate 10% change in interest rates would not have a material effect on the fair market value of our investment portfolio. As of September 30, 2016, we were also subject to interest rate risk from our indebtedness under the Hercules Loan Agreement that accrues interest at a floating per annum rate equal to the greater of (i) 7.30% or (ii) the sum of 7.30% plus the prime rate minus 5.75%. A 10% increase in interest rates at September 30, 2016, would not have a material effect on our annual interest expense.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 w:name="page23"/>
    <w:bookmarkEnd w:id="22"/>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117"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Our management, under the supervision and with the participation of our principal executive officer and principal financial officer, has evaluated the effectiveness of our disclosure controls and procedures as of the end of the period covered by this Quarterly Report on Form 10-Q.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disclosures.</w:t>
      </w:r>
    </w:p>
    <w:p>
      <w:pPr>
        <w:spacing w:after="0" w:line="58"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Management recognizes that any disclosure controls and procedures, no matter how well designed and operated, can provide only reasonable assurance of achieving their objectives. Our disclosure controls and procedures have been designed to provide reasonable assurance of achieving their objectives. Based on such evaluation, our principal executive officer and principal financial officer concluded that our disclosure controls and procedures were effective at the reasonable assurance level as of September 30, 2016.</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40" w:firstLine="518"/>
        <w:spacing w:after="0" w:line="34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three months ended September 30, 2016,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Our business is subject to numerous risks. The following important factors, among others, could cause our actual results to differ materially from those expressed in forward-looking statements made by us or on our behalf in this Quarterly Report on Form 10-Q and other filings with the Securities and Exchange Commission, or SEC, press releases, communications with investors and oral statements. Actual future results may differ materially from those anticipated in our forward-looking statements. We undertake no obligation to update any forward-looking statements, whether as a result of new information, future events or otherwise.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29"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b w:val="1"/>
          <w:bCs w:val="1"/>
          <w:i w:val="1"/>
          <w:iCs w:val="1"/>
          <w:color w:val="auto"/>
        </w:rPr>
        <w:t>We will need substantial additional funding. If we are unable to raise capital when needed, we could be forced to delay, reduce or eliminate our product development programs or commercialization efforts.</w:t>
      </w:r>
    </w:p>
    <w:p>
      <w:pPr>
        <w:spacing w:after="0" w:line="170" w:lineRule="exact"/>
        <w:rPr>
          <w:sz w:val="20"/>
          <w:szCs w:val="20"/>
          <w:color w:val="auto"/>
        </w:rPr>
      </w:pPr>
    </w:p>
    <w:p>
      <w:pPr>
        <w:ind w:right="80" w:firstLine="518"/>
        <w:spacing w:after="0" w:line="287" w:lineRule="auto"/>
        <w:rPr>
          <w:sz w:val="20"/>
          <w:szCs w:val="20"/>
          <w:color w:val="auto"/>
        </w:rPr>
      </w:pPr>
      <w:r>
        <w:rPr>
          <w:rFonts w:ascii="Arial" w:cs="Arial" w:eastAsia="Arial" w:hAnsi="Arial"/>
          <w:sz w:val="16"/>
          <w:szCs w:val="16"/>
          <w:color w:val="auto"/>
        </w:rPr>
        <w:t>We will need to raise additional capital to fund clinical trials of CRLX101 and CRLX301. As a result of our reduction in force and other cost control measures, we expect our expenses to decrease in the short term. In the future, however, we expect that our expenses may increase in connection with our ongoing activities, particularly as we continue research and development and initiate additional clinical trials of, and seek regulatory approval for CRLX101, CRLX301 and other potential future product candidates. In addition, if we obtain regulatory approval for any of our product candidates, we expect to incur significant commercialization expenses related to product manufacturing, marketing, sales and distribution. In particular, the costs that may be required for the manufacture of any product candidate that receives marketing approval may be substantial, and manufacturing our nanoparticle-drug conjugates, or NDCs, for commercial sale will require expensive and specialized facilities, processes and materials. Furthermore, relative to previous years when we operated as a private company, we expect to incur significant additional costs associated with operating as a public company. Accordingly, we will need to obtain substantial additional funding to advance the development of our product candidates and to fund our continuing operations. We may be unable to raise capital when needed or on attractive terms, and if so we could be forced to delay, reduce or eliminate our ongoing research and development programs, including CRLX101 and CRLX301, or any future commercialization efforts.</w:t>
      </w:r>
    </w:p>
    <w:p>
      <w:pPr>
        <w:spacing w:after="0" w:line="173"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We plan to use our current cash and cash equivalents to fund our ongoing research and development efforts. We will be required to expend significant funds in order to advance development of CRLX101, CRLX301 and our other potential product candidates. Our existing cash and cash equivalents will not be sufficient to fund all of the efforts that we plan to undertake, such as additional trials of CRLX101 or CRLX301. Accordingly, we will be required to obtain further funding through public or private equity offerings, debt financings, collaborations or licensing arrangements or other sources. Adequate and additional funding may not be available to us on acceptable terms or at all.</w:t>
      </w:r>
    </w:p>
    <w:p>
      <w:pPr>
        <w:spacing w:after="0" w:line="188"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On January 8, 2015 we entered into a loan and security agreement, which we refer to as the Hercules Loan Agreement, with Hercules Technology Growth Capital, Inc., or Hercules, and drew the first tranche of $15.0 million under the Hercules Loan Agreement. On November 24, 2015, we drew a second tranche of $6.0 million under the Hercules Loan Agreement. We elected not to commence a randomized Phase 2 clinical trial of CRLX101 in combination with chemoradiotherapy on or prior to December 15, 2015, which was a condition of obtaining an additional tranche in an amount of up to $5.0 million. As a result, we are no longer eligible to borrow this amount under the Hercules Loan Agreement.</w:t>
      </w:r>
    </w:p>
    <w:p>
      <w:pPr>
        <w:spacing w:after="0" w:line="173"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If we elect to obtain any additional debt financing, our ability to do so may be limited by covenants we have made under the Hercules Loan Agreement and our pledge to Hercules of substantially all of our assets, other than our intellectual property, as collateral. We have also granted Hercules a negative pledge with respect to our intellectual property, which, among other things, prohibits us from selling, transferring, assigning, mortgaging, pledging, leasing, granting a security interest in or otherwise encumbering our intellectual property. This negative pledge could further limit our ability to obtain additional debt financing. Our failure to raise capital as and when needed would have a negative impact on our financial condition and our ability to pursue our business strategy.</w:t>
      </w:r>
    </w:p>
    <w:p>
      <w:pPr>
        <w:spacing w:after="0" w:line="193"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In October 2016, we entered into a common stock purchase agreement with Aspire Capital Fund, LLC, or Aspire, pursuant to which Cerulean has the right to sell certain amounts of its common stock, up to an aggregate total of $20.0 million of our common stock, over a 24-month period, at prices based on a formula linked to current market prices at the time of each sale. We refer to this as the ATM. In connection with entry into the ATM, we issued 700,000 shares of our common stock to Aspire as a commitment fee, and sold 800,000 shares of our common stock at $1.25 per share, for an initial amount of $1.0 million. $19.0 million remains available under the ATM, upon the terms and subject to the conditions and limitations set forth therein. While we have the right to determine the amounts and timing of sales of common stock to Aspire under the ATM, these rights are subject to certain limits and restrictions. These limits and restrictions include limits on the number of shares we can sell to Aspire on any one trading day, as well as stock price trading price restrictions, which prohibit us from making certain sales to Aspire on any trading day on which the closing sale price of</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ind w:right="200"/>
        <w:spacing w:after="0" w:line="264" w:lineRule="auto"/>
        <w:rPr>
          <w:sz w:val="20"/>
          <w:szCs w:val="20"/>
          <w:color w:val="auto"/>
        </w:rPr>
      </w:pPr>
      <w:r>
        <w:rPr>
          <w:rFonts w:ascii="Arial" w:cs="Arial" w:eastAsia="Arial" w:hAnsi="Arial"/>
          <w:sz w:val="18"/>
          <w:szCs w:val="18"/>
          <w:color w:val="auto"/>
        </w:rPr>
        <w:t>our common stock is below $0.50 per share and from making any sales to Aspire on any trading on which the closing sale price is less than $0.25 per share. Accordingly, we may not be able to sell shares under the agreement at prices that we deem acceptable, and there can be no assurance that we will be able to sell the remaining $19.0 million of common stock contemplated under the ATM.</w:t>
      </w:r>
    </w:p>
    <w:p>
      <w:pPr>
        <w:spacing w:after="0" w:line="181"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Following a reduction in force initiated in August 2016, we believe our cash and cash equivalents of approximately $38.1 million at September 30, 2016, together with the $1.0 million in proceeds from the initial sale of common stock to Aspire in October 2016 and the $5.0 million upfront payment under our collaboration agreement with Novartis Institutes of BioMedical Research, Inc., or Novartis, received in October 2016, are sufficient to fund our planned operations for at least twelve months following the date of this report. We will need to raise additional capital to continue to fund our long-term operations. Should our operating plan change further, or prove to be inaccurate, then we will be required to reassess our operating capital needs. However, there can be no assurance that we will have the cash resources to fund our operating plan or that additional funding will be available on terms acceptable to us, or at all.</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4" w:lineRule="exact"/>
        <w:rPr>
          <w:sz w:val="20"/>
          <w:szCs w:val="20"/>
          <w:color w:val="auto"/>
        </w:rPr>
      </w:pPr>
    </w:p>
    <w:p>
      <w:pPr>
        <w:ind w:left="1040" w:hanging="519"/>
        <w:spacing w:after="0"/>
        <w:tabs>
          <w:tab w:leader="none" w:pos="1040" w:val="left"/>
        </w:tabs>
        <w:numPr>
          <w:ilvl w:val="0"/>
          <w:numId w:val="16"/>
        </w:numPr>
        <w:rPr>
          <w:rFonts w:ascii="Arial" w:cs="Arial" w:eastAsia="Arial" w:hAnsi="Arial"/>
          <w:sz w:val="29"/>
          <w:szCs w:val="29"/>
          <w:color w:val="auto"/>
          <w:vertAlign w:val="superscript"/>
        </w:rPr>
      </w:pPr>
      <w:r>
        <w:rPr>
          <w:rFonts w:ascii="Arial" w:cs="Arial" w:eastAsia="Arial" w:hAnsi="Arial"/>
          <w:sz w:val="18"/>
          <w:szCs w:val="18"/>
          <w:color w:val="auto"/>
        </w:rPr>
        <w:t>the number and development requirements of the NDCs we or our partners pursue;</w:t>
      </w:r>
    </w:p>
    <w:p>
      <w:pPr>
        <w:spacing w:after="0" w:line="109" w:lineRule="exact"/>
        <w:rPr>
          <w:rFonts w:ascii="Arial" w:cs="Arial" w:eastAsia="Arial" w:hAnsi="Arial"/>
          <w:sz w:val="29"/>
          <w:szCs w:val="29"/>
          <w:color w:val="auto"/>
          <w:vertAlign w:val="superscript"/>
        </w:rPr>
      </w:pPr>
    </w:p>
    <w:p>
      <w:pPr>
        <w:ind w:left="1040" w:hanging="519"/>
        <w:spacing w:after="0" w:line="186" w:lineRule="auto"/>
        <w:tabs>
          <w:tab w:leader="none" w:pos="1040" w:val="left"/>
        </w:tabs>
        <w:numPr>
          <w:ilvl w:val="0"/>
          <w:numId w:val="16"/>
        </w:numPr>
        <w:rPr>
          <w:rFonts w:ascii="Arial" w:cs="Arial" w:eastAsia="Arial" w:hAnsi="Arial"/>
          <w:sz w:val="24"/>
          <w:szCs w:val="24"/>
          <w:color w:val="auto"/>
          <w:vertAlign w:val="superscript"/>
        </w:rPr>
      </w:pPr>
      <w:r>
        <w:rPr>
          <w:rFonts w:ascii="Arial" w:cs="Arial" w:eastAsia="Arial" w:hAnsi="Arial"/>
          <w:sz w:val="15"/>
          <w:szCs w:val="15"/>
          <w:color w:val="auto"/>
        </w:rPr>
        <w:t>the scope, progress, timing, results and costs of researching and developing NDCs, and conducting preclinical and clinical trials;</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16"/>
        </w:numPr>
        <w:rPr>
          <w:rFonts w:ascii="Arial" w:cs="Arial" w:eastAsia="Arial" w:hAnsi="Arial"/>
          <w:sz w:val="24"/>
          <w:szCs w:val="24"/>
          <w:color w:val="auto"/>
          <w:vertAlign w:val="superscript"/>
        </w:rPr>
      </w:pPr>
      <w:r>
        <w:rPr>
          <w:rFonts w:ascii="Arial" w:cs="Arial" w:eastAsia="Arial" w:hAnsi="Arial"/>
          <w:sz w:val="15"/>
          <w:szCs w:val="15"/>
          <w:color w:val="auto"/>
        </w:rPr>
        <w:t>the costs, timing and outcome of regulatory review of NDCs in the United States and abroad;</w:t>
      </w:r>
    </w:p>
    <w:p>
      <w:pPr>
        <w:spacing w:after="0" w:line="110" w:lineRule="exact"/>
        <w:rPr>
          <w:rFonts w:ascii="Arial" w:cs="Arial" w:eastAsia="Arial" w:hAnsi="Arial"/>
          <w:sz w:val="24"/>
          <w:szCs w:val="24"/>
          <w:color w:val="auto"/>
          <w:vertAlign w:val="superscript"/>
        </w:rPr>
      </w:pPr>
    </w:p>
    <w:p>
      <w:pPr>
        <w:ind w:left="1040" w:right="60" w:hanging="519"/>
        <w:spacing w:after="0" w:line="191" w:lineRule="auto"/>
        <w:tabs>
          <w:tab w:leader="none" w:pos="1040" w:val="left"/>
        </w:tabs>
        <w:numPr>
          <w:ilvl w:val="0"/>
          <w:numId w:val="16"/>
        </w:numPr>
        <w:rPr>
          <w:rFonts w:ascii="Arial" w:cs="Arial" w:eastAsia="Arial" w:hAnsi="Arial"/>
          <w:sz w:val="29"/>
          <w:szCs w:val="29"/>
          <w:color w:val="auto"/>
          <w:vertAlign w:val="superscript"/>
        </w:rPr>
      </w:pPr>
      <w:r>
        <w:rPr>
          <w:rFonts w:ascii="Arial" w:cs="Arial" w:eastAsia="Arial" w:hAnsi="Arial"/>
          <w:sz w:val="18"/>
          <w:szCs w:val="18"/>
          <w:color w:val="auto"/>
        </w:rPr>
        <w:t>the cost and timing of future commercialization activities, including product manufacturing, marketing, sales and distribution, for any NDC for which we or our partners receive marketing approval;</w:t>
      </w:r>
    </w:p>
    <w:p>
      <w:pPr>
        <w:ind w:left="1040" w:hanging="519"/>
        <w:spacing w:after="0" w:line="233" w:lineRule="auto"/>
        <w:tabs>
          <w:tab w:leader="none" w:pos="1040" w:val="left"/>
        </w:tabs>
        <w:numPr>
          <w:ilvl w:val="0"/>
          <w:numId w:val="16"/>
        </w:numPr>
        <w:rPr>
          <w:rFonts w:ascii="Arial" w:cs="Arial" w:eastAsia="Arial" w:hAnsi="Arial"/>
          <w:sz w:val="29"/>
          <w:szCs w:val="29"/>
          <w:color w:val="auto"/>
          <w:vertAlign w:val="superscript"/>
        </w:rPr>
      </w:pPr>
      <w:r>
        <w:rPr>
          <w:rFonts w:ascii="Arial" w:cs="Arial" w:eastAsia="Arial" w:hAnsi="Arial"/>
          <w:sz w:val="18"/>
          <w:szCs w:val="18"/>
          <w:color w:val="auto"/>
        </w:rPr>
        <w:t>the revenue, if any, received from commercial sales of any NDC for which we or our partners receive marketing approval;</w:t>
      </w:r>
    </w:p>
    <w:p>
      <w:pPr>
        <w:spacing w:after="0" w:line="110" w:lineRule="exact"/>
        <w:rPr>
          <w:rFonts w:ascii="Arial" w:cs="Arial" w:eastAsia="Arial" w:hAnsi="Arial"/>
          <w:sz w:val="29"/>
          <w:szCs w:val="29"/>
          <w:color w:val="auto"/>
          <w:vertAlign w:val="superscript"/>
        </w:rPr>
      </w:pPr>
    </w:p>
    <w:p>
      <w:pPr>
        <w:ind w:left="1040" w:hanging="519"/>
        <w:spacing w:after="0" w:line="186" w:lineRule="auto"/>
        <w:tabs>
          <w:tab w:leader="none" w:pos="1040" w:val="left"/>
        </w:tabs>
        <w:numPr>
          <w:ilvl w:val="0"/>
          <w:numId w:val="16"/>
        </w:numPr>
        <w:rPr>
          <w:rFonts w:ascii="Arial" w:cs="Arial" w:eastAsia="Arial" w:hAnsi="Arial"/>
          <w:sz w:val="24"/>
          <w:szCs w:val="24"/>
          <w:color w:val="auto"/>
          <w:vertAlign w:val="superscript"/>
        </w:rPr>
      </w:pPr>
      <w:r>
        <w:rPr>
          <w:rFonts w:ascii="Arial" w:cs="Arial" w:eastAsia="Arial" w:hAnsi="Arial"/>
          <w:sz w:val="15"/>
          <w:szCs w:val="15"/>
          <w:color w:val="auto"/>
        </w:rPr>
        <w:t>our ability to establish and maintain strategic partnerships, licensing or other arrangements and the financial terms of such agreements;</w:t>
      </w:r>
    </w:p>
    <w:p>
      <w:pPr>
        <w:spacing w:after="0" w:line="110" w:lineRule="exact"/>
        <w:rPr>
          <w:rFonts w:ascii="Arial" w:cs="Arial" w:eastAsia="Arial" w:hAnsi="Arial"/>
          <w:sz w:val="24"/>
          <w:szCs w:val="24"/>
          <w:color w:val="auto"/>
          <w:vertAlign w:val="superscript"/>
        </w:rPr>
      </w:pPr>
    </w:p>
    <w:p>
      <w:pPr>
        <w:ind w:left="1040" w:right="260" w:hanging="519"/>
        <w:spacing w:after="0" w:line="191" w:lineRule="auto"/>
        <w:tabs>
          <w:tab w:leader="none" w:pos="1040" w:val="left"/>
        </w:tabs>
        <w:numPr>
          <w:ilvl w:val="0"/>
          <w:numId w:val="16"/>
        </w:numPr>
        <w:rPr>
          <w:rFonts w:ascii="Arial" w:cs="Arial" w:eastAsia="Arial" w:hAnsi="Arial"/>
          <w:sz w:val="29"/>
          <w:szCs w:val="29"/>
          <w:color w:val="auto"/>
          <w:vertAlign w:val="superscript"/>
        </w:rPr>
      </w:pPr>
      <w:r>
        <w:rPr>
          <w:rFonts w:ascii="Arial" w:cs="Arial" w:eastAsia="Arial" w:hAnsi="Arial"/>
          <w:sz w:val="18"/>
          <w:szCs w:val="18"/>
          <w:color w:val="auto"/>
        </w:rPr>
        <w:t>the costs and timing of preparing, filing and prosecuting patent applications, and maintaining, enforcing and defending intellectual property-related claims;</w:t>
      </w:r>
    </w:p>
    <w:p>
      <w:pPr>
        <w:ind w:left="1040" w:hanging="519"/>
        <w:spacing w:after="0" w:line="233" w:lineRule="auto"/>
        <w:tabs>
          <w:tab w:leader="none" w:pos="1040" w:val="left"/>
        </w:tabs>
        <w:numPr>
          <w:ilvl w:val="0"/>
          <w:numId w:val="16"/>
        </w:numPr>
        <w:rPr>
          <w:rFonts w:ascii="Arial" w:cs="Arial" w:eastAsia="Arial" w:hAnsi="Arial"/>
          <w:sz w:val="29"/>
          <w:szCs w:val="29"/>
          <w:color w:val="auto"/>
          <w:vertAlign w:val="superscript"/>
        </w:rPr>
      </w:pPr>
      <w:r>
        <w:rPr>
          <w:rFonts w:ascii="Arial" w:cs="Arial" w:eastAsia="Arial" w:hAnsi="Arial"/>
          <w:sz w:val="18"/>
          <w:szCs w:val="18"/>
          <w:color w:val="auto"/>
        </w:rPr>
        <w:t>the extent to which we acquire or in-license other medicines and technology;</w:t>
      </w:r>
    </w:p>
    <w:p>
      <w:pPr>
        <w:spacing w:after="0" w:line="110" w:lineRule="exact"/>
        <w:rPr>
          <w:rFonts w:ascii="Arial" w:cs="Arial" w:eastAsia="Arial" w:hAnsi="Arial"/>
          <w:sz w:val="29"/>
          <w:szCs w:val="29"/>
          <w:color w:val="auto"/>
          <w:vertAlign w:val="superscript"/>
        </w:rPr>
      </w:pPr>
    </w:p>
    <w:p>
      <w:pPr>
        <w:ind w:left="1040" w:hanging="519"/>
        <w:spacing w:after="0" w:line="186" w:lineRule="auto"/>
        <w:tabs>
          <w:tab w:leader="none" w:pos="1040" w:val="left"/>
        </w:tabs>
        <w:numPr>
          <w:ilvl w:val="0"/>
          <w:numId w:val="16"/>
        </w:numPr>
        <w:rPr>
          <w:rFonts w:ascii="Arial" w:cs="Arial" w:eastAsia="Arial" w:hAnsi="Arial"/>
          <w:sz w:val="24"/>
          <w:szCs w:val="24"/>
          <w:color w:val="auto"/>
          <w:vertAlign w:val="superscript"/>
        </w:rPr>
      </w:pPr>
      <w:r>
        <w:rPr>
          <w:rFonts w:ascii="Arial" w:cs="Arial" w:eastAsia="Arial" w:hAnsi="Arial"/>
          <w:sz w:val="15"/>
          <w:szCs w:val="15"/>
          <w:color w:val="auto"/>
        </w:rPr>
        <w:t>our headcount growth and associated costs; and</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16"/>
        </w:numPr>
        <w:rPr>
          <w:rFonts w:ascii="Arial" w:cs="Arial" w:eastAsia="Arial" w:hAnsi="Arial"/>
          <w:sz w:val="24"/>
          <w:szCs w:val="24"/>
          <w:color w:val="auto"/>
          <w:vertAlign w:val="superscript"/>
        </w:rPr>
      </w:pPr>
      <w:r>
        <w:rPr>
          <w:rFonts w:ascii="Arial" w:cs="Arial" w:eastAsia="Arial" w:hAnsi="Arial"/>
          <w:sz w:val="15"/>
          <w:szCs w:val="15"/>
          <w:color w:val="auto"/>
        </w:rPr>
        <w:t>the costs of operating as a public company.</w:t>
      </w:r>
    </w:p>
    <w:p>
      <w:pPr>
        <w:spacing w:after="0" w:line="202"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In addition, our product candidates, if approved, may not achieve commercial success. Our commercial revenues, if any, will be derived from sales of products that we do not expect to be commercially available for several years, if at all. Accordingly, we will need to continue to rely on additional financing to achieve our business objectives. Adequate additional financing may not be available to us on acceptable terms, or at all.</w:t>
      </w:r>
    </w:p>
    <w:p>
      <w:pPr>
        <w:spacing w:after="0" w:line="173"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technologies or product candidates.</w:t>
      </w:r>
    </w:p>
    <w:p>
      <w:pPr>
        <w:spacing w:after="0" w:line="170" w:lineRule="exact"/>
        <w:rPr>
          <w:sz w:val="20"/>
          <w:szCs w:val="20"/>
          <w:color w:val="auto"/>
        </w:rPr>
      </w:pPr>
    </w:p>
    <w:p>
      <w:pPr>
        <w:ind w:right="180" w:firstLine="518"/>
        <w:spacing w:after="0" w:line="254"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public or private equity offerings, debt financings, license and development agreements with collaboration partners or other sources. In addition, we may seek additional capital due to favorable market conditions or strategic considerations, even if we believe we have sufficient funds for our current or future operating plans. To the extent that we raise additional capital through the sale of equity or convertible debt securities, the ownership interest of our stockholders may be materially diluted, and the terms of such securities could include liquidation or other preferences that adversely affect the rights of our existing stockholders. Debt financing and preferred equity financing, if available, may involve agreements that include restrictive covenants that limit our ability to take specified actions, such as incurring additional debt, making capital expenditures or declaring dividends. In addition, additional debt financing would result in increased fixed payment obligations.</w:t>
      </w:r>
    </w:p>
    <w:p>
      <w:pPr>
        <w:spacing w:after="0" w:line="192"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If we raise funds through collaborations, strategic partnerships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5" w:name="page26"/>
    <w:bookmarkEnd w:id="25"/>
    <w:p>
      <w:pPr>
        <w:ind w:left="520"/>
        <w:spacing w:after="0"/>
        <w:rPr>
          <w:sz w:val="20"/>
          <w:szCs w:val="20"/>
          <w:color w:val="auto"/>
        </w:rPr>
      </w:pPr>
      <w:r>
        <w:rPr>
          <w:rFonts w:ascii="Arial" w:cs="Arial" w:eastAsia="Arial" w:hAnsi="Arial"/>
          <w:sz w:val="18"/>
          <w:szCs w:val="18"/>
          <w:b w:val="1"/>
          <w:bCs w:val="1"/>
          <w:i w:val="1"/>
          <w:iCs w:val="1"/>
          <w:color w:val="auto"/>
        </w:rPr>
        <w:t>Our existing and any future indebtedness could adversely affect our ability to operate our business.</w:t>
      </w:r>
    </w:p>
    <w:p>
      <w:pPr>
        <w:spacing w:after="0" w:line="225" w:lineRule="exact"/>
        <w:rPr>
          <w:sz w:val="20"/>
          <w:szCs w:val="20"/>
          <w:color w:val="auto"/>
        </w:rPr>
      </w:pPr>
    </w:p>
    <w:p>
      <w:pPr>
        <w:ind w:right="200" w:firstLine="518"/>
        <w:spacing w:after="0" w:line="279" w:lineRule="auto"/>
        <w:rPr>
          <w:sz w:val="20"/>
          <w:szCs w:val="20"/>
          <w:color w:val="auto"/>
        </w:rPr>
      </w:pPr>
      <w:r>
        <w:rPr>
          <w:rFonts w:ascii="Arial" w:cs="Arial" w:eastAsia="Arial" w:hAnsi="Arial"/>
          <w:sz w:val="17"/>
          <w:szCs w:val="17"/>
          <w:color w:val="auto"/>
        </w:rPr>
        <w:t>On January 8, 2015, we entered into the Hercules Loan Agreement and drew the first tranche of $15.0 million. We used $3.6 million of the proceeds from our draw under the Hercules Loan Agreement to repay in full our outstanding indebtedness under our loan and security agreement with Lighthouse Capital Partners VI, L.P. On November 24, 2015 we drew an additional tranche of $6.0 million under the Hercules Loan Agreement. As of September 30, 2016, we had approximately $16.6 million in outstanding indebtedness under the Hercules Loan Agreement.</w:t>
      </w:r>
    </w:p>
    <w:p>
      <w:pPr>
        <w:spacing w:after="0" w:line="171" w:lineRule="exact"/>
        <w:rPr>
          <w:sz w:val="20"/>
          <w:szCs w:val="20"/>
          <w:color w:val="auto"/>
        </w:rPr>
      </w:pPr>
    </w:p>
    <w:p>
      <w:pPr>
        <w:ind w:right="740" w:firstLine="518"/>
        <w:spacing w:after="0" w:line="277" w:lineRule="auto"/>
        <w:rPr>
          <w:sz w:val="20"/>
          <w:szCs w:val="20"/>
          <w:color w:val="auto"/>
        </w:rPr>
      </w:pPr>
      <w:r>
        <w:rPr>
          <w:rFonts w:ascii="Arial" w:cs="Arial" w:eastAsia="Arial" w:hAnsi="Arial"/>
          <w:sz w:val="18"/>
          <w:szCs w:val="18"/>
          <w:color w:val="auto"/>
        </w:rPr>
        <w:t>Our outstanding indebtedness combined with current and future financial obligations and contractual commitments, including any additional indebtedness beyond our borrowings from Hercules, could have significant adverse consequences, including:</w:t>
      </w:r>
    </w:p>
    <w:p>
      <w:pPr>
        <w:spacing w:after="0" w:line="62" w:lineRule="exact"/>
        <w:rPr>
          <w:sz w:val="20"/>
          <w:szCs w:val="20"/>
          <w:color w:val="auto"/>
        </w:rPr>
      </w:pPr>
    </w:p>
    <w:p>
      <w:pPr>
        <w:ind w:left="1040" w:right="300" w:hanging="519"/>
        <w:spacing w:after="0" w:line="212" w:lineRule="auto"/>
        <w:tabs>
          <w:tab w:leader="none" w:pos="1040"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requiring us to dedicate a portion of our cash resources to the payment of interest and principal, and prepayment and repayment fees and penalties, thereby reducing money available to fund working capital, capital expenditures, product development and other general corporate purposes;</w:t>
      </w:r>
    </w:p>
    <w:p>
      <w:pPr>
        <w:spacing w:after="0" w:line="2" w:lineRule="exact"/>
        <w:rPr>
          <w:rFonts w:ascii="Arial" w:cs="Arial" w:eastAsia="Arial" w:hAnsi="Arial"/>
          <w:sz w:val="29"/>
          <w:szCs w:val="29"/>
          <w:color w:val="auto"/>
          <w:vertAlign w:val="superscript"/>
        </w:rPr>
      </w:pPr>
    </w:p>
    <w:p>
      <w:pPr>
        <w:ind w:left="1040" w:hanging="519"/>
        <w:spacing w:after="0" w:line="233" w:lineRule="auto"/>
        <w:tabs>
          <w:tab w:leader="none" w:pos="1040"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increasing our vulnerability to adverse changes in general economic, industry and market conditions;</w:t>
      </w:r>
    </w:p>
    <w:p>
      <w:pPr>
        <w:spacing w:after="0" w:line="110" w:lineRule="exact"/>
        <w:rPr>
          <w:rFonts w:ascii="Arial" w:cs="Arial" w:eastAsia="Arial" w:hAnsi="Arial"/>
          <w:sz w:val="29"/>
          <w:szCs w:val="29"/>
          <w:color w:val="auto"/>
          <w:vertAlign w:val="superscript"/>
        </w:rPr>
      </w:pPr>
    </w:p>
    <w:p>
      <w:pPr>
        <w:ind w:left="1040" w:hanging="519"/>
        <w:spacing w:after="0" w:line="186" w:lineRule="auto"/>
        <w:tabs>
          <w:tab w:leader="none" w:pos="1040" w:val="left"/>
        </w:tabs>
        <w:numPr>
          <w:ilvl w:val="0"/>
          <w:numId w:val="17"/>
        </w:numPr>
        <w:rPr>
          <w:rFonts w:ascii="Arial" w:cs="Arial" w:eastAsia="Arial" w:hAnsi="Arial"/>
          <w:sz w:val="24"/>
          <w:szCs w:val="24"/>
          <w:color w:val="auto"/>
          <w:vertAlign w:val="superscript"/>
        </w:rPr>
      </w:pPr>
      <w:r>
        <w:rPr>
          <w:rFonts w:ascii="Arial" w:cs="Arial" w:eastAsia="Arial" w:hAnsi="Arial"/>
          <w:sz w:val="15"/>
          <w:szCs w:val="15"/>
          <w:color w:val="auto"/>
        </w:rPr>
        <w:t>subjecting us to restrictive covenants that may reduce our ability to take certain corporate actions or obtain further debt or equity financing;</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17"/>
        </w:numPr>
        <w:rPr>
          <w:rFonts w:ascii="Arial" w:cs="Arial" w:eastAsia="Arial" w:hAnsi="Arial"/>
          <w:sz w:val="24"/>
          <w:szCs w:val="24"/>
          <w:color w:val="auto"/>
          <w:vertAlign w:val="superscript"/>
        </w:rPr>
      </w:pPr>
      <w:r>
        <w:rPr>
          <w:rFonts w:ascii="Arial" w:cs="Arial" w:eastAsia="Arial" w:hAnsi="Arial"/>
          <w:sz w:val="15"/>
          <w:szCs w:val="15"/>
          <w:color w:val="auto"/>
        </w:rPr>
        <w:t>limiting our flexibility in planning for, or reacting to, changes in our business and the industry in which we compete; and</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17"/>
        </w:numPr>
        <w:rPr>
          <w:rFonts w:ascii="Arial" w:cs="Arial" w:eastAsia="Arial" w:hAnsi="Arial"/>
          <w:sz w:val="24"/>
          <w:szCs w:val="24"/>
          <w:color w:val="auto"/>
          <w:vertAlign w:val="superscript"/>
        </w:rPr>
      </w:pPr>
      <w:r>
        <w:rPr>
          <w:rFonts w:ascii="Arial" w:cs="Arial" w:eastAsia="Arial" w:hAnsi="Arial"/>
          <w:sz w:val="15"/>
          <w:szCs w:val="15"/>
          <w:color w:val="auto"/>
        </w:rPr>
        <w:t>placing us at a competitive disadvantage compared to our competitors that have less debt or better debt servicing options.</w:t>
      </w:r>
    </w:p>
    <w:p>
      <w:pPr>
        <w:spacing w:after="0" w:line="202"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We intend to satisfy our current and future debt service obligations with our existing cash and cash equivalents. Nevertheless, we may not have sufficient funds, and may be unable to arrange for additional financing, to pay the amounts due under our existing debt instruments. Failure to make payments or comply with other covenants under our existing debt instruments could result in an event of default and acceleration of amounts due. If an event of default occurs and Hercules accelerates the amounts due, we may not be able to make accelerated payments, and Hercules could seek to enforce security interests in the collateral securing such indebtedness, which includes substantially all of our assets other than our intellectual property.</w:t>
      </w:r>
    </w:p>
    <w:p>
      <w:pPr>
        <w:spacing w:after="0" w:line="281"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incorporation. We expect to incur losses over the next several years and may never achieve or maintain profitability.</w:t>
      </w:r>
    </w:p>
    <w:p>
      <w:pPr>
        <w:spacing w:after="0" w:line="170"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Since incorporation, we have incurred significant operating losses. As of September 30, 2016, we had an accumulated deficit of $195.7 million. We do not know whether or when we will become profitable. We have not generated any revenues to date from product sales and have financed our operations primarily through public offerings of our common stock, private placements of our preferred stock, convertible debt financings and secured debt financings. We have not completed development of any product candidate and have devoted substantially all of our financial resources and efforts to research and development, including preclinical studies and clinical trials. We expect to continue to incur significant expenses and operating losses over the next several years. Our net losses may fluctuate significantly from quarter to quarter and year to year. Net losses and negative cash flows have had, and will continue to have, an adverse effect on our stockholders’ deficit and working capital. We anticipate that our expenses will increase substantially if and as we:</w:t>
      </w:r>
    </w:p>
    <w:p>
      <w:pPr>
        <w:spacing w:after="0" w:line="59" w:lineRule="exact"/>
        <w:rPr>
          <w:sz w:val="20"/>
          <w:szCs w:val="20"/>
          <w:color w:val="auto"/>
        </w:rPr>
      </w:pPr>
    </w:p>
    <w:p>
      <w:pPr>
        <w:ind w:left="1040" w:right="360" w:hanging="519"/>
        <w:spacing w:after="0" w:line="198" w:lineRule="auto"/>
        <w:tabs>
          <w:tab w:leader="none" w:pos="1040" w:val="left"/>
        </w:tabs>
        <w:numPr>
          <w:ilvl w:val="0"/>
          <w:numId w:val="18"/>
        </w:numPr>
        <w:rPr>
          <w:rFonts w:ascii="Arial" w:cs="Arial" w:eastAsia="Arial" w:hAnsi="Arial"/>
          <w:sz w:val="29"/>
          <w:szCs w:val="29"/>
          <w:color w:val="auto"/>
          <w:vertAlign w:val="superscript"/>
        </w:rPr>
      </w:pPr>
      <w:r>
        <w:rPr>
          <w:rFonts w:ascii="Arial" w:cs="Arial" w:eastAsia="Arial" w:hAnsi="Arial"/>
          <w:sz w:val="18"/>
          <w:szCs w:val="18"/>
          <w:color w:val="auto"/>
        </w:rPr>
        <w:t>initiate and continue company-sponsored clinical trials of CRLX101, our most advanced product candidate, including single-arm trials and randomized controlled trials, alone or in combination with other agents;</w:t>
      </w:r>
    </w:p>
    <w:p>
      <w:pPr>
        <w:ind w:left="1040" w:hanging="519"/>
        <w:spacing w:after="0" w:line="233" w:lineRule="auto"/>
        <w:tabs>
          <w:tab w:leader="none" w:pos="1040" w:val="left"/>
        </w:tabs>
        <w:numPr>
          <w:ilvl w:val="0"/>
          <w:numId w:val="18"/>
        </w:numPr>
        <w:rPr>
          <w:rFonts w:ascii="Arial" w:cs="Arial" w:eastAsia="Arial" w:hAnsi="Arial"/>
          <w:sz w:val="29"/>
          <w:szCs w:val="29"/>
          <w:color w:val="auto"/>
          <w:vertAlign w:val="superscript"/>
        </w:rPr>
      </w:pPr>
      <w:r>
        <w:rPr>
          <w:rFonts w:ascii="Arial" w:cs="Arial" w:eastAsia="Arial" w:hAnsi="Arial"/>
          <w:sz w:val="18"/>
          <w:szCs w:val="18"/>
          <w:color w:val="auto"/>
        </w:rPr>
        <w:t>support ongoing and any new investigator-sponsored clinical trials, or ISTs, of CRLX101;</w:t>
      </w:r>
    </w:p>
    <w:p>
      <w:pPr>
        <w:spacing w:after="0" w:line="110" w:lineRule="exact"/>
        <w:rPr>
          <w:rFonts w:ascii="Arial" w:cs="Arial" w:eastAsia="Arial" w:hAnsi="Arial"/>
          <w:sz w:val="29"/>
          <w:szCs w:val="29"/>
          <w:color w:val="auto"/>
          <w:vertAlign w:val="superscript"/>
        </w:rPr>
      </w:pPr>
    </w:p>
    <w:p>
      <w:pPr>
        <w:ind w:left="1040" w:hanging="519"/>
        <w:spacing w:after="0" w:line="186" w:lineRule="auto"/>
        <w:tabs>
          <w:tab w:leader="none" w:pos="1040" w:val="left"/>
        </w:tabs>
        <w:numPr>
          <w:ilvl w:val="0"/>
          <w:numId w:val="18"/>
        </w:numPr>
        <w:rPr>
          <w:rFonts w:ascii="Arial" w:cs="Arial" w:eastAsia="Arial" w:hAnsi="Arial"/>
          <w:sz w:val="24"/>
          <w:szCs w:val="24"/>
          <w:color w:val="auto"/>
          <w:vertAlign w:val="superscript"/>
        </w:rPr>
      </w:pPr>
      <w:r>
        <w:rPr>
          <w:rFonts w:ascii="Arial" w:cs="Arial" w:eastAsia="Arial" w:hAnsi="Arial"/>
          <w:sz w:val="15"/>
          <w:szCs w:val="15"/>
          <w:color w:val="auto"/>
        </w:rPr>
        <w:t>continue our Phase 1/2a clinical trial of CRLX301, our second most advanced product candidate, as well as subsequent studies of CRLX301;</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18"/>
        </w:numPr>
        <w:rPr>
          <w:rFonts w:ascii="Arial" w:cs="Arial" w:eastAsia="Arial" w:hAnsi="Arial"/>
          <w:sz w:val="24"/>
          <w:szCs w:val="24"/>
          <w:color w:val="auto"/>
          <w:vertAlign w:val="superscript"/>
        </w:rPr>
      </w:pPr>
      <w:r>
        <w:rPr>
          <w:rFonts w:ascii="Arial" w:cs="Arial" w:eastAsia="Arial" w:hAnsi="Arial"/>
          <w:sz w:val="15"/>
          <w:szCs w:val="15"/>
          <w:color w:val="auto"/>
        </w:rPr>
        <w:t>meet corresponding manufacturing, shipping and storage requirements;</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18"/>
        </w:numPr>
        <w:rPr>
          <w:rFonts w:ascii="Arial" w:cs="Arial" w:eastAsia="Arial" w:hAnsi="Arial"/>
          <w:sz w:val="24"/>
          <w:szCs w:val="24"/>
          <w:color w:val="auto"/>
          <w:vertAlign w:val="superscript"/>
        </w:rPr>
      </w:pPr>
      <w:r>
        <w:rPr>
          <w:rFonts w:ascii="Arial" w:cs="Arial" w:eastAsia="Arial" w:hAnsi="Arial"/>
          <w:sz w:val="15"/>
          <w:szCs w:val="15"/>
          <w:color w:val="auto"/>
        </w:rPr>
        <w:t>elect to expand, amend or redesign any current trial of CRLX101 or CRLX301;</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18"/>
        </w:numPr>
        <w:rPr>
          <w:rFonts w:ascii="Arial" w:cs="Arial" w:eastAsia="Arial" w:hAnsi="Arial"/>
          <w:sz w:val="24"/>
          <w:szCs w:val="24"/>
          <w:color w:val="auto"/>
          <w:vertAlign w:val="superscript"/>
        </w:rPr>
      </w:pPr>
      <w:r>
        <w:rPr>
          <w:rFonts w:ascii="Arial" w:cs="Arial" w:eastAsia="Arial" w:hAnsi="Arial"/>
          <w:sz w:val="15"/>
          <w:szCs w:val="15"/>
          <w:color w:val="auto"/>
        </w:rPr>
        <w:t>continue our research and preclinical development of additional product candidates utilizing our Dynamic Tumor Targeting Platform;</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18"/>
        </w:numPr>
        <w:rPr>
          <w:rFonts w:ascii="Arial" w:cs="Arial" w:eastAsia="Arial" w:hAnsi="Arial"/>
          <w:sz w:val="24"/>
          <w:szCs w:val="24"/>
          <w:color w:val="auto"/>
          <w:vertAlign w:val="superscript"/>
        </w:rPr>
      </w:pPr>
      <w:r>
        <w:rPr>
          <w:rFonts w:ascii="Arial" w:cs="Arial" w:eastAsia="Arial" w:hAnsi="Arial"/>
          <w:sz w:val="15"/>
          <w:szCs w:val="15"/>
          <w:color w:val="auto"/>
        </w:rPr>
        <w:t>seek regulatory approvals for any product candidates that successfully complete clinical trials;</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18"/>
        </w:numPr>
        <w:rPr>
          <w:rFonts w:ascii="Arial" w:cs="Arial" w:eastAsia="Arial" w:hAnsi="Arial"/>
          <w:sz w:val="24"/>
          <w:szCs w:val="24"/>
          <w:color w:val="auto"/>
          <w:vertAlign w:val="superscript"/>
        </w:rPr>
      </w:pPr>
      <w:r>
        <w:rPr>
          <w:rFonts w:ascii="Arial" w:cs="Arial" w:eastAsia="Arial" w:hAnsi="Arial"/>
          <w:sz w:val="15"/>
          <w:szCs w:val="15"/>
          <w:color w:val="auto"/>
        </w:rPr>
        <w:t>in the future, establish a sales, marketing and distribution infrastructure in the United States;</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18"/>
        </w:numPr>
        <w:rPr>
          <w:rFonts w:ascii="Arial" w:cs="Arial" w:eastAsia="Arial" w:hAnsi="Arial"/>
          <w:sz w:val="24"/>
          <w:szCs w:val="24"/>
          <w:color w:val="auto"/>
          <w:vertAlign w:val="superscript"/>
        </w:rPr>
      </w:pPr>
      <w:r>
        <w:rPr>
          <w:rFonts w:ascii="Arial" w:cs="Arial" w:eastAsia="Arial" w:hAnsi="Arial"/>
          <w:sz w:val="15"/>
          <w:szCs w:val="15"/>
          <w:color w:val="auto"/>
        </w:rPr>
        <w:t>scale up external manufacturing capabilities to commercialize any products for which we may obtain regulatory approval;</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18"/>
        </w:numPr>
        <w:rPr>
          <w:rFonts w:ascii="Arial" w:cs="Arial" w:eastAsia="Arial" w:hAnsi="Arial"/>
          <w:sz w:val="24"/>
          <w:szCs w:val="24"/>
          <w:color w:val="auto"/>
          <w:vertAlign w:val="superscript"/>
        </w:rPr>
      </w:pPr>
      <w:r>
        <w:rPr>
          <w:rFonts w:ascii="Arial" w:cs="Arial" w:eastAsia="Arial" w:hAnsi="Arial"/>
          <w:sz w:val="15"/>
          <w:szCs w:val="15"/>
          <w:color w:val="auto"/>
        </w:rPr>
        <w:t>maintain, expand and protect our intellectual property portfolio;</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6" w:name="page27"/>
    <w:bookmarkEnd w:id="26"/>
    <w:p>
      <w:pPr>
        <w:ind w:left="1040" w:hanging="519"/>
        <w:spacing w:after="0"/>
        <w:tabs>
          <w:tab w:leader="none" w:pos="1040" w:val="left"/>
        </w:tabs>
        <w:numPr>
          <w:ilvl w:val="0"/>
          <w:numId w:val="19"/>
        </w:numPr>
        <w:rPr>
          <w:rFonts w:ascii="Arial" w:cs="Arial" w:eastAsia="Arial" w:hAnsi="Arial"/>
          <w:sz w:val="29"/>
          <w:szCs w:val="29"/>
          <w:color w:val="auto"/>
          <w:vertAlign w:val="superscript"/>
        </w:rPr>
      </w:pPr>
      <w:r>
        <w:rPr>
          <w:rFonts w:ascii="Arial" w:cs="Arial" w:eastAsia="Arial" w:hAnsi="Arial"/>
          <w:sz w:val="18"/>
          <w:szCs w:val="18"/>
          <w:color w:val="auto"/>
        </w:rPr>
        <w:t>add equipment and physical infrastructure to support our research and development; and</w:t>
      </w:r>
    </w:p>
    <w:p>
      <w:pPr>
        <w:spacing w:after="0" w:line="109" w:lineRule="exact"/>
        <w:rPr>
          <w:rFonts w:ascii="Arial" w:cs="Arial" w:eastAsia="Arial" w:hAnsi="Arial"/>
          <w:sz w:val="29"/>
          <w:szCs w:val="29"/>
          <w:color w:val="auto"/>
          <w:vertAlign w:val="superscript"/>
        </w:rPr>
      </w:pPr>
    </w:p>
    <w:p>
      <w:pPr>
        <w:ind w:left="1040" w:hanging="519"/>
        <w:spacing w:after="0" w:line="186" w:lineRule="auto"/>
        <w:tabs>
          <w:tab w:leader="none" w:pos="1040" w:val="left"/>
        </w:tabs>
        <w:numPr>
          <w:ilvl w:val="0"/>
          <w:numId w:val="19"/>
        </w:numPr>
        <w:rPr>
          <w:rFonts w:ascii="Arial" w:cs="Arial" w:eastAsia="Arial" w:hAnsi="Arial"/>
          <w:sz w:val="24"/>
          <w:szCs w:val="24"/>
          <w:color w:val="auto"/>
          <w:vertAlign w:val="superscript"/>
        </w:rPr>
      </w:pPr>
      <w:r>
        <w:rPr>
          <w:rFonts w:ascii="Arial" w:cs="Arial" w:eastAsia="Arial" w:hAnsi="Arial"/>
          <w:sz w:val="15"/>
          <w:szCs w:val="15"/>
          <w:color w:val="auto"/>
        </w:rPr>
        <w:t>hire additional personnel and/or incur severance costs associated with the termination of employment of any existing personnel.</w:t>
      </w:r>
    </w:p>
    <w:p>
      <w:pPr>
        <w:spacing w:after="0" w:line="202" w:lineRule="exact"/>
        <w:rPr>
          <w:sz w:val="20"/>
          <w:szCs w:val="20"/>
          <w:color w:val="auto"/>
        </w:rPr>
      </w:pPr>
    </w:p>
    <w:p>
      <w:pPr>
        <w:ind w:right="80" w:firstLine="518"/>
        <w:spacing w:after="0" w:line="291" w:lineRule="auto"/>
        <w:rPr>
          <w:sz w:val="20"/>
          <w:szCs w:val="20"/>
          <w:color w:val="auto"/>
        </w:rPr>
      </w:pPr>
      <w:r>
        <w:rPr>
          <w:rFonts w:ascii="Arial" w:cs="Arial" w:eastAsia="Arial" w:hAnsi="Arial"/>
          <w:sz w:val="16"/>
          <w:szCs w:val="16"/>
          <w:color w:val="auto"/>
        </w:rPr>
        <w:t>To become and remain profitable, we must succeed in developing and eventually commercializing products that generate significant revenue. We do not expect to generate significant revenue unless and until we are able to obtain marketing approval for, and successfully commercialize, one or more of our product candidates. This will require us to be successful in a range of challenging activities, including completing preclinical testing and clinical trials of our product candidates, discovering additional product candidates, obtaining regulatory approval for these product candidates, manufacturing, marketing and selling any products for which we may obtain regulatory approval, satisfying any post-marketing requirements and obtaining reimbursement for our products from private insurance or government payors. We are only in the preliminary stages of most of these activities and have not yet commenced other of these activities. We may never succeed in these activities and, even if we do, may never generate revenues that are significant enough to achieve profitability.</w:t>
      </w:r>
    </w:p>
    <w:p>
      <w:pPr>
        <w:spacing w:after="0" w:line="167" w:lineRule="exact"/>
        <w:rPr>
          <w:sz w:val="20"/>
          <w:szCs w:val="20"/>
          <w:color w:val="auto"/>
        </w:rPr>
      </w:pPr>
    </w:p>
    <w:p>
      <w:pPr>
        <w:ind w:right="180" w:firstLine="518"/>
        <w:spacing w:after="0" w:line="302" w:lineRule="auto"/>
        <w:rPr>
          <w:sz w:val="20"/>
          <w:szCs w:val="20"/>
          <w:color w:val="auto"/>
        </w:rPr>
      </w:pPr>
      <w:r>
        <w:rPr>
          <w:rFonts w:ascii="Arial" w:cs="Arial" w:eastAsia="Arial" w:hAnsi="Arial"/>
          <w:sz w:val="16"/>
          <w:szCs w:val="16"/>
          <w:color w:val="auto"/>
        </w:rPr>
        <w:t>Because of the numerous risks and uncertainties associated with pharmaceutical product development, we are unable to accurately predict the timing or amount of increased expenses or when, or if, we will be able to achieve profitability. If we are required by the United States Food and Drug Administration, or FDA, or the European Medicines Agency, or EMA, or other regulatory authorities to perform studies in addition to those currently expected, or if there are any delays in completing our clinical trials or the development of any of our product candidates, our expenses could increase.</w:t>
      </w:r>
    </w:p>
    <w:p>
      <w:pPr>
        <w:spacing w:after="0" w:line="154"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cause our stockholders to lose all or part of their investment.</w:t>
      </w:r>
    </w:p>
    <w:p>
      <w:pPr>
        <w:spacing w:after="0" w:line="187" w:lineRule="exact"/>
        <w:rPr>
          <w:sz w:val="20"/>
          <w:szCs w:val="20"/>
          <w:color w:val="auto"/>
        </w:rPr>
      </w:pPr>
    </w:p>
    <w:p>
      <w:pPr>
        <w:ind w:right="360" w:firstLine="518"/>
        <w:spacing w:after="0" w:line="308" w:lineRule="auto"/>
        <w:rPr>
          <w:sz w:val="20"/>
          <w:szCs w:val="20"/>
          <w:color w:val="auto"/>
        </w:rPr>
      </w:pPr>
      <w:r>
        <w:rPr>
          <w:rFonts w:ascii="Arial" w:cs="Arial" w:eastAsia="Arial" w:hAnsi="Arial"/>
          <w:sz w:val="17"/>
          <w:szCs w:val="17"/>
          <w:color w:val="auto"/>
        </w:rPr>
        <w:t>Given our planned expenditures, including, without limitation, expenditures in connection with our clinical trials of CRLX101 and CRLX301, our independent registered public accounting firm may conclude that there is substantial doubt regarding our ability to continue as a going concern.</w:t>
      </w:r>
    </w:p>
    <w:p>
      <w:pPr>
        <w:spacing w:after="0" w:line="147" w:lineRule="exact"/>
        <w:rPr>
          <w:sz w:val="20"/>
          <w:szCs w:val="20"/>
          <w:color w:val="auto"/>
        </w:rPr>
      </w:pPr>
    </w:p>
    <w:p>
      <w:pPr>
        <w:ind w:right="560" w:firstLine="518"/>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and no history of commercializing pharmaceutical products, which may make it difficult to evaluate the prospects for our future viability.</w:t>
      </w:r>
    </w:p>
    <w:p>
      <w:pPr>
        <w:spacing w:after="0" w:line="170"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Our operations to date have been limited to organizing and managing our staffing, developing and securing our technology, raising capital and undertaking preclinical studies and clinical trials of our product candidates. We have not yet demonstrated the ability to successfully complete development of any product candidates, obtain marketing approvals, manufacture a commercial scale product, or arrange for a third party to do so on our behalf, or conduct sales and marketing activities necessary for successful product commercialization. Consequently, any predictions about our future success or viability may not be as accurate as they could be if we had a longer operating history or a history of successfully developing and commercializing pharmaceutical products.</w:t>
      </w:r>
    </w:p>
    <w:p>
      <w:pPr>
        <w:spacing w:after="0" w:line="158"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Assuming we obtain marketing approval for any of our product candidates, we will need to transition from a company with a research and development focus to a company capable of supporting commercial activities. We may encounter unforeseen expenses, difficulties, complications and delays and may not be successful in such a transition.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Development and Commercialization of Our Product Candidates</w:t>
      </w:r>
    </w:p>
    <w:p>
      <w:pPr>
        <w:spacing w:after="0" w:line="229"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b w:val="1"/>
          <w:bCs w:val="1"/>
          <w:i w:val="1"/>
          <w:iCs w:val="1"/>
          <w:color w:val="auto"/>
        </w:rPr>
        <w:t>Our approach to the discovery and development of product candidates based on our Dynamic Tumor Targeting Platform is unproven, and we do not know whether we will be able to develop any products of commercial value.</w:t>
      </w:r>
    </w:p>
    <w:p>
      <w:pPr>
        <w:spacing w:after="0" w:line="170" w:lineRule="exact"/>
        <w:rPr>
          <w:sz w:val="20"/>
          <w:szCs w:val="20"/>
          <w:color w:val="auto"/>
        </w:rPr>
      </w:pPr>
    </w:p>
    <w:p>
      <w:pPr>
        <w:ind w:right="160" w:firstLine="518"/>
        <w:spacing w:after="0" w:line="270" w:lineRule="auto"/>
        <w:rPr>
          <w:sz w:val="20"/>
          <w:szCs w:val="20"/>
          <w:color w:val="auto"/>
        </w:rPr>
      </w:pPr>
      <w:r>
        <w:rPr>
          <w:rFonts w:ascii="Arial" w:cs="Arial" w:eastAsia="Arial" w:hAnsi="Arial"/>
          <w:sz w:val="17"/>
          <w:szCs w:val="17"/>
          <w:color w:val="auto"/>
        </w:rPr>
        <w:t>We are focused on applying our proprietary Dynamic Tumor Targeting Platform to develop drugs that address serious unmet medical needs. We believe that our Dynamic Tumor Targeting Platform has the potential to create drugs that may have significant utility in several indications, particularly in combination with other therapies. While the results of preclinical studies and early-stage clinical trials have suggested that certain of our product candidates may have such utility, we have not yet succeeded and may not succeed in demonstrating efficacy and safety for any of our product candidates in later stage clinical trials or in obtaining marketing approval thereafter. For example, we have not yet advanced a compound beyond Phase 2 clinical development. Moreover, CRLX101 has failed to meet its primary endpoint in two randomized Phase 2 trials: a Phase 2 clinical trial of single agent CRLX101 in advanced non-small cell lung cancer, or NSCLC, for patients who had progressed through one or two prior regimens of chemotherapy, and a Phase 2 clinical trial of CRLX101 combined with Avastin (bevacizumab) in relapsed renal cell carcinoma, or relapsed RCC, in patients who had progressed through two or three prior therapies. We refer to this latter trial as our RCC Trial.</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 w:right="239" w:bottom="1440" w:gutter="0" w:footer="0" w:header="0"/>
        </w:sectPr>
      </w:pPr>
    </w:p>
    <w:bookmarkStart w:id="27" w:name="page28"/>
    <w:bookmarkEnd w:id="27"/>
    <w:p>
      <w:pPr>
        <w:ind w:firstLine="518"/>
        <w:spacing w:after="0" w:line="272" w:lineRule="auto"/>
        <w:rPr>
          <w:sz w:val="20"/>
          <w:szCs w:val="20"/>
          <w:color w:val="auto"/>
        </w:rPr>
      </w:pPr>
      <w:r>
        <w:rPr>
          <w:rFonts w:ascii="Arial" w:cs="Arial" w:eastAsia="Arial" w:hAnsi="Arial"/>
          <w:sz w:val="17"/>
          <w:szCs w:val="17"/>
          <w:color w:val="auto"/>
        </w:rPr>
        <w:t>In addition, we have never had a product candidate receive approval or clearance from the FDA or a non-U.S. regulatory authority. While the FDA has approved nanoparticles such as Doxil® (doxorubicin hydrochloride liposome injection), Abraxane® (nab-paclitaxel), Onivyde™ (irinotecan liposomal injection) and Marqibo® (vincristine sulfate liposome injection), to our knowledge, the FDA has not yet approved a polymeric nanoparticle such as our NDCs, which are a new way of targeting tumors. The regulatory review process for novel product candidates, such as ours, can be more expensive and take longer than for product candidates based on more well-known or extensively studied technologies due to regulatory authorities’ lack of experience with them. As a result, we may be required to conduct additional studies and/or trials beyond those we anticipate and it may take us longer to develop and/or obtain regulatory approval for our existing and any future product candidates than we expect.</w:t>
      </w:r>
    </w:p>
    <w:p>
      <w:pPr>
        <w:spacing w:after="0" w:line="178" w:lineRule="exact"/>
        <w:rPr>
          <w:sz w:val="20"/>
          <w:szCs w:val="20"/>
          <w:color w:val="auto"/>
        </w:rPr>
      </w:pPr>
    </w:p>
    <w:p>
      <w:pPr>
        <w:ind w:right="180" w:firstLine="518"/>
        <w:spacing w:after="0" w:line="312" w:lineRule="auto"/>
        <w:rPr>
          <w:sz w:val="20"/>
          <w:szCs w:val="20"/>
          <w:color w:val="auto"/>
        </w:rPr>
      </w:pPr>
      <w:r>
        <w:rPr>
          <w:rFonts w:ascii="Arial" w:cs="Arial" w:eastAsia="Arial" w:hAnsi="Arial"/>
          <w:sz w:val="16"/>
          <w:szCs w:val="16"/>
          <w:b w:val="1"/>
          <w:bCs w:val="1"/>
          <w:i w:val="1"/>
          <w:iCs w:val="1"/>
          <w:color w:val="auto"/>
        </w:rPr>
        <w:t>We are particularly dependent on the success of our lead product candidate, CRLX101, and our ability to develop, obtain marketing approval for and successfully commercialize CRLX101. If we are unable to develop, obtain marketing approval for or successfully commercialize CRLX101, either alone or through a collaboration, or experience significant delays in doing so, our business could be materially harmed.</w:t>
      </w:r>
    </w:p>
    <w:p>
      <w:pPr>
        <w:spacing w:after="0" w:line="147"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We currently have no products approved for sale and have invested a significant portion of our efforts and financial resources in the development of CRLX101 for the treatment of patients with inadequately treated forms of cancer. Our prospects are substantially dependent on our ability to develop, obtain marketing approval for and successfully commercialize CRLX101. The success of CRLX101 will depend, among other things, on our ability to successfully complete clinical trials of CRLX101 and the significance of the clinical data arising from those trials. The clinical trial process is uncertain, and failure of one or more clinical trials can occur at any stage of testing. For example, in August of 2016, we reported that the combination of CRLX101 and Avastin failed to meet its primary endpoint of improvement in progression free survival, or PFS, compared to the performance of standard of care agents, in our RCC Trial, despite having clinical data from a prior trial that led us to believe that the RCC Trial would be successful.</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addition to the successful completion of clinical trials, the success of CRLX101 will also depend on several other factors, including the following:</w:t>
      </w:r>
    </w:p>
    <w:p>
      <w:pPr>
        <w:spacing w:after="0" w:line="37" w:lineRule="exact"/>
        <w:rPr>
          <w:sz w:val="20"/>
          <w:szCs w:val="20"/>
          <w:color w:val="auto"/>
        </w:rPr>
      </w:pPr>
    </w:p>
    <w:p>
      <w:pPr>
        <w:ind w:left="1040" w:hanging="519"/>
        <w:spacing w:after="0"/>
        <w:tabs>
          <w:tab w:leader="none" w:pos="1040" w:val="left"/>
        </w:tabs>
        <w:numPr>
          <w:ilvl w:val="0"/>
          <w:numId w:val="20"/>
        </w:numPr>
        <w:rPr>
          <w:rFonts w:ascii="Arial" w:cs="Arial" w:eastAsia="Arial" w:hAnsi="Arial"/>
          <w:sz w:val="29"/>
          <w:szCs w:val="29"/>
          <w:color w:val="auto"/>
          <w:vertAlign w:val="superscript"/>
        </w:rPr>
      </w:pPr>
      <w:r>
        <w:rPr>
          <w:rFonts w:ascii="Arial" w:cs="Arial" w:eastAsia="Arial" w:hAnsi="Arial"/>
          <w:sz w:val="18"/>
          <w:szCs w:val="18"/>
          <w:color w:val="auto"/>
        </w:rPr>
        <w:t>receipt of marketing approvals from the FDA or other applicable regulatory authorities;</w:t>
      </w:r>
    </w:p>
    <w:p>
      <w:pPr>
        <w:spacing w:after="0" w:line="109" w:lineRule="exact"/>
        <w:rPr>
          <w:rFonts w:ascii="Arial" w:cs="Arial" w:eastAsia="Arial" w:hAnsi="Arial"/>
          <w:sz w:val="29"/>
          <w:szCs w:val="29"/>
          <w:color w:val="auto"/>
          <w:vertAlign w:val="superscript"/>
        </w:rPr>
      </w:pPr>
    </w:p>
    <w:p>
      <w:pPr>
        <w:ind w:left="1040" w:hanging="519"/>
        <w:spacing w:after="0" w:line="186" w:lineRule="auto"/>
        <w:tabs>
          <w:tab w:leader="none" w:pos="1040" w:val="left"/>
        </w:tabs>
        <w:numPr>
          <w:ilvl w:val="0"/>
          <w:numId w:val="20"/>
        </w:numPr>
        <w:rPr>
          <w:rFonts w:ascii="Arial" w:cs="Arial" w:eastAsia="Arial" w:hAnsi="Arial"/>
          <w:sz w:val="24"/>
          <w:szCs w:val="24"/>
          <w:color w:val="auto"/>
          <w:vertAlign w:val="superscript"/>
        </w:rPr>
      </w:pPr>
      <w:r>
        <w:rPr>
          <w:rFonts w:ascii="Arial" w:cs="Arial" w:eastAsia="Arial" w:hAnsi="Arial"/>
          <w:sz w:val="15"/>
          <w:szCs w:val="15"/>
          <w:color w:val="auto"/>
        </w:rPr>
        <w:t>the performance of our future collaborators for CRLX101, if any;</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20"/>
        </w:numPr>
        <w:rPr>
          <w:rFonts w:ascii="Arial" w:cs="Arial" w:eastAsia="Arial" w:hAnsi="Arial"/>
          <w:sz w:val="24"/>
          <w:szCs w:val="24"/>
          <w:color w:val="auto"/>
          <w:vertAlign w:val="superscript"/>
        </w:rPr>
      </w:pPr>
      <w:r>
        <w:rPr>
          <w:rFonts w:ascii="Arial" w:cs="Arial" w:eastAsia="Arial" w:hAnsi="Arial"/>
          <w:sz w:val="15"/>
          <w:szCs w:val="15"/>
          <w:color w:val="auto"/>
        </w:rPr>
        <w:t>the extent of any required post-marketing approval commitments to applicable regulatory authorities;</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20"/>
        </w:numPr>
        <w:rPr>
          <w:rFonts w:ascii="Arial" w:cs="Arial" w:eastAsia="Arial" w:hAnsi="Arial"/>
          <w:sz w:val="24"/>
          <w:szCs w:val="24"/>
          <w:color w:val="auto"/>
          <w:vertAlign w:val="superscript"/>
        </w:rPr>
      </w:pPr>
      <w:r>
        <w:rPr>
          <w:rFonts w:ascii="Arial" w:cs="Arial" w:eastAsia="Arial" w:hAnsi="Arial"/>
          <w:sz w:val="15"/>
          <w:szCs w:val="15"/>
          <w:color w:val="auto"/>
        </w:rPr>
        <w:t>establishment and management of supply arrangements with third party raw materials suppliers and manufacturers;</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20"/>
        </w:numPr>
        <w:rPr>
          <w:rFonts w:ascii="Arial" w:cs="Arial" w:eastAsia="Arial" w:hAnsi="Arial"/>
          <w:sz w:val="24"/>
          <w:szCs w:val="24"/>
          <w:color w:val="auto"/>
          <w:vertAlign w:val="superscript"/>
        </w:rPr>
      </w:pPr>
      <w:r>
        <w:rPr>
          <w:rFonts w:ascii="Arial" w:cs="Arial" w:eastAsia="Arial" w:hAnsi="Arial"/>
          <w:sz w:val="15"/>
          <w:szCs w:val="15"/>
          <w:color w:val="auto"/>
        </w:rPr>
        <w:t>establishment and management of supply arrangements for the delivery of our product candidates both in the United States and internationally;</w:t>
      </w:r>
    </w:p>
    <w:p>
      <w:pPr>
        <w:spacing w:after="0" w:line="110" w:lineRule="exact"/>
        <w:rPr>
          <w:rFonts w:ascii="Arial" w:cs="Arial" w:eastAsia="Arial" w:hAnsi="Arial"/>
          <w:sz w:val="24"/>
          <w:szCs w:val="24"/>
          <w:color w:val="auto"/>
          <w:vertAlign w:val="superscript"/>
        </w:rPr>
      </w:pPr>
    </w:p>
    <w:p>
      <w:pPr>
        <w:ind w:left="1040" w:right="320" w:hanging="519"/>
        <w:spacing w:after="0" w:line="191" w:lineRule="auto"/>
        <w:tabs>
          <w:tab w:leader="none" w:pos="1040" w:val="left"/>
        </w:tabs>
        <w:numPr>
          <w:ilvl w:val="0"/>
          <w:numId w:val="20"/>
        </w:numPr>
        <w:rPr>
          <w:rFonts w:ascii="Arial" w:cs="Arial" w:eastAsia="Arial" w:hAnsi="Arial"/>
          <w:sz w:val="29"/>
          <w:szCs w:val="29"/>
          <w:color w:val="auto"/>
          <w:vertAlign w:val="superscript"/>
        </w:rPr>
      </w:pPr>
      <w:r>
        <w:rPr>
          <w:rFonts w:ascii="Arial" w:cs="Arial" w:eastAsia="Arial" w:hAnsi="Arial"/>
          <w:sz w:val="18"/>
          <w:szCs w:val="18"/>
          <w:color w:val="auto"/>
        </w:rPr>
        <w:t>establishment and coordination of supply arrangements for the delivery of combination agents and/or standard of care drugs internationally, depending on the jurisdiction;</w:t>
      </w:r>
    </w:p>
    <w:p>
      <w:pPr>
        <w:ind w:left="1040" w:hanging="519"/>
        <w:spacing w:after="0" w:line="233" w:lineRule="auto"/>
        <w:tabs>
          <w:tab w:leader="none" w:pos="1040" w:val="left"/>
        </w:tabs>
        <w:numPr>
          <w:ilvl w:val="0"/>
          <w:numId w:val="20"/>
        </w:numPr>
        <w:rPr>
          <w:rFonts w:ascii="Arial" w:cs="Arial" w:eastAsia="Arial" w:hAnsi="Arial"/>
          <w:sz w:val="29"/>
          <w:szCs w:val="29"/>
          <w:color w:val="auto"/>
          <w:vertAlign w:val="superscript"/>
        </w:rPr>
      </w:pPr>
      <w:r>
        <w:rPr>
          <w:rFonts w:ascii="Arial" w:cs="Arial" w:eastAsia="Arial" w:hAnsi="Arial"/>
          <w:sz w:val="18"/>
          <w:szCs w:val="18"/>
          <w:color w:val="auto"/>
        </w:rPr>
        <w:t>obtaining and maintaining patent, trade secret protection and regulatory exclusivity both in the United States and internationally;</w:t>
      </w:r>
    </w:p>
    <w:p>
      <w:pPr>
        <w:spacing w:after="0" w:line="110" w:lineRule="exact"/>
        <w:rPr>
          <w:rFonts w:ascii="Arial" w:cs="Arial" w:eastAsia="Arial" w:hAnsi="Arial"/>
          <w:sz w:val="29"/>
          <w:szCs w:val="29"/>
          <w:color w:val="auto"/>
          <w:vertAlign w:val="superscript"/>
        </w:rPr>
      </w:pPr>
    </w:p>
    <w:p>
      <w:pPr>
        <w:ind w:left="1040" w:hanging="519"/>
        <w:spacing w:after="0" w:line="186" w:lineRule="auto"/>
        <w:tabs>
          <w:tab w:leader="none" w:pos="1040" w:val="left"/>
        </w:tabs>
        <w:numPr>
          <w:ilvl w:val="0"/>
          <w:numId w:val="20"/>
        </w:numPr>
        <w:rPr>
          <w:rFonts w:ascii="Arial" w:cs="Arial" w:eastAsia="Arial" w:hAnsi="Arial"/>
          <w:sz w:val="24"/>
          <w:szCs w:val="24"/>
          <w:color w:val="auto"/>
          <w:vertAlign w:val="superscript"/>
        </w:rPr>
      </w:pPr>
      <w:r>
        <w:rPr>
          <w:rFonts w:ascii="Arial" w:cs="Arial" w:eastAsia="Arial" w:hAnsi="Arial"/>
          <w:sz w:val="15"/>
          <w:szCs w:val="15"/>
          <w:color w:val="auto"/>
        </w:rPr>
        <w:t>protection of our rights in our intellectual property portfolio;</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20"/>
        </w:numPr>
        <w:rPr>
          <w:rFonts w:ascii="Arial" w:cs="Arial" w:eastAsia="Arial" w:hAnsi="Arial"/>
          <w:sz w:val="24"/>
          <w:szCs w:val="24"/>
          <w:color w:val="auto"/>
          <w:vertAlign w:val="superscript"/>
        </w:rPr>
      </w:pPr>
      <w:r>
        <w:rPr>
          <w:rFonts w:ascii="Arial" w:cs="Arial" w:eastAsia="Arial" w:hAnsi="Arial"/>
          <w:sz w:val="15"/>
          <w:szCs w:val="15"/>
          <w:color w:val="auto"/>
        </w:rPr>
        <w:t>launch of commercial sales if and when approved;</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20"/>
        </w:numPr>
        <w:rPr>
          <w:rFonts w:ascii="Arial" w:cs="Arial" w:eastAsia="Arial" w:hAnsi="Arial"/>
          <w:sz w:val="24"/>
          <w:szCs w:val="24"/>
          <w:color w:val="auto"/>
          <w:vertAlign w:val="superscript"/>
        </w:rPr>
      </w:pPr>
      <w:r>
        <w:rPr>
          <w:rFonts w:ascii="Arial" w:cs="Arial" w:eastAsia="Arial" w:hAnsi="Arial"/>
          <w:sz w:val="15"/>
          <w:szCs w:val="15"/>
          <w:color w:val="auto"/>
        </w:rPr>
        <w:t>a continued acceptable safety profile of CRLX101 following any marketing approval;</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20"/>
        </w:numPr>
        <w:rPr>
          <w:rFonts w:ascii="Arial" w:cs="Arial" w:eastAsia="Arial" w:hAnsi="Arial"/>
          <w:sz w:val="24"/>
          <w:szCs w:val="24"/>
          <w:color w:val="auto"/>
          <w:vertAlign w:val="superscript"/>
        </w:rPr>
      </w:pPr>
      <w:r>
        <w:rPr>
          <w:rFonts w:ascii="Arial" w:cs="Arial" w:eastAsia="Arial" w:hAnsi="Arial"/>
          <w:sz w:val="15"/>
          <w:szCs w:val="15"/>
          <w:color w:val="auto"/>
        </w:rPr>
        <w:t>commercial acceptance, if and when approved, by patients, the medical community and third party payors;</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20"/>
        </w:numPr>
        <w:rPr>
          <w:rFonts w:ascii="Arial" w:cs="Arial" w:eastAsia="Arial" w:hAnsi="Arial"/>
          <w:sz w:val="24"/>
          <w:szCs w:val="24"/>
          <w:color w:val="auto"/>
          <w:vertAlign w:val="superscript"/>
        </w:rPr>
      </w:pPr>
      <w:r>
        <w:rPr>
          <w:rFonts w:ascii="Arial" w:cs="Arial" w:eastAsia="Arial" w:hAnsi="Arial"/>
          <w:sz w:val="15"/>
          <w:szCs w:val="15"/>
          <w:color w:val="auto"/>
        </w:rPr>
        <w:t>establishment of arrangements with third party manufacturers to obtain finished drug products that are appropriately packaged for sale;</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20"/>
        </w:numPr>
        <w:rPr>
          <w:rFonts w:ascii="Arial" w:cs="Arial" w:eastAsia="Arial" w:hAnsi="Arial"/>
          <w:sz w:val="24"/>
          <w:szCs w:val="24"/>
          <w:color w:val="auto"/>
          <w:vertAlign w:val="superscript"/>
        </w:rPr>
      </w:pPr>
      <w:r>
        <w:rPr>
          <w:rFonts w:ascii="Arial" w:cs="Arial" w:eastAsia="Arial" w:hAnsi="Arial"/>
          <w:sz w:val="15"/>
          <w:szCs w:val="15"/>
          <w:color w:val="auto"/>
        </w:rPr>
        <w:t>establishing and maintaining pricing sufficient to realize a meaningful return on our investment; and</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20"/>
        </w:numPr>
        <w:rPr>
          <w:rFonts w:ascii="Arial" w:cs="Arial" w:eastAsia="Arial" w:hAnsi="Arial"/>
          <w:sz w:val="24"/>
          <w:szCs w:val="24"/>
          <w:color w:val="auto"/>
          <w:vertAlign w:val="superscript"/>
        </w:rPr>
      </w:pPr>
      <w:r>
        <w:rPr>
          <w:rFonts w:ascii="Arial" w:cs="Arial" w:eastAsia="Arial" w:hAnsi="Arial"/>
          <w:sz w:val="15"/>
          <w:szCs w:val="15"/>
          <w:color w:val="auto"/>
        </w:rPr>
        <w:t>competition with other therapies.</w:t>
      </w:r>
    </w:p>
    <w:p>
      <w:pPr>
        <w:spacing w:after="0" w:line="202"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If we are unable to develop, receive marketing approval for, or successfully commercialize CRLX101, or experience delays as a result of any of these factors or otherwise, our business could be materially harmed.</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8" w:name="page29"/>
    <w:bookmarkEnd w:id="28"/>
    <w:p>
      <w:pPr>
        <w:ind w:right="800" w:firstLine="518"/>
        <w:spacing w:after="0" w:line="342" w:lineRule="auto"/>
        <w:rPr>
          <w:sz w:val="20"/>
          <w:szCs w:val="20"/>
          <w:color w:val="auto"/>
        </w:rPr>
      </w:pPr>
      <w:r>
        <w:rPr>
          <w:rFonts w:ascii="Arial" w:cs="Arial" w:eastAsia="Arial" w:hAnsi="Arial"/>
          <w:sz w:val="16"/>
          <w:szCs w:val="16"/>
          <w:b w:val="1"/>
          <w:bCs w:val="1"/>
          <w:i w:val="1"/>
          <w:iCs w:val="1"/>
          <w:color w:val="auto"/>
        </w:rPr>
        <w:t>If we experience delays or difficulties in the enrollment of patients in clinical trials, we may not achieve our clinical development on our anticipated timeline, or at all, and our receipt of necessary regulatory approvals could be delayed or prevented.</w:t>
      </w:r>
    </w:p>
    <w:p>
      <w:pPr>
        <w:spacing w:after="0" w:line="124"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We may not be able to initiate or continue clinical trials for CRLX101 or any of our other product candidates if we are unable to locate and enroll a sufficient number of eligible patients to participate in clinical trials. Patient enrollment is a significant factor in the timing of clinical trials, and is affected by many factors, including:</w:t>
      </w:r>
    </w:p>
    <w:p>
      <w:pPr>
        <w:ind w:left="1040" w:hanging="519"/>
        <w:spacing w:after="0" w:line="218" w:lineRule="auto"/>
        <w:tabs>
          <w:tab w:leader="none" w:pos="1040" w:val="left"/>
        </w:tabs>
        <w:numPr>
          <w:ilvl w:val="0"/>
          <w:numId w:val="21"/>
        </w:numPr>
        <w:rPr>
          <w:rFonts w:ascii="Arial" w:cs="Arial" w:eastAsia="Arial" w:hAnsi="Arial"/>
          <w:sz w:val="29"/>
          <w:szCs w:val="29"/>
          <w:color w:val="auto"/>
          <w:vertAlign w:val="superscript"/>
        </w:rPr>
      </w:pPr>
      <w:r>
        <w:rPr>
          <w:rFonts w:ascii="Arial" w:cs="Arial" w:eastAsia="Arial" w:hAnsi="Arial"/>
          <w:sz w:val="18"/>
          <w:szCs w:val="18"/>
          <w:color w:val="auto"/>
        </w:rPr>
        <w:t>the size and nature of the patient population;</w:t>
      </w:r>
    </w:p>
    <w:p>
      <w:pPr>
        <w:spacing w:after="0" w:line="110" w:lineRule="exact"/>
        <w:rPr>
          <w:rFonts w:ascii="Arial" w:cs="Arial" w:eastAsia="Arial" w:hAnsi="Arial"/>
          <w:sz w:val="29"/>
          <w:szCs w:val="29"/>
          <w:color w:val="auto"/>
          <w:vertAlign w:val="superscript"/>
        </w:rPr>
      </w:pPr>
    </w:p>
    <w:p>
      <w:pPr>
        <w:ind w:left="1040" w:hanging="519"/>
        <w:spacing w:after="0" w:line="186" w:lineRule="auto"/>
        <w:tabs>
          <w:tab w:leader="none" w:pos="1040" w:val="left"/>
        </w:tabs>
        <w:numPr>
          <w:ilvl w:val="0"/>
          <w:numId w:val="21"/>
        </w:numPr>
        <w:rPr>
          <w:rFonts w:ascii="Arial" w:cs="Arial" w:eastAsia="Arial" w:hAnsi="Arial"/>
          <w:sz w:val="24"/>
          <w:szCs w:val="24"/>
          <w:color w:val="auto"/>
          <w:vertAlign w:val="superscript"/>
        </w:rPr>
      </w:pPr>
      <w:r>
        <w:rPr>
          <w:rFonts w:ascii="Arial" w:cs="Arial" w:eastAsia="Arial" w:hAnsi="Arial"/>
          <w:sz w:val="15"/>
          <w:szCs w:val="15"/>
          <w:color w:val="auto"/>
        </w:rPr>
        <w:t>the severity of the disease under investigation;</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21"/>
        </w:numPr>
        <w:rPr>
          <w:rFonts w:ascii="Arial" w:cs="Arial" w:eastAsia="Arial" w:hAnsi="Arial"/>
          <w:sz w:val="24"/>
          <w:szCs w:val="24"/>
          <w:color w:val="auto"/>
          <w:vertAlign w:val="superscript"/>
        </w:rPr>
      </w:pPr>
      <w:r>
        <w:rPr>
          <w:rFonts w:ascii="Arial" w:cs="Arial" w:eastAsia="Arial" w:hAnsi="Arial"/>
          <w:sz w:val="15"/>
          <w:szCs w:val="15"/>
          <w:color w:val="auto"/>
        </w:rPr>
        <w:t>unexpected or serious adverse events that occur in the trials;</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21"/>
        </w:numPr>
        <w:rPr>
          <w:rFonts w:ascii="Arial" w:cs="Arial" w:eastAsia="Arial" w:hAnsi="Arial"/>
          <w:sz w:val="24"/>
          <w:szCs w:val="24"/>
          <w:color w:val="auto"/>
          <w:vertAlign w:val="superscript"/>
        </w:rPr>
      </w:pPr>
      <w:r>
        <w:rPr>
          <w:rFonts w:ascii="Arial" w:cs="Arial" w:eastAsia="Arial" w:hAnsi="Arial"/>
          <w:sz w:val="15"/>
          <w:szCs w:val="15"/>
          <w:color w:val="auto"/>
        </w:rPr>
        <w:t>the proximity of patients to sites;</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21"/>
        </w:numPr>
        <w:rPr>
          <w:rFonts w:ascii="Arial" w:cs="Arial" w:eastAsia="Arial" w:hAnsi="Arial"/>
          <w:sz w:val="24"/>
          <w:szCs w:val="24"/>
          <w:color w:val="auto"/>
          <w:vertAlign w:val="superscript"/>
        </w:rPr>
      </w:pPr>
      <w:r>
        <w:rPr>
          <w:rFonts w:ascii="Arial" w:cs="Arial" w:eastAsia="Arial" w:hAnsi="Arial"/>
          <w:sz w:val="15"/>
          <w:szCs w:val="15"/>
          <w:color w:val="auto"/>
        </w:rPr>
        <w:t>the eligibility criteria for the trial;</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21"/>
        </w:numPr>
        <w:rPr>
          <w:rFonts w:ascii="Arial" w:cs="Arial" w:eastAsia="Arial" w:hAnsi="Arial"/>
          <w:sz w:val="24"/>
          <w:szCs w:val="24"/>
          <w:color w:val="auto"/>
          <w:vertAlign w:val="superscript"/>
        </w:rPr>
      </w:pPr>
      <w:r>
        <w:rPr>
          <w:rFonts w:ascii="Arial" w:cs="Arial" w:eastAsia="Arial" w:hAnsi="Arial"/>
          <w:sz w:val="15"/>
          <w:szCs w:val="15"/>
          <w:color w:val="auto"/>
        </w:rPr>
        <w:t>the design of the trial;</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21"/>
        </w:numPr>
        <w:rPr>
          <w:rFonts w:ascii="Arial" w:cs="Arial" w:eastAsia="Arial" w:hAnsi="Arial"/>
          <w:sz w:val="24"/>
          <w:szCs w:val="24"/>
          <w:color w:val="auto"/>
          <w:vertAlign w:val="superscript"/>
        </w:rPr>
      </w:pPr>
      <w:r>
        <w:rPr>
          <w:rFonts w:ascii="Arial" w:cs="Arial" w:eastAsia="Arial" w:hAnsi="Arial"/>
          <w:sz w:val="15"/>
          <w:szCs w:val="15"/>
          <w:color w:val="auto"/>
        </w:rPr>
        <w:t>efforts to facilitate timely enrollment;</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21"/>
        </w:numPr>
        <w:rPr>
          <w:rFonts w:ascii="Arial" w:cs="Arial" w:eastAsia="Arial" w:hAnsi="Arial"/>
          <w:sz w:val="24"/>
          <w:szCs w:val="24"/>
          <w:color w:val="auto"/>
          <w:vertAlign w:val="superscript"/>
        </w:rPr>
      </w:pPr>
      <w:r>
        <w:rPr>
          <w:rFonts w:ascii="Arial" w:cs="Arial" w:eastAsia="Arial" w:hAnsi="Arial"/>
          <w:sz w:val="15"/>
          <w:szCs w:val="15"/>
          <w:color w:val="auto"/>
        </w:rPr>
        <w:t>investigators’ engagement with, or enthusiasm about, the trial;</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21"/>
        </w:numPr>
        <w:rPr>
          <w:rFonts w:ascii="Arial" w:cs="Arial" w:eastAsia="Arial" w:hAnsi="Arial"/>
          <w:sz w:val="24"/>
          <w:szCs w:val="24"/>
          <w:color w:val="auto"/>
          <w:vertAlign w:val="superscript"/>
        </w:rPr>
      </w:pPr>
      <w:r>
        <w:rPr>
          <w:rFonts w:ascii="Arial" w:cs="Arial" w:eastAsia="Arial" w:hAnsi="Arial"/>
          <w:sz w:val="15"/>
          <w:szCs w:val="15"/>
          <w:color w:val="auto"/>
        </w:rPr>
        <w:t>complexity of initiating or expanding trials with sites outside the United States;</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21"/>
        </w:numPr>
        <w:rPr>
          <w:rFonts w:ascii="Arial" w:cs="Arial" w:eastAsia="Arial" w:hAnsi="Arial"/>
          <w:sz w:val="24"/>
          <w:szCs w:val="24"/>
          <w:color w:val="auto"/>
          <w:vertAlign w:val="superscript"/>
        </w:rPr>
      </w:pPr>
      <w:r>
        <w:rPr>
          <w:rFonts w:ascii="Arial" w:cs="Arial" w:eastAsia="Arial" w:hAnsi="Arial"/>
          <w:sz w:val="15"/>
          <w:szCs w:val="15"/>
          <w:color w:val="auto"/>
        </w:rPr>
        <w:t>competing trials; and</w:t>
      </w:r>
    </w:p>
    <w:p>
      <w:pPr>
        <w:spacing w:after="0" w:line="110" w:lineRule="exact"/>
        <w:rPr>
          <w:rFonts w:ascii="Arial" w:cs="Arial" w:eastAsia="Arial" w:hAnsi="Arial"/>
          <w:sz w:val="24"/>
          <w:szCs w:val="24"/>
          <w:color w:val="auto"/>
          <w:vertAlign w:val="superscript"/>
        </w:rPr>
      </w:pPr>
    </w:p>
    <w:p>
      <w:pPr>
        <w:ind w:left="1040" w:right="260" w:hanging="519"/>
        <w:spacing w:after="0" w:line="191" w:lineRule="auto"/>
        <w:tabs>
          <w:tab w:leader="none" w:pos="1040" w:val="left"/>
        </w:tabs>
        <w:numPr>
          <w:ilvl w:val="0"/>
          <w:numId w:val="21"/>
        </w:numPr>
        <w:rPr>
          <w:rFonts w:ascii="Arial" w:cs="Arial" w:eastAsia="Arial" w:hAnsi="Arial"/>
          <w:sz w:val="29"/>
          <w:szCs w:val="29"/>
          <w:color w:val="auto"/>
          <w:vertAlign w:val="superscript"/>
        </w:rPr>
      </w:pPr>
      <w:r>
        <w:rPr>
          <w:rFonts w:ascii="Arial" w:cs="Arial" w:eastAsia="Arial" w:hAnsi="Arial"/>
          <w:sz w:val="18"/>
          <w:szCs w:val="18"/>
          <w:color w:val="auto"/>
        </w:rPr>
        <w:t>clinicians’ and patients’ perceptions as to the potential advantages and risks of the drug being studied in relation to other available therapies, including any new drugs that may be approved for the indications we are investigating.</w:t>
      </w:r>
    </w:p>
    <w:p>
      <w:pPr>
        <w:spacing w:after="0" w:line="202" w:lineRule="exact"/>
        <w:rPr>
          <w:sz w:val="20"/>
          <w:szCs w:val="20"/>
          <w:color w:val="auto"/>
        </w:rPr>
      </w:pPr>
    </w:p>
    <w:p>
      <w:pPr>
        <w:ind w:right="280" w:firstLine="518"/>
        <w:spacing w:after="0" w:line="342" w:lineRule="auto"/>
        <w:rPr>
          <w:sz w:val="20"/>
          <w:szCs w:val="20"/>
          <w:color w:val="auto"/>
        </w:rPr>
      </w:pPr>
      <w:r>
        <w:rPr>
          <w:rFonts w:ascii="Arial" w:cs="Arial" w:eastAsia="Arial" w:hAnsi="Arial"/>
          <w:sz w:val="16"/>
          <w:szCs w:val="16"/>
          <w:color w:val="auto"/>
        </w:rPr>
        <w:t>For example, with respect to our Phase 1b/2 company-sponsored trial of CRLX101 in combination with weekly paclitaxel in patients with relapsed ovarian cancer in collaboration with GOG, patient enrollment has been slower than expected as a result of various factors described above.</w:t>
      </w:r>
    </w:p>
    <w:p>
      <w:pPr>
        <w:spacing w:after="0" w:line="124"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Our inability to enroll a sufficient number of patients for our clinical trials could result in significant delays or may require us to abandon one or more clinical trials altogether. Enrollment delays in our clinical trials may result in increased development costs for our product candidates, delay or halt the development of and approval processes for our product candidates and jeopardize our ability to achieve our clinical development timeline and goals, including the dates by which we will commence, complete and receive results from clinical trials. Enrollment delays may also delay or jeopardize our ability to commence sales and generate revenues from our product candidates. Any of the foregoing could cause the value of our company to decline and limit our ability to obtain additional financing, if and when needed.</w:t>
      </w:r>
    </w:p>
    <w:p>
      <w:pPr>
        <w:spacing w:after="0" w:line="193"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b w:val="1"/>
          <w:bCs w:val="1"/>
          <w:i w:val="1"/>
          <w:iCs w:val="1"/>
          <w:color w:val="auto"/>
        </w:rPr>
        <w:t>The FDA and other regulatory agencies may require more extensive or expensive trials for our combination product candidates than may be required for single agent pharmaceuticals.</w:t>
      </w:r>
    </w:p>
    <w:p>
      <w:pPr>
        <w:spacing w:after="0" w:line="170"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To obtain regulatory approval for a combination product candidate, the FDA typically requires an applicant to show that each active ingredient in an investigational combination drug candidate makes a contribution to the combined investigational drug candidate’s claimed effects and that the dosage of each component, including amount, frequency and duration, is such that the combination is safe and effective for a significant patient population requiring such concurrent therapy. This could require us to conduct more extensive and more expensive clinical trials than would be the case for a single agent pharmaceutical. As a result, the need to conduct such trials could make it more difficult and costly to obtain regulatory approval of our combination drug product candidate than of a new drug containing only a single active pharmaceutical ingredient.</w:t>
      </w:r>
    </w:p>
    <w:p>
      <w:pPr>
        <w:spacing w:after="0" w:line="178" w:lineRule="exact"/>
        <w:rPr>
          <w:sz w:val="20"/>
          <w:szCs w:val="20"/>
          <w:color w:val="auto"/>
        </w:rPr>
      </w:pPr>
    </w:p>
    <w:p>
      <w:pPr>
        <w:jc w:val="both"/>
        <w:ind w:right="40" w:firstLine="518"/>
        <w:spacing w:after="0" w:line="327" w:lineRule="auto"/>
        <w:rPr>
          <w:sz w:val="20"/>
          <w:szCs w:val="20"/>
          <w:color w:val="auto"/>
        </w:rPr>
      </w:pPr>
      <w:r>
        <w:rPr>
          <w:rFonts w:ascii="Arial" w:cs="Arial" w:eastAsia="Arial" w:hAnsi="Arial"/>
          <w:sz w:val="15"/>
          <w:szCs w:val="15"/>
          <w:b w:val="1"/>
          <w:bCs w:val="1"/>
          <w:i w:val="1"/>
          <w:iCs w:val="1"/>
          <w:color w:val="auto"/>
        </w:rPr>
        <w:t>We are currently pursuing the clinical development of CRLX101 in combinations with other drugs. For example, we are exploring combinations with paclitaxel, Lynparza</w:t>
      </w:r>
      <w:r>
        <w:rPr>
          <w:rFonts w:ascii="Arial" w:cs="Arial" w:eastAsia="Arial" w:hAnsi="Arial"/>
          <w:sz w:val="13"/>
          <w:szCs w:val="13"/>
          <w:b w:val="1"/>
          <w:bCs w:val="1"/>
          <w:i w:val="1"/>
          <w:iCs w:val="1"/>
          <w:color w:val="auto"/>
        </w:rPr>
        <w:t>TM</w:t>
      </w:r>
      <w:r>
        <w:rPr>
          <w:rFonts w:ascii="Arial" w:cs="Arial" w:eastAsia="Arial" w:hAnsi="Arial"/>
          <w:sz w:val="15"/>
          <w:szCs w:val="15"/>
          <w:b w:val="1"/>
          <w:bCs w:val="1"/>
          <w:i w:val="1"/>
          <w:iCs w:val="1"/>
          <w:color w:val="auto"/>
        </w:rPr>
        <w:t xml:space="preserve"> (olaparib), and the chemotherapeutic regimen known as FOLFOX (leucovorin calcium + fluorouracil + oxaliplatin). If the FDA revokes its approval of, or if safety, efficacy, manufacturing or supply issues arise with any drug that we use in combination with CRLX101, we may be unable to market CRLX101 or may experience significant regulatory delays or supply shortages, and our business could be materially harmed.</w:t>
      </w:r>
    </w:p>
    <w:p>
      <w:pPr>
        <w:spacing w:after="0" w:line="140"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If the FDA revokes its approval of any approved therapeutic that we use in combination therapy with CRLX101, then we will not be able to market CRLX101 in combination with that agent. If safety or efficacy issues arise with any such combination agent, we may experience significant regulatory delays, and the FDA may require us to redesign or terminate the applicable clinical trials. Moreover, if a combination agent for CRLX101 were to receive regulatory approval in combination with a different therapeutic in any indication for which we are pursuing approval, such approval could impact the feasibility and design of any subsequent clinical trials that we may seek to conduct evaluating CRLX101 in combination with such agent. In addition, if manufacturing, cost or other issues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9" w:name="page30"/>
    <w:bookmarkEnd w:id="29"/>
    <w:p>
      <w:pPr>
        <w:spacing w:after="0"/>
        <w:rPr>
          <w:sz w:val="20"/>
          <w:szCs w:val="20"/>
          <w:color w:val="auto"/>
        </w:rPr>
      </w:pPr>
      <w:r>
        <w:rPr>
          <w:rFonts w:ascii="Arial" w:cs="Arial" w:eastAsia="Arial" w:hAnsi="Arial"/>
          <w:sz w:val="17"/>
          <w:szCs w:val="17"/>
          <w:color w:val="auto"/>
        </w:rPr>
        <w:t>result in a supply shortage of any combination agent, we may not be able to complete clinical development of CRLX101 on our current timeline or at all.</w:t>
      </w:r>
    </w:p>
    <w:p>
      <w:pPr>
        <w:spacing w:after="0" w:line="237" w:lineRule="exact"/>
        <w:rPr>
          <w:sz w:val="20"/>
          <w:szCs w:val="20"/>
          <w:color w:val="auto"/>
        </w:rPr>
      </w:pPr>
    </w:p>
    <w:p>
      <w:pPr>
        <w:jc w:val="both"/>
        <w:ind w:right="100" w:firstLine="518"/>
        <w:spacing w:after="0" w:line="312" w:lineRule="auto"/>
        <w:rPr>
          <w:sz w:val="20"/>
          <w:szCs w:val="20"/>
          <w:color w:val="auto"/>
        </w:rPr>
      </w:pPr>
      <w:r>
        <w:rPr>
          <w:rFonts w:ascii="Arial" w:cs="Arial" w:eastAsia="Arial" w:hAnsi="Arial"/>
          <w:sz w:val="16"/>
          <w:szCs w:val="16"/>
          <w:color w:val="auto"/>
        </w:rPr>
        <w:t>Even if CRLX101 were to receive regulatory approval and be commercialized for use in combination with an approved combination agent, we would continue to be subject to the risk that the FDA could revoke its approval of such agent, that safety, efficacy, manufacturing, cost or supply issues could arise with one of these therapeutic agents. This could result in CRLX101 being removed from the market or being less successful commercially.</w:t>
      </w:r>
    </w:p>
    <w:p>
      <w:pPr>
        <w:spacing w:after="0" w:line="147"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b w:val="1"/>
          <w:bCs w:val="1"/>
          <w:i w:val="1"/>
          <w:iCs w:val="1"/>
          <w:color w:val="auto"/>
        </w:rPr>
        <w:t xml:space="preserve">We were not able to validate our hypothesis regarding the role of hypoxia inducible factor, or HIF, in cancer cells with the data from the RCC Trial. If we are unable to validate our other hypotheses about the potential ability of CRLX101 as a </w:t>
      </w:r>
      <w:r>
        <w:rPr>
          <w:rFonts w:ascii="Arial" w:cs="Arial" w:eastAsia="Arial" w:hAnsi="Arial"/>
          <w:sz w:val="18"/>
          <w:szCs w:val="18"/>
          <w:b w:val="1"/>
          <w:bCs w:val="1"/>
          <w:i w:val="1"/>
          <w:iCs w:val="1"/>
          <w:color w:val="454545"/>
        </w:rPr>
        <w:t>topoisomerase</w:t>
      </w:r>
      <w:r>
        <w:rPr>
          <w:rFonts w:ascii="Arial" w:cs="Arial" w:eastAsia="Arial" w:hAnsi="Arial"/>
          <w:sz w:val="18"/>
          <w:szCs w:val="18"/>
          <w:b w:val="1"/>
          <w:bCs w:val="1"/>
          <w:i w:val="1"/>
          <w:iCs w:val="1"/>
          <w:color w:val="auto"/>
        </w:rPr>
        <w:t xml:space="preserve"> 1, or topo 1, inhibitor, it may adversely affect our ability to commercialize and market CRLX101.</w:t>
      </w:r>
    </w:p>
    <w:p>
      <w:pPr>
        <w:spacing w:after="0" w:line="181" w:lineRule="exact"/>
        <w:rPr>
          <w:sz w:val="20"/>
          <w:szCs w:val="20"/>
          <w:color w:val="auto"/>
        </w:rPr>
      </w:pPr>
    </w:p>
    <w:p>
      <w:pPr>
        <w:ind w:right="60" w:firstLine="518"/>
        <w:spacing w:after="0" w:line="254" w:lineRule="auto"/>
        <w:rPr>
          <w:sz w:val="20"/>
          <w:szCs w:val="20"/>
          <w:color w:val="auto"/>
        </w:rPr>
      </w:pPr>
      <w:r>
        <w:rPr>
          <w:rFonts w:ascii="Arial" w:cs="Arial" w:eastAsia="Arial" w:hAnsi="Arial"/>
          <w:sz w:val="18"/>
          <w:szCs w:val="18"/>
          <w:color w:val="auto"/>
        </w:rPr>
        <w:t>We had previously prioritized the clinical development of CRLX101 in HIF-driven tumor types as a result of anti-cancer activity shown by CRLX101 in preclinical tumor models and the Phase 1b/2 IST conducted in relapsed RCC. However, data from the RCC Trial did not support our hypothesis that CRLX101 would be active against HIF-driven tumor types and we are no longer focusing our CRLX101 development efforts in this area. Our focus is on the potential of CRLX101 as a topo 1 inhibitor, and we are exploring the potential of CRLX101 in relapsed ovarian cancer as well as other topo 1 sensitive tumors, however this focus is also based on early clinical data in a small number of patients and there can be no assurance that CRLX101 will be effective against topo 1 sensitive tumors. If the clinical data from our ongoing clinical trials in these kinds of tumors does not support this hypothesis, we may be unable to secure additional financing, receive marketing approval for, or successfully commercialize, CRLX101, and our business could be materially harmed.</w:t>
      </w:r>
    </w:p>
    <w:p>
      <w:pPr>
        <w:spacing w:after="0" w:line="192" w:lineRule="exact"/>
        <w:rPr>
          <w:sz w:val="20"/>
          <w:szCs w:val="20"/>
          <w:color w:val="auto"/>
        </w:rPr>
      </w:pPr>
    </w:p>
    <w:p>
      <w:pPr>
        <w:ind w:right="440" w:firstLine="518"/>
        <w:spacing w:after="0" w:line="342" w:lineRule="auto"/>
        <w:rPr>
          <w:sz w:val="20"/>
          <w:szCs w:val="20"/>
          <w:color w:val="auto"/>
        </w:rPr>
      </w:pPr>
      <w:r>
        <w:rPr>
          <w:rFonts w:ascii="Arial" w:cs="Arial" w:eastAsia="Arial" w:hAnsi="Arial"/>
          <w:sz w:val="16"/>
          <w:szCs w:val="16"/>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124"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Two of our product candidates are in clinical development, all of our other potential product candidates are in preclinical development, and the risk of failure of all of our product candidates is high. It is impossible to predict when or if any of our product candidates will prove effective or safe in humans or will receive regulatory approval. Before obtaining marketing approval from regulatory authorities for the sale of any product candidate, we must complete preclinical development and then conduct extensive clinical trials to demonstrate the safety and efficacy of our product candidates in humans. Clinical testing is expensive, difficult to design and implement, can take many years to complete and is uncertain as to outcome. A failure of one or more clinical trials can occur at any stage of testing. The clinical development of our product candidates is susceptible to the risk of failure inherent at any stage of drug development, including failure to have a sufficient quantity of our product candidate available when needed, failure to demonstrate efficacy in a clinical trial or across a broad population of patients, the occurrence of severe or medically or commercially unacceptable adverse events, failure to comply with protocols or applicable regulatory requirements and determination by the FDA or any comparable non-U.S. regulatory authority that a drug product is not approvable. It is possible that even if one or more of our product candidates has a beneficial effect, that effect will not be detected during clinical evaluation as a result of one or more of a variety of factors, including the size, duration, dose, dosing schedule, design, measurements, conduct or analysis of our clinical trials. Conversely, as a result of the same factors, our clinical trials may indicate an apparent positive effect of a product candidate that is greater than the actual positive effect, if any. Similarly, in our clinical trials, we may fail to detect toxicity of or intolerability caused by our product candidates, or mistakenly believe that our product candidates are toxic or not well tolerated when that is not in fact the case.</w:t>
      </w:r>
    </w:p>
    <w:p>
      <w:pPr>
        <w:spacing w:after="0" w:line="172"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The outcome of preclinical studies and early clinical trials may not be predictive of the success of later clinical trials, and interim results of a clinical trial do not necessarily predict final results. For example, although a Phase 1/2a clinical trial of CRLX101 supported advancement of CRLX101 as monotherapy into Phase 2 clinical trials for patients with advanced NSCLC who had progressed through one or two prior regimens of chemotherapy, CRLX101 failed to meet its primary endpoint of improvement in overall survival of patients in this indication. More recently, although the results of the Phase 1b/2 single-arm IST of CRLX101 in patients with relapsed RCC supported our hypothesis that CRLX101 in combination with Avastin may be effective in this setting, the combination of CRLX101 and Avastin failed to meet the primary endpoint in the RCC Trial, and we are no longer developing CRLX101 in relapsed RCC. Many companies in the pharmaceutical and biotechnology industries have suffered significant setbacks in late-stage clinical trials after achieving positive results in earlier development, and we cannot be certain that we will not face additional setbacks. For example, although early results from our ongoing Phase 1b/2 clinical trial of CRLX101 in combination with paclitaxel in patients with relapsed ovarian cancer support our hypothesis that CRLX101 is active in topo 1 sensitive tumors, there is no assurance that data from this trial, or our other earlier trials exploring other topo 1 sensitive tumors, will support a registration strategy for CRLX101 in this setting. Moreover, we recently halted enrollment in two open-label ISTs of CRLX101 as a result of our cash preservation measures: the Phase 2 IST in patients with relapsed ovarian cancer, consisting of a single-arm trial of CRLX101 as monotherapy and a single-arm combination trial of CRLX101 and Avastin; and the Phase 1b/2 IST of CRLX101 in combination with chemoradiotherapy in patients with locally advanced rectal cancer.</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0" w:name="page31"/>
    <w:bookmarkEnd w:id="30"/>
    <w:p>
      <w:pPr>
        <w:ind w:right="180" w:firstLine="518"/>
        <w:spacing w:after="0" w:line="312" w:lineRule="auto"/>
        <w:rPr>
          <w:sz w:val="20"/>
          <w:szCs w:val="20"/>
          <w:color w:val="auto"/>
        </w:rPr>
      </w:pPr>
      <w:r>
        <w:rPr>
          <w:rFonts w:ascii="Arial" w:cs="Arial" w:eastAsia="Arial" w:hAnsi="Arial"/>
          <w:sz w:val="16"/>
          <w:szCs w:val="16"/>
          <w:color w:val="auto"/>
        </w:rPr>
        <w:t>The design of a clinical trial can determine whether its results will support approval of a product, and flaws in the design of a clinical trial may not become apparent until the clinical trial is well advanced or completed and protocol amendments, if any, to address such flaws may not be sufficiently timely or corrective. We have limited experience in designing clinical trials and may be unable to design and execute a clinical trial to support marketing approval.</w:t>
      </w:r>
    </w:p>
    <w:p>
      <w:pPr>
        <w:spacing w:after="0" w:line="147"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Another challenge is that preclinical and clinical data are often susceptible to varying interpretations and analyses. Many companies that believed their product candidates performed satisfactorily in preclinical studies and clinical trials have nonetheless failed to obtain marketing approval for the product candidates. Even if we believe that the results of clinical trials for our product candidates warrant marketing approval, the FDA or comparable non-U.S. regulatory authorities may disagree and may not grant marketing approval of our product candidates.</w:t>
      </w:r>
    </w:p>
    <w:p>
      <w:pPr>
        <w:spacing w:after="0" w:line="187"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type and disease progression of the patient populations, changes in and adherence to the clinical trial protocols, variability in the quality of clinical supply batches and the rate of dropout among clinical trial participants. Any Phase 2, Phase 3 or other clinical trials that we may conduct may not demonstrate the efficacy and safety necessary to obtain regulatory approval to market our product candidates.</w:t>
      </w:r>
    </w:p>
    <w:p>
      <w:pPr>
        <w:spacing w:after="0" w:line="188"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b w:val="1"/>
          <w:bCs w:val="1"/>
          <w:i w:val="1"/>
          <w:iCs w:val="1"/>
          <w:color w:val="auto"/>
        </w:rPr>
        <w:t>If we experience any of a number of possible unforeseen events in connection with clinical trials of our product candidates, potential marketing approval or commercialization of our product candidates could be delayed or prevented.</w:t>
      </w:r>
    </w:p>
    <w:p>
      <w:pPr>
        <w:spacing w:after="0" w:line="170"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marketing approval of our product candidates, including:</w:t>
      </w:r>
    </w:p>
    <w:p>
      <w:pPr>
        <w:spacing w:after="0" w:line="62" w:lineRule="exact"/>
        <w:rPr>
          <w:sz w:val="20"/>
          <w:szCs w:val="20"/>
          <w:color w:val="auto"/>
        </w:rPr>
      </w:pPr>
    </w:p>
    <w:p>
      <w:pPr>
        <w:ind w:left="1040" w:right="360" w:hanging="519"/>
        <w:spacing w:after="0" w:line="198" w:lineRule="auto"/>
        <w:tabs>
          <w:tab w:leader="none" w:pos="1040" w:val="left"/>
        </w:tabs>
        <w:numPr>
          <w:ilvl w:val="0"/>
          <w:numId w:val="22"/>
        </w:numPr>
        <w:rPr>
          <w:rFonts w:ascii="Arial" w:cs="Arial" w:eastAsia="Arial" w:hAnsi="Arial"/>
          <w:sz w:val="29"/>
          <w:szCs w:val="29"/>
          <w:color w:val="auto"/>
          <w:vertAlign w:val="superscript"/>
        </w:rPr>
      </w:pPr>
      <w:r>
        <w:rPr>
          <w:rFonts w:ascii="Arial" w:cs="Arial" w:eastAsia="Arial" w:hAnsi="Arial"/>
          <w:sz w:val="18"/>
          <w:szCs w:val="18"/>
          <w:color w:val="auto"/>
        </w:rPr>
        <w:t>clinical trials of our product candidates may produce unfavorable, incomplete or inconclusive results, such as, most recently, with our RCC Trial;</w:t>
      </w:r>
    </w:p>
    <w:p>
      <w:pPr>
        <w:spacing w:after="0" w:line="94" w:lineRule="exact"/>
        <w:rPr>
          <w:rFonts w:ascii="Arial" w:cs="Arial" w:eastAsia="Arial" w:hAnsi="Arial"/>
          <w:sz w:val="29"/>
          <w:szCs w:val="29"/>
          <w:color w:val="auto"/>
          <w:vertAlign w:val="superscript"/>
        </w:rPr>
      </w:pPr>
    </w:p>
    <w:p>
      <w:pPr>
        <w:ind w:left="1040" w:right="340" w:hanging="519"/>
        <w:spacing w:after="0" w:line="198" w:lineRule="auto"/>
        <w:tabs>
          <w:tab w:leader="none" w:pos="1040" w:val="left"/>
        </w:tabs>
        <w:numPr>
          <w:ilvl w:val="0"/>
          <w:numId w:val="22"/>
        </w:numPr>
        <w:rPr>
          <w:rFonts w:ascii="Arial" w:cs="Arial" w:eastAsia="Arial" w:hAnsi="Arial"/>
          <w:sz w:val="29"/>
          <w:szCs w:val="29"/>
          <w:color w:val="auto"/>
          <w:vertAlign w:val="superscript"/>
        </w:rPr>
      </w:pPr>
      <w:r>
        <w:rPr>
          <w:rFonts w:ascii="Arial" w:cs="Arial" w:eastAsia="Arial" w:hAnsi="Arial"/>
          <w:sz w:val="18"/>
          <w:szCs w:val="18"/>
          <w:color w:val="auto"/>
        </w:rPr>
        <w:t>we may decide, or regulators may advise us, to conduct additional clinical trials or we may decide to abandon an indication or development program following changes in the regulatory environment or competitive landscape;</w:t>
      </w:r>
    </w:p>
    <w:p>
      <w:pPr>
        <w:ind w:left="1040" w:hanging="519"/>
        <w:spacing w:after="0" w:line="233" w:lineRule="auto"/>
        <w:tabs>
          <w:tab w:leader="none" w:pos="1040" w:val="left"/>
        </w:tabs>
        <w:numPr>
          <w:ilvl w:val="0"/>
          <w:numId w:val="22"/>
        </w:numPr>
        <w:rPr>
          <w:rFonts w:ascii="Arial" w:cs="Arial" w:eastAsia="Arial" w:hAnsi="Arial"/>
          <w:sz w:val="29"/>
          <w:szCs w:val="29"/>
          <w:color w:val="auto"/>
          <w:vertAlign w:val="superscript"/>
        </w:rPr>
      </w:pPr>
      <w:r>
        <w:rPr>
          <w:rFonts w:ascii="Arial" w:cs="Arial" w:eastAsia="Arial" w:hAnsi="Arial"/>
          <w:sz w:val="18"/>
          <w:szCs w:val="18"/>
          <w:color w:val="auto"/>
        </w:rPr>
        <w:t>we may decide to add or to change a dosing schedule for any given clinical trial based on relevant data;</w:t>
      </w:r>
    </w:p>
    <w:p>
      <w:pPr>
        <w:spacing w:after="0" w:line="110" w:lineRule="exact"/>
        <w:rPr>
          <w:rFonts w:ascii="Arial" w:cs="Arial" w:eastAsia="Arial" w:hAnsi="Arial"/>
          <w:sz w:val="29"/>
          <w:szCs w:val="29"/>
          <w:color w:val="auto"/>
          <w:vertAlign w:val="superscript"/>
        </w:rPr>
      </w:pPr>
    </w:p>
    <w:p>
      <w:pPr>
        <w:ind w:left="1040" w:right="40" w:hanging="519"/>
        <w:spacing w:after="0" w:line="199" w:lineRule="auto"/>
        <w:tabs>
          <w:tab w:leader="none" w:pos="1040" w:val="left"/>
        </w:tabs>
        <w:numPr>
          <w:ilvl w:val="0"/>
          <w:numId w:val="22"/>
        </w:numPr>
        <w:rPr>
          <w:rFonts w:ascii="Arial" w:cs="Arial" w:eastAsia="Arial" w:hAnsi="Arial"/>
          <w:sz w:val="28"/>
          <w:szCs w:val="28"/>
          <w:color w:val="auto"/>
          <w:vertAlign w:val="superscript"/>
        </w:rPr>
      </w:pPr>
      <w:r>
        <w:rPr>
          <w:rFonts w:ascii="Arial" w:cs="Arial" w:eastAsia="Arial" w:hAnsi="Arial"/>
          <w:sz w:val="17"/>
          <w:szCs w:val="17"/>
          <w:color w:val="auto"/>
        </w:rPr>
        <w:t>the number of patients required for clinical trials of our product candidates may be larger than we anticipate, patient enrollment in these clinical trials may be slower than we anticipate or participants may drop out of these clinical trials at a higher rate than we anticipate;</w:t>
      </w:r>
    </w:p>
    <w:p>
      <w:pPr>
        <w:spacing w:after="0" w:line="95" w:lineRule="exact"/>
        <w:rPr>
          <w:rFonts w:ascii="Arial" w:cs="Arial" w:eastAsia="Arial" w:hAnsi="Arial"/>
          <w:sz w:val="28"/>
          <w:szCs w:val="28"/>
          <w:color w:val="auto"/>
          <w:vertAlign w:val="superscript"/>
        </w:rPr>
      </w:pPr>
    </w:p>
    <w:p>
      <w:pPr>
        <w:ind w:left="1040" w:hanging="519"/>
        <w:spacing w:after="0" w:line="198" w:lineRule="auto"/>
        <w:tabs>
          <w:tab w:leader="none" w:pos="1040" w:val="left"/>
        </w:tabs>
        <w:numPr>
          <w:ilvl w:val="0"/>
          <w:numId w:val="22"/>
        </w:numPr>
        <w:rPr>
          <w:rFonts w:ascii="Arial" w:cs="Arial" w:eastAsia="Arial" w:hAnsi="Arial"/>
          <w:sz w:val="29"/>
          <w:szCs w:val="29"/>
          <w:color w:val="auto"/>
          <w:vertAlign w:val="superscript"/>
        </w:rPr>
      </w:pPr>
      <w:r>
        <w:rPr>
          <w:rFonts w:ascii="Arial" w:cs="Arial" w:eastAsia="Arial" w:hAnsi="Arial"/>
          <w:sz w:val="18"/>
          <w:szCs w:val="18"/>
          <w:color w:val="auto"/>
        </w:rPr>
        <w:t>our supply of product candidates may be insufficient to complete our clinical trials as planned due to a batch failure, a lack of funds, a change in priorities, planning errors or other reasons;</w:t>
      </w:r>
    </w:p>
    <w:p>
      <w:pPr>
        <w:spacing w:after="0" w:line="94" w:lineRule="exact"/>
        <w:rPr>
          <w:rFonts w:ascii="Arial" w:cs="Arial" w:eastAsia="Arial" w:hAnsi="Arial"/>
          <w:sz w:val="29"/>
          <w:szCs w:val="29"/>
          <w:color w:val="auto"/>
          <w:vertAlign w:val="superscript"/>
        </w:rPr>
      </w:pPr>
    </w:p>
    <w:p>
      <w:pPr>
        <w:ind w:left="1040" w:right="200" w:hanging="519"/>
        <w:spacing w:after="0" w:line="207" w:lineRule="auto"/>
        <w:tabs>
          <w:tab w:leader="none" w:pos="1040" w:val="left"/>
        </w:tabs>
        <w:numPr>
          <w:ilvl w:val="0"/>
          <w:numId w:val="22"/>
        </w:numPr>
        <w:rPr>
          <w:rFonts w:ascii="Arial" w:cs="Arial" w:eastAsia="Arial" w:hAnsi="Arial"/>
          <w:sz w:val="28"/>
          <w:szCs w:val="28"/>
          <w:color w:val="auto"/>
          <w:vertAlign w:val="superscript"/>
        </w:rPr>
      </w:pPr>
      <w:r>
        <w:rPr>
          <w:rFonts w:ascii="Arial" w:cs="Arial" w:eastAsia="Arial" w:hAnsi="Arial"/>
          <w:sz w:val="17"/>
          <w:szCs w:val="17"/>
          <w:color w:val="auto"/>
        </w:rPr>
        <w:t>our third party contractors, including those manufacturing our product candidates or components or ingredients thereof or conducting clinical trials on our behalf, may fail to comply with regulatory requirements or meet our expectations in a timely manner or at all;</w:t>
      </w:r>
    </w:p>
    <w:p>
      <w:pPr>
        <w:spacing w:after="0" w:line="93" w:lineRule="exact"/>
        <w:rPr>
          <w:rFonts w:ascii="Arial" w:cs="Arial" w:eastAsia="Arial" w:hAnsi="Arial"/>
          <w:sz w:val="28"/>
          <w:szCs w:val="28"/>
          <w:color w:val="auto"/>
          <w:vertAlign w:val="superscript"/>
        </w:rPr>
      </w:pPr>
    </w:p>
    <w:p>
      <w:pPr>
        <w:ind w:left="1040" w:right="500" w:hanging="519"/>
        <w:spacing w:after="0" w:line="198" w:lineRule="auto"/>
        <w:tabs>
          <w:tab w:leader="none" w:pos="1040" w:val="left"/>
        </w:tabs>
        <w:numPr>
          <w:ilvl w:val="0"/>
          <w:numId w:val="22"/>
        </w:numPr>
        <w:rPr>
          <w:rFonts w:ascii="Arial" w:cs="Arial" w:eastAsia="Arial" w:hAnsi="Arial"/>
          <w:sz w:val="29"/>
          <w:szCs w:val="29"/>
          <w:color w:val="auto"/>
          <w:vertAlign w:val="superscript"/>
        </w:rPr>
      </w:pPr>
      <w:r>
        <w:rPr>
          <w:rFonts w:ascii="Arial" w:cs="Arial" w:eastAsia="Arial" w:hAnsi="Arial"/>
          <w:sz w:val="18"/>
          <w:szCs w:val="18"/>
          <w:color w:val="auto"/>
        </w:rPr>
        <w:t>we may decide to make changes to a trial protocol and fail to receive timely approval for the amendment from the applicable institutional review board(s) or ethics committee(s);</w:t>
      </w:r>
    </w:p>
    <w:p>
      <w:pPr>
        <w:spacing w:after="0" w:line="94" w:lineRule="exact"/>
        <w:rPr>
          <w:rFonts w:ascii="Arial" w:cs="Arial" w:eastAsia="Arial" w:hAnsi="Arial"/>
          <w:sz w:val="29"/>
          <w:szCs w:val="29"/>
          <w:color w:val="auto"/>
          <w:vertAlign w:val="superscript"/>
        </w:rPr>
      </w:pPr>
    </w:p>
    <w:p>
      <w:pPr>
        <w:ind w:left="1040" w:right="320" w:hanging="519"/>
        <w:spacing w:after="0" w:line="198" w:lineRule="auto"/>
        <w:tabs>
          <w:tab w:leader="none" w:pos="1040" w:val="left"/>
        </w:tabs>
        <w:numPr>
          <w:ilvl w:val="0"/>
          <w:numId w:val="22"/>
        </w:numPr>
        <w:rPr>
          <w:rFonts w:ascii="Arial" w:cs="Arial" w:eastAsia="Arial" w:hAnsi="Arial"/>
          <w:sz w:val="29"/>
          <w:szCs w:val="29"/>
          <w:color w:val="auto"/>
          <w:vertAlign w:val="superscript"/>
        </w:rPr>
      </w:pPr>
      <w:r>
        <w:rPr>
          <w:rFonts w:ascii="Arial" w:cs="Arial" w:eastAsia="Arial" w:hAnsi="Arial"/>
          <w:sz w:val="18"/>
          <w:szCs w:val="18"/>
          <w:color w:val="auto"/>
        </w:rPr>
        <w:t>regulators or institutional review boards may not authorize us or our investigators to commence a clinical trial or conduct a clinical trial at a prospective trial site;</w:t>
      </w:r>
    </w:p>
    <w:p>
      <w:pPr>
        <w:spacing w:after="0" w:line="25" w:lineRule="exact"/>
        <w:rPr>
          <w:rFonts w:ascii="Arial" w:cs="Arial" w:eastAsia="Arial" w:hAnsi="Arial"/>
          <w:sz w:val="29"/>
          <w:szCs w:val="29"/>
          <w:color w:val="auto"/>
          <w:vertAlign w:val="superscript"/>
        </w:rPr>
      </w:pPr>
    </w:p>
    <w:p>
      <w:pPr>
        <w:ind w:left="1040" w:hanging="519"/>
        <w:spacing w:after="0"/>
        <w:tabs>
          <w:tab w:leader="none" w:pos="1040" w:val="left"/>
        </w:tabs>
        <w:numPr>
          <w:ilvl w:val="0"/>
          <w:numId w:val="22"/>
        </w:numPr>
        <w:rPr>
          <w:rFonts w:ascii="Arial" w:cs="Arial" w:eastAsia="Arial" w:hAnsi="Arial"/>
          <w:sz w:val="26"/>
          <w:szCs w:val="26"/>
          <w:color w:val="auto"/>
          <w:vertAlign w:val="superscript"/>
        </w:rPr>
      </w:pPr>
      <w:r>
        <w:rPr>
          <w:rFonts w:ascii="Arial" w:cs="Arial" w:eastAsia="Arial" w:hAnsi="Arial"/>
          <w:sz w:val="16"/>
          <w:szCs w:val="16"/>
          <w:color w:val="auto"/>
        </w:rPr>
        <w:t>investigators may deviate from the trial protocol, fail to conduct the trial in accordance with regulatory requirements or misreport study data;</w:t>
      </w:r>
    </w:p>
    <w:p>
      <w:pPr>
        <w:spacing w:after="0" w:line="109" w:lineRule="exact"/>
        <w:rPr>
          <w:rFonts w:ascii="Arial" w:cs="Arial" w:eastAsia="Arial" w:hAnsi="Arial"/>
          <w:sz w:val="26"/>
          <w:szCs w:val="26"/>
          <w:color w:val="auto"/>
          <w:vertAlign w:val="superscript"/>
        </w:rPr>
      </w:pPr>
    </w:p>
    <w:p>
      <w:pPr>
        <w:ind w:left="1040" w:right="60" w:hanging="519"/>
        <w:spacing w:after="0" w:line="191" w:lineRule="auto"/>
        <w:tabs>
          <w:tab w:leader="none" w:pos="1040" w:val="left"/>
        </w:tabs>
        <w:numPr>
          <w:ilvl w:val="0"/>
          <w:numId w:val="22"/>
        </w:numPr>
        <w:rPr>
          <w:rFonts w:ascii="Arial" w:cs="Arial" w:eastAsia="Arial" w:hAnsi="Arial"/>
          <w:sz w:val="29"/>
          <w:szCs w:val="29"/>
          <w:color w:val="auto"/>
          <w:vertAlign w:val="superscript"/>
        </w:rPr>
      </w:pPr>
      <w:r>
        <w:rPr>
          <w:rFonts w:ascii="Arial" w:cs="Arial" w:eastAsia="Arial" w:hAnsi="Arial"/>
          <w:sz w:val="18"/>
          <w:szCs w:val="18"/>
          <w:color w:val="auto"/>
        </w:rPr>
        <w:t>we may experience delays in reaching or fail to reach agreement on acceptable clinical trial contracts or clinical trial protocols with prospective trial sites;</w:t>
      </w:r>
    </w:p>
    <w:p>
      <w:pPr>
        <w:spacing w:after="0" w:line="94" w:lineRule="exact"/>
        <w:rPr>
          <w:rFonts w:ascii="Arial" w:cs="Arial" w:eastAsia="Arial" w:hAnsi="Arial"/>
          <w:sz w:val="29"/>
          <w:szCs w:val="29"/>
          <w:color w:val="auto"/>
          <w:vertAlign w:val="superscript"/>
        </w:rPr>
      </w:pPr>
    </w:p>
    <w:p>
      <w:pPr>
        <w:ind w:left="1040" w:right="220" w:hanging="519"/>
        <w:spacing w:after="0" w:line="198" w:lineRule="auto"/>
        <w:tabs>
          <w:tab w:leader="none" w:pos="1040" w:val="left"/>
        </w:tabs>
        <w:numPr>
          <w:ilvl w:val="0"/>
          <w:numId w:val="22"/>
        </w:numPr>
        <w:rPr>
          <w:rFonts w:ascii="Arial" w:cs="Arial" w:eastAsia="Arial" w:hAnsi="Arial"/>
          <w:sz w:val="29"/>
          <w:szCs w:val="29"/>
          <w:color w:val="auto"/>
          <w:vertAlign w:val="superscript"/>
        </w:rPr>
      </w:pPr>
      <w:r>
        <w:rPr>
          <w:rFonts w:ascii="Arial" w:cs="Arial" w:eastAsia="Arial" w:hAnsi="Arial"/>
          <w:sz w:val="18"/>
          <w:szCs w:val="18"/>
          <w:color w:val="auto"/>
        </w:rPr>
        <w:t>prospective clinical trial sites may be unwilling to participate in one or more of our combination clinical trials due to a perceived difficulty in obtaining reimbursement from managed care plans, government, or other third party payors;</w:t>
      </w:r>
    </w:p>
    <w:p>
      <w:pPr>
        <w:spacing w:after="0" w:line="94" w:lineRule="exact"/>
        <w:rPr>
          <w:rFonts w:ascii="Arial" w:cs="Arial" w:eastAsia="Arial" w:hAnsi="Arial"/>
          <w:sz w:val="29"/>
          <w:szCs w:val="29"/>
          <w:color w:val="auto"/>
          <w:vertAlign w:val="superscript"/>
        </w:rPr>
      </w:pPr>
    </w:p>
    <w:p>
      <w:pPr>
        <w:ind w:left="1040" w:right="160" w:hanging="519"/>
        <w:spacing w:after="0" w:line="212" w:lineRule="auto"/>
        <w:tabs>
          <w:tab w:leader="none" w:pos="1040" w:val="left"/>
        </w:tabs>
        <w:numPr>
          <w:ilvl w:val="0"/>
          <w:numId w:val="22"/>
        </w:numPr>
        <w:rPr>
          <w:rFonts w:ascii="Arial" w:cs="Arial" w:eastAsia="Arial" w:hAnsi="Arial"/>
          <w:sz w:val="29"/>
          <w:szCs w:val="29"/>
          <w:color w:val="auto"/>
          <w:vertAlign w:val="superscript"/>
        </w:rPr>
      </w:pPr>
      <w:r>
        <w:rPr>
          <w:rFonts w:ascii="Arial" w:cs="Arial" w:eastAsia="Arial" w:hAnsi="Arial"/>
          <w:sz w:val="18"/>
          <w:szCs w:val="18"/>
          <w:color w:val="auto"/>
        </w:rPr>
        <w:t>patients who enroll in a clinical trial, or the investigators enrolling such patients, may misrepresent the patients’ eligibility to participate in the trial or may otherwise not comply with the clinical trial protocol, resulting in the need to drop the patients from the clinical trial, increase the enrollment size for the clinical trial or extend the clinical trial’s duration;</w:t>
      </w:r>
    </w:p>
    <w:p>
      <w:pPr>
        <w:spacing w:after="0" w:line="2" w:lineRule="exact"/>
        <w:rPr>
          <w:rFonts w:ascii="Arial" w:cs="Arial" w:eastAsia="Arial" w:hAnsi="Arial"/>
          <w:sz w:val="29"/>
          <w:szCs w:val="29"/>
          <w:color w:val="auto"/>
          <w:vertAlign w:val="superscript"/>
        </w:rPr>
      </w:pPr>
    </w:p>
    <w:p>
      <w:pPr>
        <w:ind w:left="1040" w:hanging="519"/>
        <w:spacing w:after="0" w:line="233" w:lineRule="auto"/>
        <w:tabs>
          <w:tab w:leader="none" w:pos="1040" w:val="left"/>
        </w:tabs>
        <w:numPr>
          <w:ilvl w:val="0"/>
          <w:numId w:val="22"/>
        </w:numPr>
        <w:rPr>
          <w:rFonts w:ascii="Arial" w:cs="Arial" w:eastAsia="Arial" w:hAnsi="Arial"/>
          <w:sz w:val="29"/>
          <w:szCs w:val="29"/>
          <w:color w:val="auto"/>
          <w:vertAlign w:val="superscript"/>
        </w:rPr>
      </w:pPr>
      <w:r>
        <w:rPr>
          <w:rFonts w:ascii="Arial" w:cs="Arial" w:eastAsia="Arial" w:hAnsi="Arial"/>
          <w:sz w:val="18"/>
          <w:szCs w:val="18"/>
          <w:color w:val="auto"/>
        </w:rPr>
        <w:t>for any given trial we may find it necessary to open more clinical trial sites than originally planned;</w:t>
      </w:r>
    </w:p>
    <w:p>
      <w:pPr>
        <w:spacing w:after="0" w:line="110" w:lineRule="exact"/>
        <w:rPr>
          <w:rFonts w:ascii="Arial" w:cs="Arial" w:eastAsia="Arial" w:hAnsi="Arial"/>
          <w:sz w:val="29"/>
          <w:szCs w:val="29"/>
          <w:color w:val="auto"/>
          <w:vertAlign w:val="superscript"/>
        </w:rPr>
      </w:pPr>
    </w:p>
    <w:p>
      <w:pPr>
        <w:ind w:left="1040" w:right="300" w:hanging="519"/>
        <w:spacing w:after="0" w:line="207" w:lineRule="auto"/>
        <w:tabs>
          <w:tab w:leader="none" w:pos="1040" w:val="left"/>
        </w:tabs>
        <w:numPr>
          <w:ilvl w:val="0"/>
          <w:numId w:val="22"/>
        </w:numPr>
        <w:rPr>
          <w:rFonts w:ascii="Arial" w:cs="Arial" w:eastAsia="Arial" w:hAnsi="Arial"/>
          <w:sz w:val="29"/>
          <w:szCs w:val="29"/>
          <w:color w:val="auto"/>
          <w:vertAlign w:val="superscript"/>
        </w:rPr>
      </w:pPr>
      <w:r>
        <w:rPr>
          <w:rFonts w:ascii="Arial" w:cs="Arial" w:eastAsia="Arial" w:hAnsi="Arial"/>
          <w:sz w:val="18"/>
          <w:szCs w:val="18"/>
          <w:color w:val="auto"/>
        </w:rPr>
        <w:t>we may have to suspend or terminate one or more clinical trials of our product candidates for various reasons, including unfavorable, incomplete or inconclusive data, unexpected delays, a change in funding priorities, a determination that the path to commercialization is too difficult or uncertain, a lack of sufficient funding, changes in the competitive or</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1" w:name="page32"/>
    <w:bookmarkEnd w:id="31"/>
    <w:p>
      <w:pPr>
        <w:ind w:left="1040" w:right="360"/>
        <w:spacing w:after="0" w:line="277" w:lineRule="auto"/>
        <w:rPr>
          <w:sz w:val="20"/>
          <w:szCs w:val="20"/>
          <w:color w:val="auto"/>
        </w:rPr>
      </w:pPr>
      <w:r>
        <w:rPr>
          <w:rFonts w:ascii="Arial" w:cs="Arial" w:eastAsia="Arial" w:hAnsi="Arial"/>
          <w:sz w:val="18"/>
          <w:szCs w:val="18"/>
          <w:color w:val="auto"/>
        </w:rPr>
        <w:t>regulatory landscape, a finding that the participants are being exposed to unacceptable health risks, unexpected or serious adverse events or other unexpected characteristics of a product candidate;</w:t>
      </w:r>
    </w:p>
    <w:p>
      <w:pPr>
        <w:spacing w:after="0" w:line="62" w:lineRule="exact"/>
        <w:rPr>
          <w:sz w:val="20"/>
          <w:szCs w:val="20"/>
          <w:color w:val="auto"/>
        </w:rPr>
      </w:pPr>
    </w:p>
    <w:p>
      <w:pPr>
        <w:ind w:left="1040" w:hanging="519"/>
        <w:spacing w:after="0" w:line="226" w:lineRule="auto"/>
        <w:tabs>
          <w:tab w:leader="none" w:pos="1040" w:val="left"/>
        </w:tabs>
        <w:numPr>
          <w:ilvl w:val="0"/>
          <w:numId w:val="23"/>
        </w:numPr>
        <w:rPr>
          <w:rFonts w:ascii="Arial" w:cs="Arial" w:eastAsia="Arial" w:hAnsi="Arial"/>
          <w:sz w:val="29"/>
          <w:szCs w:val="29"/>
          <w:color w:val="auto"/>
          <w:vertAlign w:val="superscript"/>
        </w:rPr>
      </w:pPr>
      <w:r>
        <w:rPr>
          <w:rFonts w:ascii="Arial" w:cs="Arial" w:eastAsia="Arial" w:hAnsi="Arial"/>
          <w:sz w:val="18"/>
          <w:szCs w:val="18"/>
          <w:color w:val="auto"/>
        </w:rPr>
        <w:t>regulators or institutional review boards may require that we or our investigators suspend or terminate clinical research for various reasons, including noncompliance with regulatory requirements or their respective standards of conduct, a finding that the participants are being exposed to unacceptable health risks, unexpected or serious adverse events or other unexpected characteristics of the product candidate or other therapeutic agents used in our clinical trials or findings of undesirable effects caused by a chemically or mechanistically similar drug or drug candidate;</w:t>
      </w:r>
    </w:p>
    <w:p>
      <w:pPr>
        <w:spacing w:after="0" w:line="94" w:lineRule="exact"/>
        <w:rPr>
          <w:rFonts w:ascii="Arial" w:cs="Arial" w:eastAsia="Arial" w:hAnsi="Arial"/>
          <w:sz w:val="29"/>
          <w:szCs w:val="29"/>
          <w:color w:val="auto"/>
          <w:vertAlign w:val="superscript"/>
        </w:rPr>
      </w:pPr>
    </w:p>
    <w:p>
      <w:pPr>
        <w:jc w:val="both"/>
        <w:ind w:left="1040" w:right="80" w:hanging="519"/>
        <w:spacing w:after="0" w:line="212" w:lineRule="auto"/>
        <w:tabs>
          <w:tab w:leader="none" w:pos="1040" w:val="left"/>
        </w:tabs>
        <w:numPr>
          <w:ilvl w:val="0"/>
          <w:numId w:val="23"/>
        </w:numPr>
        <w:rPr>
          <w:rFonts w:ascii="Arial" w:cs="Arial" w:eastAsia="Arial" w:hAnsi="Arial"/>
          <w:sz w:val="29"/>
          <w:szCs w:val="29"/>
          <w:color w:val="auto"/>
          <w:vertAlign w:val="superscript"/>
        </w:rPr>
      </w:pPr>
      <w:r>
        <w:rPr>
          <w:rFonts w:ascii="Arial" w:cs="Arial" w:eastAsia="Arial" w:hAnsi="Arial"/>
          <w:sz w:val="18"/>
          <w:szCs w:val="18"/>
          <w:color w:val="auto"/>
        </w:rPr>
        <w:t>the FDA or comparable non-U.S. regulatory authorities may disagree with our clinical trial design or our interpretation of data from preclinical studies and clinical trials, or may change the requirements for approval even after it has reviewed and commented on the design of our clinical trials;</w:t>
      </w:r>
    </w:p>
    <w:p>
      <w:pPr>
        <w:spacing w:after="0" w:line="96" w:lineRule="exact"/>
        <w:rPr>
          <w:rFonts w:ascii="Arial" w:cs="Arial" w:eastAsia="Arial" w:hAnsi="Arial"/>
          <w:sz w:val="29"/>
          <w:szCs w:val="29"/>
          <w:color w:val="auto"/>
          <w:vertAlign w:val="superscript"/>
        </w:rPr>
      </w:pPr>
    </w:p>
    <w:p>
      <w:pPr>
        <w:ind w:left="1040" w:right="400" w:hanging="519"/>
        <w:spacing w:after="0" w:line="198" w:lineRule="auto"/>
        <w:tabs>
          <w:tab w:leader="none" w:pos="1040" w:val="left"/>
        </w:tabs>
        <w:numPr>
          <w:ilvl w:val="0"/>
          <w:numId w:val="23"/>
        </w:numPr>
        <w:rPr>
          <w:rFonts w:ascii="Arial" w:cs="Arial" w:eastAsia="Arial" w:hAnsi="Arial"/>
          <w:sz w:val="29"/>
          <w:szCs w:val="29"/>
          <w:color w:val="auto"/>
          <w:vertAlign w:val="superscript"/>
        </w:rPr>
      </w:pPr>
      <w:r>
        <w:rPr>
          <w:rFonts w:ascii="Arial" w:cs="Arial" w:eastAsia="Arial" w:hAnsi="Arial"/>
          <w:sz w:val="18"/>
          <w:szCs w:val="18"/>
          <w:color w:val="auto"/>
        </w:rPr>
        <w:t>the FDA or comparable non-U.S. regulatory authorities may fail to approve or subsequently find fault with the manufacturing processes or facilities of third party manufacturers with which we enter into agreements for clinical and commercial supplies;</w:t>
      </w:r>
    </w:p>
    <w:p>
      <w:pPr>
        <w:spacing w:after="0" w:line="94" w:lineRule="exact"/>
        <w:rPr>
          <w:rFonts w:ascii="Arial" w:cs="Arial" w:eastAsia="Arial" w:hAnsi="Arial"/>
          <w:sz w:val="29"/>
          <w:szCs w:val="29"/>
          <w:color w:val="auto"/>
          <w:vertAlign w:val="superscript"/>
        </w:rPr>
      </w:pPr>
    </w:p>
    <w:p>
      <w:pPr>
        <w:jc w:val="both"/>
        <w:ind w:left="1040" w:right="140" w:hanging="519"/>
        <w:spacing w:after="0" w:line="212" w:lineRule="auto"/>
        <w:tabs>
          <w:tab w:leader="none" w:pos="1040" w:val="left"/>
        </w:tabs>
        <w:numPr>
          <w:ilvl w:val="0"/>
          <w:numId w:val="23"/>
        </w:numPr>
        <w:rPr>
          <w:rFonts w:ascii="Arial" w:cs="Arial" w:eastAsia="Arial" w:hAnsi="Arial"/>
          <w:sz w:val="29"/>
          <w:szCs w:val="29"/>
          <w:color w:val="auto"/>
          <w:vertAlign w:val="superscript"/>
        </w:rPr>
      </w:pPr>
      <w:r>
        <w:rPr>
          <w:rFonts w:ascii="Arial" w:cs="Arial" w:eastAsia="Arial" w:hAnsi="Arial"/>
          <w:sz w:val="18"/>
          <w:szCs w:val="18"/>
          <w:color w:val="auto"/>
        </w:rPr>
        <w:t>the supply or quality of raw materials or manufactured product candidates or drugs (whether provided by us or third parties) or other materials necessary to conduct clinical trials of our product candidates may be insufficient, inadequate or not available at an acceptable cost, or we may experience interruptions in supply; and</w:t>
      </w:r>
    </w:p>
    <w:p>
      <w:pPr>
        <w:spacing w:after="0" w:line="96" w:lineRule="exact"/>
        <w:rPr>
          <w:rFonts w:ascii="Arial" w:cs="Arial" w:eastAsia="Arial" w:hAnsi="Arial"/>
          <w:sz w:val="29"/>
          <w:szCs w:val="29"/>
          <w:color w:val="auto"/>
          <w:vertAlign w:val="superscript"/>
        </w:rPr>
      </w:pPr>
    </w:p>
    <w:p>
      <w:pPr>
        <w:ind w:left="1040" w:right="140" w:hanging="519"/>
        <w:spacing w:after="0" w:line="198" w:lineRule="auto"/>
        <w:tabs>
          <w:tab w:leader="none" w:pos="1040" w:val="left"/>
        </w:tabs>
        <w:numPr>
          <w:ilvl w:val="0"/>
          <w:numId w:val="23"/>
        </w:numPr>
        <w:rPr>
          <w:rFonts w:ascii="Arial" w:cs="Arial" w:eastAsia="Arial" w:hAnsi="Arial"/>
          <w:sz w:val="29"/>
          <w:szCs w:val="29"/>
          <w:color w:val="auto"/>
          <w:vertAlign w:val="superscript"/>
        </w:rPr>
      </w:pPr>
      <w:r>
        <w:rPr>
          <w:rFonts w:ascii="Arial" w:cs="Arial" w:eastAsia="Arial" w:hAnsi="Arial"/>
          <w:sz w:val="18"/>
          <w:szCs w:val="18"/>
          <w:color w:val="auto"/>
        </w:rPr>
        <w:t>the approval policies or regulations of the FDA or comparable non-U.S. regulatory authorities may significantly change in a manner rendering our clinical data insufficient to obtain marketing approval.</w:t>
      </w:r>
    </w:p>
    <w:p>
      <w:pPr>
        <w:spacing w:after="0" w:line="202"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Product development costs for us will increase if we experience delays in testing or pursuing marketing approvals and we may be required to obtain additional funds to complete clinical trials and prepare for possible commercialization of our product candidates. We do not know whether any preclinical tests or clinical trials will begin as planned, will need to be restructured or will be completed on schedule, or at all. Significant preclinical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and may harm our business and results of operations. In addition, many of the factors that cause, or lead to, clinical trial delays may ultimately lead to the denial of marketing approval of any of our product candidates.</w:t>
      </w:r>
    </w:p>
    <w:p>
      <w:pPr>
        <w:spacing w:after="0" w:line="165" w:lineRule="exact"/>
        <w:rPr>
          <w:sz w:val="20"/>
          <w:szCs w:val="20"/>
          <w:color w:val="auto"/>
        </w:rPr>
      </w:pPr>
    </w:p>
    <w:p>
      <w:pPr>
        <w:ind w:right="140" w:firstLine="518"/>
        <w:spacing w:after="0" w:line="381" w:lineRule="auto"/>
        <w:rPr>
          <w:sz w:val="20"/>
          <w:szCs w:val="20"/>
          <w:color w:val="auto"/>
        </w:rPr>
      </w:pPr>
      <w:r>
        <w:rPr>
          <w:rFonts w:ascii="Arial" w:cs="Arial" w:eastAsia="Arial" w:hAnsi="Arial"/>
          <w:sz w:val="15"/>
          <w:szCs w:val="15"/>
          <w:b w:val="1"/>
          <w:bCs w:val="1"/>
          <w:i w:val="1"/>
          <w:iCs w:val="1"/>
          <w:color w:val="auto"/>
        </w:rPr>
        <w:t>We have conducted and intend to conduct additional clinical trials for certain of our product candidates at sites outside the United States, and the FDA may not accept data from trials conducted in such locations or the complexity of regulatory burdens may otherwise adversely impact us.</w:t>
      </w:r>
    </w:p>
    <w:p>
      <w:pPr>
        <w:spacing w:after="0" w:line="101"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We have conducted, currently are conducting and intend in the future to conduct, clinical trials outside the United States. Opening trial sites outside the United States may involve additional regulatory, administrative and financial burdens, including compliance with foreign and local requirements relating to regulatory submission and clinical trial practices. For example, in late 2014, we commenced in Australia the Phase 1 portion of a Phase 1/2a clinical trial of CRLX301 in patients with advanced solid tumor malignancies. In addition, in the first half of 2015, we expanded the RCC Trial to South Korea where we opened five clinical sites. We expect to continue to conduct clinical trials of our product candidates at sites outside the U.S.</w:t>
      </w:r>
    </w:p>
    <w:p>
      <w:pPr>
        <w:spacing w:after="0" w:line="158" w:lineRule="exact"/>
        <w:rPr>
          <w:sz w:val="20"/>
          <w:szCs w:val="20"/>
          <w:color w:val="auto"/>
        </w:rPr>
      </w:pPr>
    </w:p>
    <w:p>
      <w:pPr>
        <w:ind w:right="80" w:firstLine="518"/>
        <w:spacing w:after="0" w:line="270" w:lineRule="auto"/>
        <w:rPr>
          <w:sz w:val="20"/>
          <w:szCs w:val="20"/>
          <w:color w:val="auto"/>
        </w:rPr>
      </w:pPr>
      <w:r>
        <w:rPr>
          <w:rFonts w:ascii="Arial" w:cs="Arial" w:eastAsia="Arial" w:hAnsi="Arial"/>
          <w:sz w:val="17"/>
          <w:szCs w:val="17"/>
          <w:color w:val="auto"/>
        </w:rPr>
        <w:t>Although the FDA may accept data from clinical trials conducted outside the United States, acceptance of these data is subject to certain conditions imposed by the FDA. For example, the clinical trial must be well designed and conducted and performed by qualified investigators in accordance with good clinical practices, including review and approval by an independent ethics committee and informed consent from trial patients. The trial population must also adequately represent the U.S. population, and the data must be applicable to the U.S. population and U.S. medical practice in ways that the FDA deems clinically meaningful. Generally, the patient population for any clinical trials conducted outside the United States must be representative of the population for which we intend to seek approval in the United States. In addition, while these clinical trials are subject to the applicable local laws, FDA acceptance of the data will be dependent upon its determination that the trials also complied with all applicable U.S. laws and regulations. Nonetheless, there can be no assurance that the FDA will accept data from trials conducted outside the United States. If the FDA does not accept the data from any trial that we conduct outside the United States, it would likely result in the need for additional clinical trials, which would be costly and time-consuming and delay or permanently halt our development of CRLX101, CRLX301 or any future product candidates.</w:t>
      </w:r>
    </w:p>
    <w:p>
      <w:pPr>
        <w:spacing w:after="0" w:line="178"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In addition, the conduct of clinical trials outside the United States could have a significant impact on us. Risks inherent in conducting international clinical trials include:</w:t>
      </w:r>
    </w:p>
    <w:p>
      <w:pPr>
        <w:ind w:left="1040" w:hanging="519"/>
        <w:spacing w:after="0" w:line="210" w:lineRule="auto"/>
        <w:tabs>
          <w:tab w:leader="none" w:pos="1040" w:val="left"/>
        </w:tabs>
        <w:numPr>
          <w:ilvl w:val="0"/>
          <w:numId w:val="24"/>
        </w:numPr>
        <w:rPr>
          <w:rFonts w:ascii="Arial" w:cs="Arial" w:eastAsia="Arial" w:hAnsi="Arial"/>
          <w:sz w:val="29"/>
          <w:szCs w:val="29"/>
          <w:color w:val="auto"/>
          <w:vertAlign w:val="superscript"/>
        </w:rPr>
      </w:pPr>
      <w:r>
        <w:rPr>
          <w:rFonts w:ascii="Arial" w:cs="Arial" w:eastAsia="Arial" w:hAnsi="Arial"/>
          <w:sz w:val="18"/>
          <w:szCs w:val="18"/>
          <w:color w:val="auto"/>
        </w:rPr>
        <w:t>foreign regulatory requirements that could burden or limit our ability to conduct our clinical trials;</w:t>
      </w:r>
    </w:p>
    <w:p>
      <w:pPr>
        <w:spacing w:after="0" w:line="110" w:lineRule="exact"/>
        <w:rPr>
          <w:rFonts w:ascii="Arial" w:cs="Arial" w:eastAsia="Arial" w:hAnsi="Arial"/>
          <w:sz w:val="29"/>
          <w:szCs w:val="29"/>
          <w:color w:val="auto"/>
          <w:vertAlign w:val="superscript"/>
        </w:rPr>
      </w:pPr>
    </w:p>
    <w:p>
      <w:pPr>
        <w:ind w:left="1040" w:right="220" w:hanging="519"/>
        <w:spacing w:after="0" w:line="191" w:lineRule="auto"/>
        <w:tabs>
          <w:tab w:leader="none" w:pos="1040" w:val="left"/>
        </w:tabs>
        <w:numPr>
          <w:ilvl w:val="0"/>
          <w:numId w:val="24"/>
        </w:numPr>
        <w:rPr>
          <w:rFonts w:ascii="Arial" w:cs="Arial" w:eastAsia="Arial" w:hAnsi="Arial"/>
          <w:sz w:val="29"/>
          <w:szCs w:val="29"/>
          <w:color w:val="auto"/>
          <w:vertAlign w:val="superscript"/>
        </w:rPr>
      </w:pPr>
      <w:r>
        <w:rPr>
          <w:rFonts w:ascii="Arial" w:cs="Arial" w:eastAsia="Arial" w:hAnsi="Arial"/>
          <w:sz w:val="18"/>
          <w:szCs w:val="18"/>
          <w:color w:val="auto"/>
        </w:rPr>
        <w:t>increased costs and heightened supply constraints associated with the acquisition of standard of care drugs and/or combination or comparator agents for which we may bear responsibility in certain jurisdictions;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 w:name="page33"/>
    <w:bookmarkEnd w:id="32"/>
    <w:p>
      <w:pPr>
        <w:ind w:left="1040" w:hanging="519"/>
        <w:spacing w:after="0"/>
        <w:tabs>
          <w:tab w:leader="none" w:pos="1040" w:val="left"/>
        </w:tabs>
        <w:numPr>
          <w:ilvl w:val="0"/>
          <w:numId w:val="25"/>
        </w:numPr>
        <w:rPr>
          <w:rFonts w:ascii="Arial" w:cs="Arial" w:eastAsia="Arial" w:hAnsi="Arial"/>
          <w:sz w:val="29"/>
          <w:szCs w:val="29"/>
          <w:color w:val="auto"/>
          <w:vertAlign w:val="superscript"/>
        </w:rPr>
      </w:pPr>
      <w:r>
        <w:rPr>
          <w:rFonts w:ascii="Arial" w:cs="Arial" w:eastAsia="Arial" w:hAnsi="Arial"/>
          <w:sz w:val="18"/>
          <w:szCs w:val="18"/>
          <w:color w:val="auto"/>
        </w:rPr>
        <w:t>administrative burdens of conducting clinical trials under multiple foreign regulatory schema;</w:t>
      </w:r>
    </w:p>
    <w:p>
      <w:pPr>
        <w:spacing w:after="0" w:line="109" w:lineRule="exact"/>
        <w:rPr>
          <w:rFonts w:ascii="Arial" w:cs="Arial" w:eastAsia="Arial" w:hAnsi="Arial"/>
          <w:sz w:val="29"/>
          <w:szCs w:val="29"/>
          <w:color w:val="auto"/>
          <w:vertAlign w:val="superscript"/>
        </w:rPr>
      </w:pPr>
    </w:p>
    <w:p>
      <w:pPr>
        <w:ind w:left="1040" w:hanging="519"/>
        <w:spacing w:after="0" w:line="186" w:lineRule="auto"/>
        <w:tabs>
          <w:tab w:leader="none" w:pos="1040" w:val="left"/>
        </w:tabs>
        <w:numPr>
          <w:ilvl w:val="0"/>
          <w:numId w:val="25"/>
        </w:numPr>
        <w:rPr>
          <w:rFonts w:ascii="Arial" w:cs="Arial" w:eastAsia="Arial" w:hAnsi="Arial"/>
          <w:sz w:val="24"/>
          <w:szCs w:val="24"/>
          <w:color w:val="auto"/>
          <w:vertAlign w:val="superscript"/>
        </w:rPr>
      </w:pPr>
      <w:r>
        <w:rPr>
          <w:rFonts w:ascii="Arial" w:cs="Arial" w:eastAsia="Arial" w:hAnsi="Arial"/>
          <w:sz w:val="15"/>
          <w:szCs w:val="15"/>
          <w:color w:val="auto"/>
        </w:rPr>
        <w:t>foreign exchange fluctuations;</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25"/>
        </w:numPr>
        <w:rPr>
          <w:rFonts w:ascii="Arial" w:cs="Arial" w:eastAsia="Arial" w:hAnsi="Arial"/>
          <w:sz w:val="24"/>
          <w:szCs w:val="24"/>
          <w:color w:val="auto"/>
          <w:vertAlign w:val="superscript"/>
        </w:rPr>
      </w:pPr>
      <w:r>
        <w:rPr>
          <w:rFonts w:ascii="Arial" w:cs="Arial" w:eastAsia="Arial" w:hAnsi="Arial"/>
          <w:sz w:val="15"/>
          <w:szCs w:val="15"/>
          <w:color w:val="auto"/>
        </w:rPr>
        <w:t>more burdensome manufacturing, customs, shipment and storage requirements;</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25"/>
        </w:numPr>
        <w:rPr>
          <w:rFonts w:ascii="Arial" w:cs="Arial" w:eastAsia="Arial" w:hAnsi="Arial"/>
          <w:sz w:val="24"/>
          <w:szCs w:val="24"/>
          <w:color w:val="auto"/>
          <w:vertAlign w:val="superscript"/>
        </w:rPr>
      </w:pPr>
      <w:r>
        <w:rPr>
          <w:rFonts w:ascii="Arial" w:cs="Arial" w:eastAsia="Arial" w:hAnsi="Arial"/>
          <w:sz w:val="15"/>
          <w:szCs w:val="15"/>
          <w:color w:val="auto"/>
        </w:rPr>
        <w:t>cultural differences in medical practice and clinical research;</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25"/>
        </w:numPr>
        <w:rPr>
          <w:rFonts w:ascii="Arial" w:cs="Arial" w:eastAsia="Arial" w:hAnsi="Arial"/>
          <w:sz w:val="24"/>
          <w:szCs w:val="24"/>
          <w:color w:val="auto"/>
          <w:vertAlign w:val="superscript"/>
        </w:rPr>
      </w:pPr>
      <w:r>
        <w:rPr>
          <w:rFonts w:ascii="Arial" w:cs="Arial" w:eastAsia="Arial" w:hAnsi="Arial"/>
          <w:sz w:val="15"/>
          <w:szCs w:val="15"/>
          <w:color w:val="auto"/>
        </w:rPr>
        <w:t>lack of consistency in standard of care from country to country;</w:t>
      </w:r>
    </w:p>
    <w:p>
      <w:pPr>
        <w:spacing w:after="0" w:line="110" w:lineRule="exact"/>
        <w:rPr>
          <w:rFonts w:ascii="Arial" w:cs="Arial" w:eastAsia="Arial" w:hAnsi="Arial"/>
          <w:sz w:val="24"/>
          <w:szCs w:val="24"/>
          <w:color w:val="auto"/>
          <w:vertAlign w:val="superscript"/>
        </w:rPr>
      </w:pPr>
    </w:p>
    <w:p>
      <w:pPr>
        <w:ind w:left="1020" w:hanging="499"/>
        <w:spacing w:after="0" w:line="186" w:lineRule="auto"/>
        <w:tabs>
          <w:tab w:leader="none" w:pos="1020" w:val="left"/>
        </w:tabs>
        <w:numPr>
          <w:ilvl w:val="0"/>
          <w:numId w:val="25"/>
        </w:numPr>
        <w:rPr>
          <w:rFonts w:ascii="Arial" w:cs="Arial" w:eastAsia="Arial" w:hAnsi="Arial"/>
          <w:sz w:val="24"/>
          <w:szCs w:val="24"/>
          <w:color w:val="auto"/>
          <w:vertAlign w:val="superscript"/>
        </w:rPr>
      </w:pPr>
      <w:r>
        <w:rPr>
          <w:rFonts w:ascii="Arial" w:cs="Arial" w:eastAsia="Arial" w:hAnsi="Arial"/>
          <w:sz w:val="15"/>
          <w:szCs w:val="15"/>
          <w:color w:val="auto"/>
        </w:rPr>
        <w:t>diminished protection of intellectual property in some countries; and</w:t>
      </w:r>
    </w:p>
    <w:p>
      <w:pPr>
        <w:spacing w:after="0" w:line="110" w:lineRule="exact"/>
        <w:rPr>
          <w:rFonts w:ascii="Arial" w:cs="Arial" w:eastAsia="Arial" w:hAnsi="Arial"/>
          <w:sz w:val="24"/>
          <w:szCs w:val="24"/>
          <w:color w:val="auto"/>
          <w:vertAlign w:val="superscript"/>
        </w:rPr>
      </w:pPr>
    </w:p>
    <w:p>
      <w:pPr>
        <w:ind w:left="1020" w:hanging="499"/>
        <w:spacing w:after="0" w:line="186" w:lineRule="auto"/>
        <w:tabs>
          <w:tab w:leader="none" w:pos="1020" w:val="left"/>
        </w:tabs>
        <w:numPr>
          <w:ilvl w:val="0"/>
          <w:numId w:val="25"/>
        </w:numPr>
        <w:rPr>
          <w:rFonts w:ascii="Arial" w:cs="Arial" w:eastAsia="Arial" w:hAnsi="Arial"/>
          <w:sz w:val="24"/>
          <w:szCs w:val="24"/>
          <w:color w:val="auto"/>
          <w:vertAlign w:val="superscript"/>
        </w:rPr>
      </w:pPr>
      <w:r>
        <w:rPr>
          <w:rFonts w:ascii="Arial" w:cs="Arial" w:eastAsia="Arial" w:hAnsi="Arial"/>
          <w:sz w:val="15"/>
          <w:szCs w:val="15"/>
          <w:color w:val="auto"/>
        </w:rPr>
        <w:t>changes in country or regional regulatory requirements.</w:t>
      </w:r>
    </w:p>
    <w:p>
      <w:pPr>
        <w:spacing w:after="0" w:line="202"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b w:val="1"/>
          <w:bCs w:val="1"/>
          <w:i w:val="1"/>
          <w:iCs w:val="1"/>
          <w:color w:val="auto"/>
        </w:rPr>
        <w:t>If clinical trials of our product candidates fail to demonstrate safety and efficacy to the satisfaction of the FDA and comparable non-U.S. regulators, we may incur additional costs or experience delays in completing, or ultimately be unable to complete, the development and commercialization of these product candidates.</w:t>
      </w:r>
    </w:p>
    <w:p>
      <w:pPr>
        <w:spacing w:after="0" w:line="181"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We are not permitted to commercialize, market, promote or sell any product candidate in the United States without obtaining marketing approval from the FDA. Comparable non-U.S. regulatory authorities, such as the EMA, impose similar restrictions. We may never receive such approvals. We must complete extensive preclinical development and clinical trials to demonstrate the safety and efficacy of our product candidates in humans before we will be able to obtain these approvals.</w:t>
      </w:r>
    </w:p>
    <w:p>
      <w:pPr>
        <w:spacing w:after="0" w:line="187" w:lineRule="exact"/>
        <w:rPr>
          <w:sz w:val="20"/>
          <w:szCs w:val="20"/>
          <w:color w:val="auto"/>
        </w:rPr>
      </w:pPr>
    </w:p>
    <w:p>
      <w:pPr>
        <w:jc w:val="both"/>
        <w:ind w:right="220" w:firstLine="518"/>
        <w:spacing w:after="0" w:line="264" w:lineRule="auto"/>
        <w:rPr>
          <w:sz w:val="20"/>
          <w:szCs w:val="20"/>
          <w:color w:val="auto"/>
        </w:rPr>
      </w:pPr>
      <w:r>
        <w:rPr>
          <w:rFonts w:ascii="Arial" w:cs="Arial" w:eastAsia="Arial" w:hAnsi="Arial"/>
          <w:sz w:val="18"/>
          <w:szCs w:val="18"/>
          <w:color w:val="auto"/>
        </w:rPr>
        <w:t>Clinical testing is expensive, difficult to design and implement, can take many years to complete and is inherently uncertain as to outcome. We have not previously submitted a new drug application, or an NDA, to the FDA or similar drug approval filings to comparable non-U.S. regulatory authorities for any of our product candidates.</w:t>
      </w:r>
    </w:p>
    <w:p>
      <w:pPr>
        <w:spacing w:after="0" w:line="181"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Any inability to successfully complete preclinical and clinical development could result in additional costs to us and impair our ability to generate revenues from product sales, regulatory and commercialization milestones and royalties. In addition, if (1) we are required to conduct additional or different clinical trials or preclinical testing of our product candidates beyond the trials and testing that we contemplate, (2) we are unable to successfully complete clinical trials or preclinical testing of our product candidates, (3) the results of these trials or tests are unfavorable, incomplete or inconclusive, or (4) there are unacceptable safety concerns associated with our product candidates, we, in addition to incurring additional costs, may:</w:t>
      </w:r>
    </w:p>
    <w:p>
      <w:pPr>
        <w:ind w:left="1040" w:hanging="519"/>
        <w:spacing w:after="0" w:line="212" w:lineRule="auto"/>
        <w:tabs>
          <w:tab w:leader="none" w:pos="1040" w:val="left"/>
        </w:tabs>
        <w:numPr>
          <w:ilvl w:val="0"/>
          <w:numId w:val="26"/>
        </w:numPr>
        <w:rPr>
          <w:rFonts w:ascii="Arial" w:cs="Arial" w:eastAsia="Arial" w:hAnsi="Arial"/>
          <w:sz w:val="29"/>
          <w:szCs w:val="29"/>
          <w:color w:val="auto"/>
          <w:vertAlign w:val="superscript"/>
        </w:rPr>
      </w:pPr>
      <w:r>
        <w:rPr>
          <w:rFonts w:ascii="Arial" w:cs="Arial" w:eastAsia="Arial" w:hAnsi="Arial"/>
          <w:sz w:val="18"/>
          <w:szCs w:val="18"/>
          <w:color w:val="auto"/>
        </w:rPr>
        <w:t>be delayed in obtaining marketing approval for our product candidates;</w:t>
      </w:r>
    </w:p>
    <w:p>
      <w:pPr>
        <w:spacing w:after="0" w:line="110" w:lineRule="exact"/>
        <w:rPr>
          <w:rFonts w:ascii="Arial" w:cs="Arial" w:eastAsia="Arial" w:hAnsi="Arial"/>
          <w:sz w:val="29"/>
          <w:szCs w:val="29"/>
          <w:color w:val="auto"/>
          <w:vertAlign w:val="superscript"/>
        </w:rPr>
      </w:pPr>
    </w:p>
    <w:p>
      <w:pPr>
        <w:ind w:left="1040" w:hanging="519"/>
        <w:spacing w:after="0" w:line="186" w:lineRule="auto"/>
        <w:tabs>
          <w:tab w:leader="none" w:pos="1040" w:val="left"/>
        </w:tabs>
        <w:numPr>
          <w:ilvl w:val="0"/>
          <w:numId w:val="26"/>
        </w:numPr>
        <w:rPr>
          <w:rFonts w:ascii="Arial" w:cs="Arial" w:eastAsia="Arial" w:hAnsi="Arial"/>
          <w:sz w:val="24"/>
          <w:szCs w:val="24"/>
          <w:color w:val="auto"/>
          <w:vertAlign w:val="superscript"/>
        </w:rPr>
      </w:pPr>
      <w:r>
        <w:rPr>
          <w:rFonts w:ascii="Arial" w:cs="Arial" w:eastAsia="Arial" w:hAnsi="Arial"/>
          <w:sz w:val="15"/>
          <w:szCs w:val="15"/>
          <w:color w:val="auto"/>
        </w:rPr>
        <w:t>not obtain marketing approval at all;</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26"/>
        </w:numPr>
        <w:rPr>
          <w:rFonts w:ascii="Arial" w:cs="Arial" w:eastAsia="Arial" w:hAnsi="Arial"/>
          <w:sz w:val="24"/>
          <w:szCs w:val="24"/>
          <w:color w:val="auto"/>
          <w:vertAlign w:val="superscript"/>
        </w:rPr>
      </w:pPr>
      <w:r>
        <w:rPr>
          <w:rFonts w:ascii="Arial" w:cs="Arial" w:eastAsia="Arial" w:hAnsi="Arial"/>
          <w:sz w:val="15"/>
          <w:szCs w:val="15"/>
          <w:color w:val="auto"/>
        </w:rPr>
        <w:t>obtain approval for indications or patient populations that are not as broad as we intended or desired;</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26"/>
        </w:numPr>
        <w:rPr>
          <w:rFonts w:ascii="Arial" w:cs="Arial" w:eastAsia="Arial" w:hAnsi="Arial"/>
          <w:sz w:val="24"/>
          <w:szCs w:val="24"/>
          <w:color w:val="auto"/>
          <w:vertAlign w:val="superscript"/>
        </w:rPr>
      </w:pPr>
      <w:r>
        <w:rPr>
          <w:rFonts w:ascii="Arial" w:cs="Arial" w:eastAsia="Arial" w:hAnsi="Arial"/>
          <w:sz w:val="15"/>
          <w:szCs w:val="15"/>
          <w:color w:val="auto"/>
        </w:rPr>
        <w:t>obtain approval with labeling that includes significant use or distribution restrictions or significant safety warnings, including boxed warnings;</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26"/>
        </w:numPr>
        <w:rPr>
          <w:rFonts w:ascii="Arial" w:cs="Arial" w:eastAsia="Arial" w:hAnsi="Arial"/>
          <w:sz w:val="24"/>
          <w:szCs w:val="24"/>
          <w:color w:val="auto"/>
          <w:vertAlign w:val="superscript"/>
        </w:rPr>
      </w:pPr>
      <w:r>
        <w:rPr>
          <w:rFonts w:ascii="Arial" w:cs="Arial" w:eastAsia="Arial" w:hAnsi="Arial"/>
          <w:sz w:val="15"/>
          <w:szCs w:val="15"/>
          <w:color w:val="auto"/>
        </w:rPr>
        <w:t>be subject to additional post-marketing testing or other requirements; or</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26"/>
        </w:numPr>
        <w:rPr>
          <w:rFonts w:ascii="Arial" w:cs="Arial" w:eastAsia="Arial" w:hAnsi="Arial"/>
          <w:sz w:val="24"/>
          <w:szCs w:val="24"/>
          <w:color w:val="auto"/>
          <w:vertAlign w:val="superscript"/>
        </w:rPr>
      </w:pPr>
      <w:r>
        <w:rPr>
          <w:rFonts w:ascii="Arial" w:cs="Arial" w:eastAsia="Arial" w:hAnsi="Arial"/>
          <w:sz w:val="15"/>
          <w:szCs w:val="15"/>
          <w:color w:val="auto"/>
        </w:rPr>
        <w:t>be required to remove the product from the market after obtaining marketing approval.</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 fast track designation by the FDA may not actually lead to a faster development or regulatory review or approval process.</w:t>
      </w:r>
    </w:p>
    <w:p>
      <w:pPr>
        <w:spacing w:after="0" w:line="225"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In July 2016 we received fast track designation for CRLX101 in combination with paclitaxel for the treatment of platinum-resistant ovarian carcinoma, fallopian tube or primary peritoneal cancer. We may seek fast track designation for other indications or other product candidates. If a drug is intended for the treatment of a serious or life-threatening condition and the drug demonstrates the potential to address unmet medical needs for this condition, the drug sponsor may apply for FDA fast track designation. The FDA has broad discretion whether or not to grant this designation, so even if we believe a particular product candidate is eligible for this designation, the FDA may still decide not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or stated intentions of our clinical development program. In April 2015 we had received fast track designation for CRLX101 for the treatment of metastatic RCC following progression through two or three prior lines of therapy. After we disclosed the RCC Trial data, we voluntarily surrendered our Fast Track designation in metastatic RCC.</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 w:right="239" w:bottom="1440" w:gutter="0" w:footer="0" w:header="0"/>
        </w:sectPr>
      </w:pPr>
    </w:p>
    <w:bookmarkStart w:id="33" w:name="page34"/>
    <w:bookmarkEnd w:id="33"/>
    <w:p>
      <w:pPr>
        <w:ind w:right="80" w:firstLine="518"/>
        <w:spacing w:after="0" w:line="308" w:lineRule="auto"/>
        <w:rPr>
          <w:sz w:val="20"/>
          <w:szCs w:val="20"/>
          <w:color w:val="auto"/>
        </w:rPr>
      </w:pPr>
      <w:r>
        <w:rPr>
          <w:rFonts w:ascii="Arial" w:cs="Arial" w:eastAsia="Arial" w:hAnsi="Arial"/>
          <w:sz w:val="17"/>
          <w:szCs w:val="17"/>
          <w:b w:val="1"/>
          <w:bCs w:val="1"/>
          <w:i w:val="1"/>
          <w:iCs w:val="1"/>
          <w:color w:val="auto"/>
        </w:rPr>
        <w:t>A breakthrough therapy designation by the FDA for our product candidates may not lead to a faster development or regulatory review or approval process, and it does not increase the likelihood that our product candidates will receive marketing approval.</w:t>
      </w:r>
    </w:p>
    <w:p>
      <w:pPr>
        <w:spacing w:after="0" w:line="147" w:lineRule="exact"/>
        <w:rPr>
          <w:sz w:val="20"/>
          <w:szCs w:val="20"/>
          <w:color w:val="auto"/>
        </w:rPr>
      </w:pPr>
    </w:p>
    <w:p>
      <w:pPr>
        <w:ind w:right="160" w:firstLine="518"/>
        <w:spacing w:after="0" w:line="293" w:lineRule="auto"/>
        <w:rPr>
          <w:sz w:val="20"/>
          <w:szCs w:val="20"/>
          <w:color w:val="auto"/>
        </w:rPr>
      </w:pPr>
      <w:r>
        <w:rPr>
          <w:rFonts w:ascii="Arial" w:cs="Arial" w:eastAsia="Arial" w:hAnsi="Arial"/>
          <w:sz w:val="16"/>
          <w:szCs w:val="16"/>
          <w:color w:val="auto"/>
        </w:rPr>
        <w:t>We may seek a breakthrough therapy designation for some of our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and biologics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w:t>
      </w:r>
    </w:p>
    <w:p>
      <w:pPr>
        <w:spacing w:after="0" w:line="165" w:lineRule="exact"/>
        <w:rPr>
          <w:sz w:val="20"/>
          <w:szCs w:val="20"/>
          <w:color w:val="auto"/>
        </w:rPr>
      </w:pPr>
    </w:p>
    <w:p>
      <w:pPr>
        <w:ind w:right="220" w:firstLine="518"/>
        <w:spacing w:after="0" w:line="273" w:lineRule="auto"/>
        <w:rPr>
          <w:sz w:val="20"/>
          <w:szCs w:val="20"/>
          <w:color w:val="auto"/>
        </w:rPr>
      </w:pPr>
      <w:r>
        <w:rPr>
          <w:rFonts w:ascii="Arial" w:cs="Arial" w:eastAsia="Arial" w:hAnsi="Arial"/>
          <w:sz w:val="17"/>
          <w:szCs w:val="17"/>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qualifies as a breakthrough therapy, the FDA may later decide that the product no longer meets the conditions for qualification or decide that the time period for FDA review or approval will not be shortened.</w:t>
      </w:r>
    </w:p>
    <w:p>
      <w:pPr>
        <w:spacing w:after="0" w:line="178" w:lineRule="exact"/>
        <w:rPr>
          <w:sz w:val="20"/>
          <w:szCs w:val="20"/>
          <w:color w:val="auto"/>
        </w:rPr>
      </w:pPr>
    </w:p>
    <w:p>
      <w:pPr>
        <w:ind w:right="640" w:firstLine="518"/>
        <w:spacing w:after="0" w:line="381" w:lineRule="auto"/>
        <w:rPr>
          <w:sz w:val="20"/>
          <w:szCs w:val="20"/>
          <w:color w:val="auto"/>
        </w:rPr>
      </w:pPr>
      <w:r>
        <w:rPr>
          <w:rFonts w:ascii="Arial" w:cs="Arial" w:eastAsia="Arial" w:hAnsi="Arial"/>
          <w:sz w:val="15"/>
          <w:szCs w:val="15"/>
          <w:b w:val="1"/>
          <w:bCs w:val="1"/>
          <w:i w:val="1"/>
          <w:iCs w:val="1"/>
          <w:color w:val="auto"/>
        </w:rPr>
        <w:t>If we fail to obtain or maintain orphan drug exclusivity for some of our product candidates, we will miss out on certain valuable incentives including a period of marketing exclusivity as well as federal grants, tax credits and a waiver of Prescription Drug User Fee Act filing fees.</w:t>
      </w:r>
    </w:p>
    <w:p>
      <w:pPr>
        <w:spacing w:after="0" w:line="101"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We intend to develop some product candidates that may be eligible for orphan drug designation from the FDA. Under the Orphan Drug Act, the FDA has discretion to designate a product as an orphan drug if it is designed to treat a rare disease or condition, which is defined as a patient population of less than 200,000 in the United States. The applicant that first obtains FDA approval for a designated orphan drug receives marketing exclusivity for use of that drug for the stated condition or disease for a period of seven years and becomes eligible for certain federal grants, tax credits and a waiver of Prescription Drug User Fee Act filing fees.</w:t>
      </w:r>
    </w:p>
    <w:p>
      <w:pPr>
        <w:spacing w:after="0" w:line="188" w:lineRule="exact"/>
        <w:rPr>
          <w:sz w:val="20"/>
          <w:szCs w:val="20"/>
          <w:color w:val="auto"/>
        </w:rPr>
      </w:pPr>
    </w:p>
    <w:p>
      <w:pPr>
        <w:jc w:val="both"/>
        <w:ind w:right="40" w:firstLine="518"/>
        <w:spacing w:after="0" w:line="312" w:lineRule="auto"/>
        <w:rPr>
          <w:sz w:val="20"/>
          <w:szCs w:val="20"/>
          <w:color w:val="auto"/>
        </w:rPr>
      </w:pPr>
      <w:r>
        <w:rPr>
          <w:rFonts w:ascii="Arial" w:cs="Arial" w:eastAsia="Arial" w:hAnsi="Arial"/>
          <w:sz w:val="16"/>
          <w:szCs w:val="16"/>
          <w:color w:val="auto"/>
        </w:rPr>
        <w:t>For our product candidates that are eligible, we plan to rely on the exclusivity period under the Orphan Drug Act to attain a competitive position. If we do not obtain orphan drug exclusivity for our drug products that do not have broad patent protection, our competitors may then sell the same drug to treat the same condition and our revenues will be reduced. In May 2015, the FDA granted orphan drug designation to CRLX101 for the treatment of ovarian cancer.</w:t>
      </w:r>
    </w:p>
    <w:p>
      <w:pPr>
        <w:spacing w:after="0" w:line="147" w:lineRule="exact"/>
        <w:rPr>
          <w:sz w:val="20"/>
          <w:szCs w:val="20"/>
          <w:color w:val="auto"/>
        </w:rPr>
      </w:pPr>
    </w:p>
    <w:p>
      <w:pPr>
        <w:ind w:right="80" w:firstLine="518"/>
        <w:spacing w:after="0" w:line="276" w:lineRule="auto"/>
        <w:rPr>
          <w:sz w:val="20"/>
          <w:szCs w:val="20"/>
          <w:color w:val="auto"/>
        </w:rPr>
      </w:pPr>
      <w:r>
        <w:rPr>
          <w:rFonts w:ascii="Arial" w:cs="Arial" w:eastAsia="Arial" w:hAnsi="Arial"/>
          <w:sz w:val="17"/>
          <w:szCs w:val="17"/>
          <w:color w:val="auto"/>
        </w:rPr>
        <w:t>Even though we have obtained orphan drug designation for CRLX101 for the treatment of ovarian cancer, we still may not be the first to obtain marketing approval for any particular orphan indication. Further, even if we obtain orphan drug exclusivity for a product candidate, that exclusivity may not effectively protect it from competition because different drugs can be approved for the same condition. Even after an orphan drug is approved and granted orphan drug exclusivity, the FDA can subsequently approve the same drug for the same condition. Orphan drug designation neither shortens the development time or regulatory review time of a drug, nor gives the drug any advantage in the regulatory review or approval process.</w:t>
      </w:r>
    </w:p>
    <w:p>
      <w:pPr>
        <w:spacing w:after="0" w:line="173"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b w:val="1"/>
          <w:bCs w:val="1"/>
          <w:i w:val="1"/>
          <w:iCs w:val="1"/>
          <w:color w:val="auto"/>
        </w:rPr>
        <w:t>We may request Priority Review for one or more of our product candidates at the time of the submission of the NDA to the FDA. The FDA may not grant Priority Review for any of our product candidates. Moreover, even if the FDA designated Priority Review for one of our product candidates, that designation may not lead to a faster regulatory review or approval process and, in any event, would not assure FDA approval.</w:t>
      </w:r>
    </w:p>
    <w:p>
      <w:pPr>
        <w:spacing w:after="0" w:line="147" w:lineRule="exact"/>
        <w:rPr>
          <w:sz w:val="20"/>
          <w:szCs w:val="20"/>
          <w:color w:val="auto"/>
        </w:rPr>
      </w:pPr>
    </w:p>
    <w:p>
      <w:pPr>
        <w:ind w:right="60" w:firstLine="518"/>
        <w:spacing w:after="0" w:line="269" w:lineRule="auto"/>
        <w:rPr>
          <w:sz w:val="20"/>
          <w:szCs w:val="20"/>
          <w:color w:val="auto"/>
        </w:rPr>
      </w:pPr>
      <w:r>
        <w:rPr>
          <w:rFonts w:ascii="Arial" w:cs="Arial" w:eastAsia="Arial" w:hAnsi="Arial"/>
          <w:sz w:val="17"/>
          <w:szCs w:val="17"/>
          <w:color w:val="auto"/>
        </w:rPr>
        <w:t>A ten-month standard NDA review clock will begin at the conclusion of the 60 calendar day filing review period that starts on the date the FDA receives the original submission. This means the FDA has a total of twelve months from its receipt of the original submission to take regulatory action. We may be eligible for Priority Review designation for our NDA submission if the FDA determines that our product candidate treats a serious condition and, if approved, would provide a significant improvement in safety or effectiveness. The six-month Priority Review clock will begin at the conclusion of the 60 calendar day filing review period that starts on the date of FDA receipt of the original submission. Therefore, if granted Priority Review, the FDA has a total of eight months to take action on an application rather than the standard total of twelve months. We may request Priority Review for CRLX101 if and when we submit an NDA for CRLX101. Our current clinical development programs in areas of unmet medical need assume CRLX101 and/or CRLX301 will receive Priority Review. The FDA has broad discretion whether or not to grant Priority Review to a product candidate, so even if we believe a particular product candidate is eligible for such designation or status, the FDA may decide not to grant it. Thus, while the FDA has granted Priority Review to other oncology product candidates, CRLX101 or CRLX301 may not receive similar designation. Moreover, even if one of our product candidates is designated for Priority Review, such a designation does not necessarily mean a faster regulatory review process or necessarily confer any advantage with respect to approval compared to</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4" w:name="page35"/>
    <w:bookmarkEnd w:id="34"/>
    <w:p>
      <w:pPr>
        <w:spacing w:after="0"/>
        <w:rPr>
          <w:sz w:val="20"/>
          <w:szCs w:val="20"/>
          <w:color w:val="auto"/>
        </w:rPr>
      </w:pPr>
      <w:r>
        <w:rPr>
          <w:rFonts w:ascii="Arial" w:cs="Arial" w:eastAsia="Arial" w:hAnsi="Arial"/>
          <w:sz w:val="16"/>
          <w:szCs w:val="16"/>
          <w:color w:val="auto"/>
        </w:rPr>
        <w:t>conventional FDA procedures. Receiving Priority Review from the FDA also does not guarantee approval within the eight-month review cycle or thereafter.</w:t>
      </w:r>
    </w:p>
    <w:p>
      <w:pPr>
        <w:spacing w:after="0" w:line="248" w:lineRule="exact"/>
        <w:rPr>
          <w:sz w:val="20"/>
          <w:szCs w:val="20"/>
          <w:color w:val="auto"/>
        </w:rPr>
      </w:pPr>
    </w:p>
    <w:p>
      <w:pPr>
        <w:jc w:val="both"/>
        <w:ind w:right="80" w:firstLine="518"/>
        <w:spacing w:after="0" w:line="312" w:lineRule="auto"/>
        <w:rPr>
          <w:sz w:val="20"/>
          <w:szCs w:val="20"/>
          <w:color w:val="auto"/>
        </w:rPr>
      </w:pPr>
      <w:r>
        <w:rPr>
          <w:rFonts w:ascii="Arial" w:cs="Arial" w:eastAsia="Arial" w:hAnsi="Arial"/>
          <w:sz w:val="16"/>
          <w:szCs w:val="16"/>
          <w:b w:val="1"/>
          <w:bCs w:val="1"/>
          <w:i w:val="1"/>
          <w:iCs w:val="1"/>
          <w:color w:val="auto"/>
        </w:rPr>
        <w:t>We believe we may in some instances be able to secure approval from the FDA or comparable non-U.S. regulatory authorities to use accelerated registration pathways. If unable to obtain such approval, we may be required to conduct additional preclinical studies or clinical trials beyond those that we contemplate, which could increase the expense of obtaining, and delay the receipt of, necessary marketing approvals.</w:t>
      </w:r>
    </w:p>
    <w:p>
      <w:pPr>
        <w:spacing w:after="0" w:line="147" w:lineRule="exact"/>
        <w:rPr>
          <w:sz w:val="20"/>
          <w:szCs w:val="20"/>
          <w:color w:val="auto"/>
        </w:rPr>
      </w:pPr>
    </w:p>
    <w:p>
      <w:pPr>
        <w:ind w:right="60" w:firstLine="518"/>
        <w:spacing w:after="0" w:line="268" w:lineRule="auto"/>
        <w:rPr>
          <w:sz w:val="20"/>
          <w:szCs w:val="20"/>
          <w:color w:val="auto"/>
        </w:rPr>
      </w:pPr>
      <w:r>
        <w:rPr>
          <w:rFonts w:ascii="Arial" w:cs="Arial" w:eastAsia="Arial" w:hAnsi="Arial"/>
          <w:sz w:val="17"/>
          <w:szCs w:val="17"/>
          <w:color w:val="auto"/>
        </w:rPr>
        <w:t>We anticipate that we may seek an Accelerated Approval development pathway for certain indications for our product candidates. Under the Accelerated Approval provisions in the Federal Food, Drug, and Cosmetic Act, or FDCA, and the FDA’s implementing regulations, the FDA may grant Accelerated Approval to a product designed to treat a serious or life-threatening condition that provides meaningful therapeutic benefit over available therapies upon a determination that the product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contingent on the sponsor’s agreement to conduct, in a diligent manner, additional post-approval confirmatory studies to verify and describe the drug’s clinical profile or risks and benefits for Accelerated Approval. If such post-approval studies fail to confirm the drug’s clinical profile or risks and benefits, the FDA may withdraw its approval of the drug.</w:t>
      </w:r>
    </w:p>
    <w:p>
      <w:pPr>
        <w:spacing w:after="0" w:line="188" w:lineRule="exact"/>
        <w:rPr>
          <w:sz w:val="20"/>
          <w:szCs w:val="20"/>
          <w:color w:val="auto"/>
        </w:rPr>
      </w:pPr>
    </w:p>
    <w:p>
      <w:pPr>
        <w:ind w:right="60" w:firstLine="518"/>
        <w:spacing w:after="0" w:line="288" w:lineRule="auto"/>
        <w:rPr>
          <w:sz w:val="20"/>
          <w:szCs w:val="20"/>
          <w:color w:val="auto"/>
        </w:rPr>
      </w:pPr>
      <w:r>
        <w:rPr>
          <w:rFonts w:ascii="Arial" w:cs="Arial" w:eastAsia="Arial" w:hAnsi="Arial"/>
          <w:sz w:val="16"/>
          <w:szCs w:val="16"/>
          <w:color w:val="auto"/>
        </w:rPr>
        <w:t>If we choose to pursue Accelerated Approval, we intend to seek feedback from the FDA and will otherwise evaluate our ability to seek and receive such Accelerated Approval. There can be no assurance that the FDA will agree that our endpoint is an appropriate surrogate endpoint. There can also be no assurance that after our evaluation of the feedback and other factors we will decide to pursue or submit an NDA for Accelerated Approval or any other form of expedited development, review or approval. Similarly, there can be no assurance that after subsequent FDA feedback that we will continue to pursue or apply for Accelerated Approval or any other form of expedited development, review or approval, even if we initially decide to do so. Furthermore, if we decide to submit an application for Accelerated Approval, there can be no assurance that such submission or application will be accepted or that any expedited review or approval will be granted on a timely basis, or at all. The FDA or other non-U.S. authorities could also require us to conduct further studies prior to considering our application or granting approval of any type. Even if the FDA agreed that we could pursue an Accelerated Approval registration pathway, we might not be able to fulfill the FDA’s requirements with respect to chemistry, manufacturing and controls in a timely manner, which would cause delays, or approval might not be granted because our submission is deemed incomplete by the FDA.</w:t>
      </w:r>
    </w:p>
    <w:p>
      <w:pPr>
        <w:spacing w:after="0" w:line="169"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A failure to obtain Accelerated Approval or any other form of expedited development, review or approval for our product candidates would result in a longer time period to commercialize such product candidate, could increase the cost of development of such product candidate and could harm our competitive position in the marketplace.</w:t>
      </w:r>
    </w:p>
    <w:p>
      <w:pPr>
        <w:spacing w:after="0" w:line="181" w:lineRule="exact"/>
        <w:rPr>
          <w:sz w:val="20"/>
          <w:szCs w:val="20"/>
          <w:color w:val="auto"/>
        </w:rPr>
      </w:pPr>
    </w:p>
    <w:p>
      <w:pPr>
        <w:ind w:right="60" w:firstLine="518"/>
        <w:spacing w:after="0" w:line="286" w:lineRule="auto"/>
        <w:rPr>
          <w:sz w:val="20"/>
          <w:szCs w:val="20"/>
          <w:color w:val="auto"/>
        </w:rPr>
      </w:pPr>
      <w:r>
        <w:rPr>
          <w:rFonts w:ascii="Arial" w:cs="Arial" w:eastAsia="Arial" w:hAnsi="Arial"/>
          <w:sz w:val="17"/>
          <w:szCs w:val="17"/>
          <w:b w:val="1"/>
          <w:bCs w:val="1"/>
          <w:i w:val="1"/>
          <w:iCs w:val="1"/>
          <w:color w:val="auto"/>
        </w:rPr>
        <w:t>Serious adverse events of CRLX101 or any of our product candidates may be identified during clinical development. Further, other unexpected properties of our product candidates may be identified during manufacture or development. Such adverse events or unexpected properties could delay or prevent the continued development and/or marketing approval of any such product candidate.</w:t>
      </w:r>
    </w:p>
    <w:p>
      <w:pPr>
        <w:spacing w:after="0" w:line="166"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Serious adverse events caused by, or other unexpected properties of, our product candidates could cause us, an institutional review board or regulatory authorities to interrupt, delay or halt clinical trials of one or more of our product candidates and could result in a more restrictive label or the delay or denial of marketing approval by the FDA or comparable non-U.S. regulatory authorities. If any of our product candidates is associated with serious adverse events or other unexpected properties, we may need to abandon development or limit development of that product candidate to certain uses or subpopulations in which those undesirable characteristics would be expected to be less prevalent, less severe or more tolerable from a risk-benefit perspective. If we learn that the manufacture of our product candidates generates unexpected impurities or product degradants, these properties could contribute to serious adverse events and negatively impact our overall development cost and timelines as we address those properties. Many compounds that initially showed promise in clinical or earlier stage testing have later been found to cause serious or unexpected adverse events and negatively affect overall development costs and timelines, which may even prevent further development of the compound.</w:t>
      </w:r>
    </w:p>
    <w:p>
      <w:pPr>
        <w:spacing w:after="0" w:line="182"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Both camptothecin, the anti-cancer payload of CRLX101, and docetaxel, the anti-cancer payload of CRLX301, have been associated with toxicities. These toxicities led to discontinuation of the clinical development in the case of camptothecin and have led</w:t>
      </w: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35" w:name="page36"/>
    <w:bookmarkEnd w:id="35"/>
    <w:p>
      <w:pPr>
        <w:ind w:right="20"/>
        <w:spacing w:after="0" w:line="271" w:lineRule="auto"/>
        <w:rPr>
          <w:sz w:val="20"/>
          <w:szCs w:val="20"/>
          <w:color w:val="auto"/>
        </w:rPr>
      </w:pPr>
      <w:r>
        <w:rPr>
          <w:rFonts w:ascii="Arial" w:cs="Arial" w:eastAsia="Arial" w:hAnsi="Arial"/>
          <w:sz w:val="17"/>
          <w:szCs w:val="17"/>
          <w:color w:val="auto"/>
        </w:rPr>
        <w:t>to dose adjustments, treatment discontinuation and extensive supportive care in the case of docetaxel. While we believe that our Dynamic Tumor Targeting Platform has the potential to improve the unfavorable adverse event profiles of both camptothecin and docetaxel, if this hypothesis is wrong and we experience unexpected or more severe toxicities in our ongoing clinical trials or in clinical trials we conduct in the future, whether due to the inclusion of camptothecin or docetaxel or another therapeutic as the anti-cancer payload in our NDCs or otherwise, we may not receive approval to market, or achieve commercial success with respect to, any of our product candidates, which could prevent us from ever generating revenues or achieving profitability. In addition, our Dynamic Tumor Targeting Platform may have other limitations with respect to targeting tumors and limiting exposure of normal tissue to our NDCs’ anti-cancer payload. For example, liver tissue has pore sizes that are generally larger than other normal tissue, and therefore, our NDCs and their anti-cancer payloads may preferentially concentrate in the liver.</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may not be successful in our efforts to identify or discover additional potential product candidates.</w:t>
      </w:r>
    </w:p>
    <w:p>
      <w:pPr>
        <w:spacing w:after="0" w:line="225"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development of new NDCs based on our Dynamic Tumor Targeting Platform is a key area of research for us. The drug discovery that we are conducting using our Dynamic Tumor Targeting Platform may not be successful in creating compounds that have commercial value or therapeutic utility. Our research programs may initially show promise in creating potential product candidates, yet fail to yield viable product candidates for clinical development for a number of reasons, including:</w:t>
      </w:r>
    </w:p>
    <w:p>
      <w:pPr>
        <w:spacing w:after="0" w:line="10" w:lineRule="exact"/>
        <w:rPr>
          <w:sz w:val="20"/>
          <w:szCs w:val="20"/>
          <w:color w:val="auto"/>
        </w:rPr>
      </w:pPr>
    </w:p>
    <w:p>
      <w:pPr>
        <w:ind w:left="1040" w:hanging="519"/>
        <w:spacing w:after="0"/>
        <w:tabs>
          <w:tab w:leader="none" w:pos="1040" w:val="left"/>
        </w:tabs>
        <w:numPr>
          <w:ilvl w:val="0"/>
          <w:numId w:val="27"/>
        </w:numPr>
        <w:rPr>
          <w:rFonts w:ascii="Arial" w:cs="Arial" w:eastAsia="Arial" w:hAnsi="Arial"/>
          <w:sz w:val="26"/>
          <w:szCs w:val="26"/>
          <w:color w:val="auto"/>
          <w:vertAlign w:val="superscript"/>
        </w:rPr>
      </w:pPr>
      <w:r>
        <w:rPr>
          <w:rFonts w:ascii="Arial" w:cs="Arial" w:eastAsia="Arial" w:hAnsi="Arial"/>
          <w:sz w:val="16"/>
          <w:szCs w:val="16"/>
          <w:color w:val="auto"/>
        </w:rPr>
        <w:t>newly designed NDCs may not demonstrate satisfactory efficacy or other benefits, either alone or in combination with other therapeutics; or</w:t>
      </w:r>
    </w:p>
    <w:p>
      <w:pPr>
        <w:spacing w:after="0" w:line="109" w:lineRule="exact"/>
        <w:rPr>
          <w:rFonts w:ascii="Arial" w:cs="Arial" w:eastAsia="Arial" w:hAnsi="Arial"/>
          <w:sz w:val="26"/>
          <w:szCs w:val="26"/>
          <w:color w:val="auto"/>
          <w:vertAlign w:val="superscript"/>
        </w:rPr>
      </w:pPr>
    </w:p>
    <w:p>
      <w:pPr>
        <w:ind w:left="1040" w:right="540" w:hanging="519"/>
        <w:spacing w:after="0" w:line="191" w:lineRule="auto"/>
        <w:tabs>
          <w:tab w:leader="none" w:pos="1040" w:val="left"/>
        </w:tabs>
        <w:numPr>
          <w:ilvl w:val="0"/>
          <w:numId w:val="27"/>
        </w:numPr>
        <w:rPr>
          <w:rFonts w:ascii="Arial" w:cs="Arial" w:eastAsia="Arial" w:hAnsi="Arial"/>
          <w:sz w:val="29"/>
          <w:szCs w:val="29"/>
          <w:color w:val="auto"/>
          <w:vertAlign w:val="superscript"/>
        </w:rPr>
      </w:pPr>
      <w:r>
        <w:rPr>
          <w:rFonts w:ascii="Arial" w:cs="Arial" w:eastAsia="Arial" w:hAnsi="Arial"/>
          <w:sz w:val="18"/>
          <w:szCs w:val="18"/>
          <w:color w:val="auto"/>
        </w:rPr>
        <w:t>potential product candidates may, on further study, be shown to have harmful toxicities or other characteristics that indicate that they are unlikely to be products that will receive marketing approval and achieve market acceptance.</w:t>
      </w:r>
    </w:p>
    <w:p>
      <w:pPr>
        <w:spacing w:after="0" w:line="202"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To identify new product candidates, our research programs will require substantial technical, financial and human resources. We may be unsuccessful in our efforts to identify new potential product candidates. In addition, we may focus our efforts and resources on one or more potential product candidates that ultimately prove to be unsuccessful. If we are unable to identify suitable additional compounds for preclinical and clinical development, our ability to develop product candidates and obtain product revenues in future periods could be compromised, which could result in significant harm to our financial position and adversely impact our stock price.</w:t>
      </w:r>
    </w:p>
    <w:p>
      <w:pPr>
        <w:spacing w:after="0" w:line="188"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b w:val="1"/>
          <w:bCs w:val="1"/>
          <w:i w:val="1"/>
          <w:iCs w:val="1"/>
          <w:color w:val="auto"/>
        </w:rPr>
        <w:t>Even if one of our product candidates receives marketing approval, it may fail to achieve the degree of market acceptance by physicians, patients, third party payors and others in the medical community necessary for commercial success or the market opportunity for the product candidate may be smaller than we estimate.</w:t>
      </w:r>
    </w:p>
    <w:p>
      <w:pPr>
        <w:spacing w:after="0" w:line="181"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We have never commercialized a product. Even if CRLX101 or any of our other product candidates is approved by the appropriate regulatory authorities for marketing and sale, it may nonetheless fail to gain sufficient market acceptance by physicians, patients, third party payors and others in the medical community. For example, physicians are often reluctant to switch their patients from existing therapies even when new and potentially more effective or convenient treatments enter the market. Further, patients often acclimate to the therapy that they are currently taking and do not want to switch unless their physicians recommend switching products or they are required to switch therapies due to lack of reimbursement for existing therapies.</w:t>
      </w:r>
    </w:p>
    <w:p>
      <w:pPr>
        <w:spacing w:after="0" w:line="158" w:lineRule="exact"/>
        <w:rPr>
          <w:sz w:val="20"/>
          <w:szCs w:val="20"/>
          <w:color w:val="auto"/>
        </w:rPr>
      </w:pPr>
    </w:p>
    <w:p>
      <w:pPr>
        <w:jc w:val="both"/>
        <w:ind w:right="100" w:firstLine="518"/>
        <w:spacing w:after="0" w:line="259" w:lineRule="auto"/>
        <w:rPr>
          <w:sz w:val="20"/>
          <w:szCs w:val="20"/>
          <w:color w:val="auto"/>
        </w:rPr>
      </w:pPr>
      <w:r>
        <w:rPr>
          <w:rFonts w:ascii="Arial" w:cs="Arial" w:eastAsia="Arial" w:hAnsi="Arial"/>
          <w:sz w:val="18"/>
          <w:szCs w:val="18"/>
          <w:color w:val="auto"/>
        </w:rPr>
        <w:t>Efforts to educate the medical community and third party payors on the benefits of our product candidates may require significant resources and may not be successful. If any of our product candidates is approved but does not achieve an adequate level of market acceptance, we may not generate significant revenues and may not become profitable. The degree of market acceptance of CRLX101 or any of our other product candidates, if approved for commercial sale, will depend on a number of factors, including:</w:t>
      </w:r>
    </w:p>
    <w:p>
      <w:pPr>
        <w:ind w:left="1040" w:hanging="519"/>
        <w:spacing w:after="0" w:line="222" w:lineRule="auto"/>
        <w:tabs>
          <w:tab w:leader="none" w:pos="1040" w:val="left"/>
        </w:tabs>
        <w:numPr>
          <w:ilvl w:val="0"/>
          <w:numId w:val="28"/>
        </w:numPr>
        <w:rPr>
          <w:rFonts w:ascii="Arial" w:cs="Arial" w:eastAsia="Arial" w:hAnsi="Arial"/>
          <w:sz w:val="29"/>
          <w:szCs w:val="29"/>
          <w:color w:val="auto"/>
          <w:vertAlign w:val="superscript"/>
        </w:rPr>
      </w:pPr>
      <w:r>
        <w:rPr>
          <w:rFonts w:ascii="Arial" w:cs="Arial" w:eastAsia="Arial" w:hAnsi="Arial"/>
          <w:sz w:val="18"/>
          <w:szCs w:val="18"/>
          <w:color w:val="auto"/>
        </w:rPr>
        <w:t>the efficacy and safety of the product;</w:t>
      </w:r>
    </w:p>
    <w:p>
      <w:pPr>
        <w:spacing w:after="0" w:line="110" w:lineRule="exact"/>
        <w:rPr>
          <w:rFonts w:ascii="Arial" w:cs="Arial" w:eastAsia="Arial" w:hAnsi="Arial"/>
          <w:sz w:val="29"/>
          <w:szCs w:val="29"/>
          <w:color w:val="auto"/>
          <w:vertAlign w:val="superscript"/>
        </w:rPr>
      </w:pPr>
    </w:p>
    <w:p>
      <w:pPr>
        <w:ind w:left="1040" w:hanging="519"/>
        <w:spacing w:after="0" w:line="186" w:lineRule="auto"/>
        <w:tabs>
          <w:tab w:leader="none" w:pos="1040" w:val="left"/>
        </w:tabs>
        <w:numPr>
          <w:ilvl w:val="0"/>
          <w:numId w:val="28"/>
        </w:numPr>
        <w:rPr>
          <w:rFonts w:ascii="Arial" w:cs="Arial" w:eastAsia="Arial" w:hAnsi="Arial"/>
          <w:sz w:val="24"/>
          <w:szCs w:val="24"/>
          <w:color w:val="auto"/>
          <w:vertAlign w:val="superscript"/>
        </w:rPr>
      </w:pPr>
      <w:r>
        <w:rPr>
          <w:rFonts w:ascii="Arial" w:cs="Arial" w:eastAsia="Arial" w:hAnsi="Arial"/>
          <w:sz w:val="15"/>
          <w:szCs w:val="15"/>
          <w:color w:val="auto"/>
        </w:rPr>
        <w:t>the potential advantages of the product compared to alternative treatments;</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28"/>
        </w:numPr>
        <w:rPr>
          <w:rFonts w:ascii="Arial" w:cs="Arial" w:eastAsia="Arial" w:hAnsi="Arial"/>
          <w:sz w:val="24"/>
          <w:szCs w:val="24"/>
          <w:color w:val="auto"/>
          <w:vertAlign w:val="superscript"/>
        </w:rPr>
      </w:pPr>
      <w:r>
        <w:rPr>
          <w:rFonts w:ascii="Arial" w:cs="Arial" w:eastAsia="Arial" w:hAnsi="Arial"/>
          <w:sz w:val="15"/>
          <w:szCs w:val="15"/>
          <w:color w:val="auto"/>
        </w:rPr>
        <w:t>the prevalence and severity of any side effects;</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28"/>
        </w:numPr>
        <w:rPr>
          <w:rFonts w:ascii="Arial" w:cs="Arial" w:eastAsia="Arial" w:hAnsi="Arial"/>
          <w:sz w:val="24"/>
          <w:szCs w:val="24"/>
          <w:color w:val="auto"/>
          <w:vertAlign w:val="superscript"/>
        </w:rPr>
      </w:pPr>
      <w:r>
        <w:rPr>
          <w:rFonts w:ascii="Arial" w:cs="Arial" w:eastAsia="Arial" w:hAnsi="Arial"/>
          <w:sz w:val="15"/>
          <w:szCs w:val="15"/>
          <w:color w:val="auto"/>
        </w:rPr>
        <w:t>the clinical indications for which the product is approved;</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28"/>
        </w:numPr>
        <w:rPr>
          <w:rFonts w:ascii="Arial" w:cs="Arial" w:eastAsia="Arial" w:hAnsi="Arial"/>
          <w:sz w:val="24"/>
          <w:szCs w:val="24"/>
          <w:color w:val="auto"/>
          <w:vertAlign w:val="superscript"/>
        </w:rPr>
      </w:pPr>
      <w:r>
        <w:rPr>
          <w:rFonts w:ascii="Arial" w:cs="Arial" w:eastAsia="Arial" w:hAnsi="Arial"/>
          <w:sz w:val="15"/>
          <w:szCs w:val="15"/>
          <w:color w:val="auto"/>
        </w:rPr>
        <w:t>whether the product is designated under physician treatment guidelines as a first-line therapy or as a second-, third- or later line therapy;</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28"/>
        </w:numPr>
        <w:rPr>
          <w:rFonts w:ascii="Arial" w:cs="Arial" w:eastAsia="Arial" w:hAnsi="Arial"/>
          <w:sz w:val="24"/>
          <w:szCs w:val="24"/>
          <w:color w:val="auto"/>
          <w:vertAlign w:val="superscript"/>
        </w:rPr>
      </w:pPr>
      <w:r>
        <w:rPr>
          <w:rFonts w:ascii="Arial" w:cs="Arial" w:eastAsia="Arial" w:hAnsi="Arial"/>
          <w:sz w:val="15"/>
          <w:szCs w:val="15"/>
          <w:color w:val="auto"/>
        </w:rPr>
        <w:t>limitations or warnings, including distribution or use restrictions, contained in the product’s approved labeling;</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28"/>
        </w:numPr>
        <w:rPr>
          <w:rFonts w:ascii="Arial" w:cs="Arial" w:eastAsia="Arial" w:hAnsi="Arial"/>
          <w:sz w:val="24"/>
          <w:szCs w:val="24"/>
          <w:color w:val="auto"/>
          <w:vertAlign w:val="superscript"/>
        </w:rPr>
      </w:pPr>
      <w:r>
        <w:rPr>
          <w:rFonts w:ascii="Arial" w:cs="Arial" w:eastAsia="Arial" w:hAnsi="Arial"/>
          <w:sz w:val="15"/>
          <w:szCs w:val="15"/>
          <w:color w:val="auto"/>
        </w:rPr>
        <w:t>our ability to offer the product for sale at competitive prices;</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28"/>
        </w:numPr>
        <w:rPr>
          <w:rFonts w:ascii="Arial" w:cs="Arial" w:eastAsia="Arial" w:hAnsi="Arial"/>
          <w:sz w:val="24"/>
          <w:szCs w:val="24"/>
          <w:color w:val="auto"/>
          <w:vertAlign w:val="superscript"/>
        </w:rPr>
      </w:pPr>
      <w:r>
        <w:rPr>
          <w:rFonts w:ascii="Arial" w:cs="Arial" w:eastAsia="Arial" w:hAnsi="Arial"/>
          <w:sz w:val="15"/>
          <w:szCs w:val="15"/>
          <w:color w:val="auto"/>
        </w:rPr>
        <w:t>our ability to establish and maintain pricing sufficient to realize a meaningful return on our investment;</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28"/>
        </w:numPr>
        <w:rPr>
          <w:rFonts w:ascii="Arial" w:cs="Arial" w:eastAsia="Arial" w:hAnsi="Arial"/>
          <w:sz w:val="24"/>
          <w:szCs w:val="24"/>
          <w:color w:val="auto"/>
          <w:vertAlign w:val="superscript"/>
        </w:rPr>
      </w:pPr>
      <w:r>
        <w:rPr>
          <w:rFonts w:ascii="Arial" w:cs="Arial" w:eastAsia="Arial" w:hAnsi="Arial"/>
          <w:sz w:val="15"/>
          <w:szCs w:val="15"/>
          <w:color w:val="auto"/>
        </w:rPr>
        <w:t>the product’s convenience and ease of administration compared to alternative treatments;</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28"/>
        </w:numPr>
        <w:rPr>
          <w:rFonts w:ascii="Arial" w:cs="Arial" w:eastAsia="Arial" w:hAnsi="Arial"/>
          <w:sz w:val="24"/>
          <w:szCs w:val="24"/>
          <w:color w:val="auto"/>
          <w:vertAlign w:val="superscript"/>
        </w:rPr>
      </w:pPr>
      <w:r>
        <w:rPr>
          <w:rFonts w:ascii="Arial" w:cs="Arial" w:eastAsia="Arial" w:hAnsi="Arial"/>
          <w:sz w:val="15"/>
          <w:szCs w:val="15"/>
          <w:color w:val="auto"/>
        </w:rPr>
        <w:t>the willingness of the target patient population to try, and of physicians to prescribe, the product;</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6" w:name="page37"/>
    <w:bookmarkEnd w:id="36"/>
    <w:p>
      <w:pPr>
        <w:ind w:left="1040" w:hanging="519"/>
        <w:spacing w:after="0"/>
        <w:tabs>
          <w:tab w:leader="none" w:pos="1040" w:val="left"/>
        </w:tabs>
        <w:numPr>
          <w:ilvl w:val="0"/>
          <w:numId w:val="29"/>
        </w:numPr>
        <w:rPr>
          <w:rFonts w:ascii="Arial" w:cs="Arial" w:eastAsia="Arial" w:hAnsi="Arial"/>
          <w:sz w:val="29"/>
          <w:szCs w:val="29"/>
          <w:color w:val="auto"/>
          <w:vertAlign w:val="superscript"/>
        </w:rPr>
      </w:pPr>
      <w:r>
        <w:rPr>
          <w:rFonts w:ascii="Arial" w:cs="Arial" w:eastAsia="Arial" w:hAnsi="Arial"/>
          <w:sz w:val="18"/>
          <w:szCs w:val="18"/>
          <w:color w:val="auto"/>
        </w:rPr>
        <w:t>the strength of sales, marketing and distribution support;</w:t>
      </w:r>
    </w:p>
    <w:p>
      <w:pPr>
        <w:spacing w:after="0" w:line="109" w:lineRule="exact"/>
        <w:rPr>
          <w:rFonts w:ascii="Arial" w:cs="Arial" w:eastAsia="Arial" w:hAnsi="Arial"/>
          <w:sz w:val="29"/>
          <w:szCs w:val="29"/>
          <w:color w:val="auto"/>
          <w:vertAlign w:val="superscript"/>
        </w:rPr>
      </w:pPr>
    </w:p>
    <w:p>
      <w:pPr>
        <w:ind w:left="1040" w:hanging="519"/>
        <w:spacing w:after="0" w:line="186" w:lineRule="auto"/>
        <w:tabs>
          <w:tab w:leader="none" w:pos="1040" w:val="left"/>
        </w:tabs>
        <w:numPr>
          <w:ilvl w:val="0"/>
          <w:numId w:val="29"/>
        </w:numPr>
        <w:rPr>
          <w:rFonts w:ascii="Arial" w:cs="Arial" w:eastAsia="Arial" w:hAnsi="Arial"/>
          <w:sz w:val="24"/>
          <w:szCs w:val="24"/>
          <w:color w:val="auto"/>
          <w:vertAlign w:val="superscript"/>
        </w:rPr>
      </w:pPr>
      <w:r>
        <w:rPr>
          <w:rFonts w:ascii="Arial" w:cs="Arial" w:eastAsia="Arial" w:hAnsi="Arial"/>
          <w:sz w:val="15"/>
          <w:szCs w:val="15"/>
          <w:color w:val="auto"/>
        </w:rPr>
        <w:t>the availability of alternative treatments already approved or approval of other new products for the same indications;</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29"/>
        </w:numPr>
        <w:rPr>
          <w:rFonts w:ascii="Arial" w:cs="Arial" w:eastAsia="Arial" w:hAnsi="Arial"/>
          <w:sz w:val="24"/>
          <w:szCs w:val="24"/>
          <w:color w:val="auto"/>
          <w:vertAlign w:val="superscript"/>
        </w:rPr>
      </w:pPr>
      <w:r>
        <w:rPr>
          <w:rFonts w:ascii="Arial" w:cs="Arial" w:eastAsia="Arial" w:hAnsi="Arial"/>
          <w:sz w:val="15"/>
          <w:szCs w:val="15"/>
          <w:color w:val="auto"/>
        </w:rPr>
        <w:t>changes in the standard of care for the targeted indications for the product;</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29"/>
        </w:numPr>
        <w:rPr>
          <w:rFonts w:ascii="Arial" w:cs="Arial" w:eastAsia="Arial" w:hAnsi="Arial"/>
          <w:sz w:val="24"/>
          <w:szCs w:val="24"/>
          <w:color w:val="auto"/>
          <w:vertAlign w:val="superscript"/>
        </w:rPr>
      </w:pPr>
      <w:r>
        <w:rPr>
          <w:rFonts w:ascii="Arial" w:cs="Arial" w:eastAsia="Arial" w:hAnsi="Arial"/>
          <w:sz w:val="15"/>
          <w:szCs w:val="15"/>
          <w:color w:val="auto"/>
        </w:rPr>
        <w:t>the timing of market introduction of our approved products as well as competitive products and other therapies;</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29"/>
        </w:numPr>
        <w:rPr>
          <w:rFonts w:ascii="Arial" w:cs="Arial" w:eastAsia="Arial" w:hAnsi="Arial"/>
          <w:sz w:val="24"/>
          <w:szCs w:val="24"/>
          <w:color w:val="auto"/>
          <w:vertAlign w:val="superscript"/>
        </w:rPr>
      </w:pPr>
      <w:r>
        <w:rPr>
          <w:rFonts w:ascii="Arial" w:cs="Arial" w:eastAsia="Arial" w:hAnsi="Arial"/>
          <w:sz w:val="15"/>
          <w:szCs w:val="15"/>
          <w:color w:val="auto"/>
        </w:rPr>
        <w:t>availability and amount of reimbursement from government payors, managed care plans and other third party payors;</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29"/>
        </w:numPr>
        <w:rPr>
          <w:rFonts w:ascii="Arial" w:cs="Arial" w:eastAsia="Arial" w:hAnsi="Arial"/>
          <w:sz w:val="24"/>
          <w:szCs w:val="24"/>
          <w:color w:val="auto"/>
          <w:vertAlign w:val="superscript"/>
        </w:rPr>
      </w:pPr>
      <w:r>
        <w:rPr>
          <w:rFonts w:ascii="Arial" w:cs="Arial" w:eastAsia="Arial" w:hAnsi="Arial"/>
          <w:sz w:val="15"/>
          <w:szCs w:val="15"/>
          <w:color w:val="auto"/>
        </w:rPr>
        <w:t>the strength and efficacy of our marketing and distribution efforts;</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29"/>
        </w:numPr>
        <w:rPr>
          <w:rFonts w:ascii="Arial" w:cs="Arial" w:eastAsia="Arial" w:hAnsi="Arial"/>
          <w:sz w:val="24"/>
          <w:szCs w:val="24"/>
          <w:color w:val="auto"/>
          <w:vertAlign w:val="superscript"/>
        </w:rPr>
      </w:pPr>
      <w:r>
        <w:rPr>
          <w:rFonts w:ascii="Arial" w:cs="Arial" w:eastAsia="Arial" w:hAnsi="Arial"/>
          <w:sz w:val="15"/>
          <w:szCs w:val="15"/>
          <w:color w:val="auto"/>
        </w:rPr>
        <w:t>adverse publicity about the product or favorable publicity about competitive products; and</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29"/>
        </w:numPr>
        <w:rPr>
          <w:rFonts w:ascii="Arial" w:cs="Arial" w:eastAsia="Arial" w:hAnsi="Arial"/>
          <w:sz w:val="24"/>
          <w:szCs w:val="24"/>
          <w:color w:val="auto"/>
          <w:vertAlign w:val="superscript"/>
        </w:rPr>
      </w:pPr>
      <w:r>
        <w:rPr>
          <w:rFonts w:ascii="Arial" w:cs="Arial" w:eastAsia="Arial" w:hAnsi="Arial"/>
          <w:sz w:val="15"/>
          <w:szCs w:val="15"/>
          <w:color w:val="auto"/>
        </w:rPr>
        <w:t>potential product liability claims.</w:t>
      </w:r>
    </w:p>
    <w:p>
      <w:pPr>
        <w:spacing w:after="0" w:line="202"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The potential market opportunities for our product candidates are difficult to estimate precisely. Our estimates of the potential market opportunities are predicated on many assumptions, including industry knowledge and publications, third party research reports and other surveys. While we believe that our internal assumptions are reasonable, these assumptions involve the exercise of significant judgment on the part of our management, are inherently uncertain and the reasonableness of these assumptions has not been assessed by an independent source. If any of the assumptions proves to be inaccurate, the actual markets for our product candidates could be smaller than our estimates of the potential market opportunities.</w:t>
      </w:r>
    </w:p>
    <w:p>
      <w:pPr>
        <w:spacing w:after="0" w:line="158" w:lineRule="exact"/>
        <w:rPr>
          <w:sz w:val="20"/>
          <w:szCs w:val="20"/>
          <w:color w:val="auto"/>
        </w:rPr>
      </w:pPr>
    </w:p>
    <w:p>
      <w:pPr>
        <w:ind w:right="600" w:firstLine="518"/>
        <w:spacing w:after="0" w:line="381" w:lineRule="auto"/>
        <w:rPr>
          <w:sz w:val="20"/>
          <w:szCs w:val="20"/>
          <w:color w:val="auto"/>
        </w:rPr>
      </w:pPr>
      <w:r>
        <w:rPr>
          <w:rFonts w:ascii="Arial" w:cs="Arial" w:eastAsia="Arial" w:hAnsi="Arial"/>
          <w:sz w:val="15"/>
          <w:szCs w:val="15"/>
          <w:b w:val="1"/>
          <w:bCs w:val="1"/>
          <w:i w:val="1"/>
          <w:iCs w:val="1"/>
          <w:color w:val="auto"/>
        </w:rPr>
        <w:t>If any of our product candidates receives marketing approval and we, or others, later discover that the drug is less effective than previously believed or causes undesirable side effects that were not previously identified, our ability to market the drug could be compromised.</w:t>
      </w:r>
    </w:p>
    <w:p>
      <w:pPr>
        <w:spacing w:after="0" w:line="101"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Clinical trials of our product candidates are conducted in carefully defined subsets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 If, following approval of a product candidate, we, or others, discover that the drug is less effective than previously believed or causes undesirable, serious or fatal side effects that were not previously identified, any of the following adverse events could occur:</w:t>
      </w:r>
    </w:p>
    <w:p>
      <w:pPr>
        <w:ind w:left="1040" w:hanging="519"/>
        <w:spacing w:after="0" w:line="223" w:lineRule="auto"/>
        <w:tabs>
          <w:tab w:leader="none" w:pos="1040" w:val="left"/>
        </w:tabs>
        <w:numPr>
          <w:ilvl w:val="0"/>
          <w:numId w:val="30"/>
        </w:numPr>
        <w:rPr>
          <w:rFonts w:ascii="Arial" w:cs="Arial" w:eastAsia="Arial" w:hAnsi="Arial"/>
          <w:sz w:val="29"/>
          <w:szCs w:val="29"/>
          <w:color w:val="auto"/>
          <w:vertAlign w:val="superscript"/>
        </w:rPr>
      </w:pPr>
      <w:r>
        <w:rPr>
          <w:rFonts w:ascii="Arial" w:cs="Arial" w:eastAsia="Arial" w:hAnsi="Arial"/>
          <w:sz w:val="18"/>
          <w:szCs w:val="18"/>
          <w:color w:val="auto"/>
        </w:rPr>
        <w:t>regulatory authorities may withdraw their approval of the drug or seize the drug;</w:t>
      </w:r>
    </w:p>
    <w:p>
      <w:pPr>
        <w:spacing w:after="0" w:line="110" w:lineRule="exact"/>
        <w:rPr>
          <w:rFonts w:ascii="Arial" w:cs="Arial" w:eastAsia="Arial" w:hAnsi="Arial"/>
          <w:sz w:val="29"/>
          <w:szCs w:val="29"/>
          <w:color w:val="auto"/>
          <w:vertAlign w:val="superscript"/>
        </w:rPr>
      </w:pPr>
    </w:p>
    <w:p>
      <w:pPr>
        <w:ind w:left="1040" w:hanging="519"/>
        <w:spacing w:after="0" w:line="186" w:lineRule="auto"/>
        <w:tabs>
          <w:tab w:leader="none" w:pos="1040" w:val="left"/>
        </w:tabs>
        <w:numPr>
          <w:ilvl w:val="0"/>
          <w:numId w:val="30"/>
        </w:numPr>
        <w:rPr>
          <w:rFonts w:ascii="Arial" w:cs="Arial" w:eastAsia="Arial" w:hAnsi="Arial"/>
          <w:sz w:val="24"/>
          <w:szCs w:val="24"/>
          <w:color w:val="auto"/>
          <w:vertAlign w:val="superscript"/>
        </w:rPr>
      </w:pPr>
      <w:r>
        <w:rPr>
          <w:rFonts w:ascii="Arial" w:cs="Arial" w:eastAsia="Arial" w:hAnsi="Arial"/>
          <w:sz w:val="15"/>
          <w:szCs w:val="15"/>
          <w:color w:val="auto"/>
        </w:rPr>
        <w:t>we may be required to recall the drug or change the way the drug is administered;</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30"/>
        </w:numPr>
        <w:rPr>
          <w:rFonts w:ascii="Arial" w:cs="Arial" w:eastAsia="Arial" w:hAnsi="Arial"/>
          <w:sz w:val="24"/>
          <w:szCs w:val="24"/>
          <w:color w:val="auto"/>
          <w:vertAlign w:val="superscript"/>
        </w:rPr>
      </w:pPr>
      <w:r>
        <w:rPr>
          <w:rFonts w:ascii="Arial" w:cs="Arial" w:eastAsia="Arial" w:hAnsi="Arial"/>
          <w:sz w:val="15"/>
          <w:szCs w:val="15"/>
          <w:color w:val="auto"/>
        </w:rPr>
        <w:t>additional restrictions may be imposed on the marketing of, or the manufacturing processes for, the particular drug;</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30"/>
        </w:numPr>
        <w:rPr>
          <w:rFonts w:ascii="Arial" w:cs="Arial" w:eastAsia="Arial" w:hAnsi="Arial"/>
          <w:sz w:val="24"/>
          <w:szCs w:val="24"/>
          <w:color w:val="auto"/>
          <w:vertAlign w:val="superscript"/>
        </w:rPr>
      </w:pPr>
      <w:r>
        <w:rPr>
          <w:rFonts w:ascii="Arial" w:cs="Arial" w:eastAsia="Arial" w:hAnsi="Arial"/>
          <w:sz w:val="15"/>
          <w:szCs w:val="15"/>
          <w:color w:val="auto"/>
        </w:rPr>
        <w:t>we may be subject to fines, injunctions or the imposition of civil or criminal penalties;</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30"/>
        </w:numPr>
        <w:rPr>
          <w:rFonts w:ascii="Arial" w:cs="Arial" w:eastAsia="Arial" w:hAnsi="Arial"/>
          <w:sz w:val="24"/>
          <w:szCs w:val="24"/>
          <w:color w:val="auto"/>
          <w:vertAlign w:val="superscript"/>
        </w:rPr>
      </w:pPr>
      <w:r>
        <w:rPr>
          <w:rFonts w:ascii="Arial" w:cs="Arial" w:eastAsia="Arial" w:hAnsi="Arial"/>
          <w:sz w:val="15"/>
          <w:szCs w:val="15"/>
          <w:color w:val="auto"/>
        </w:rPr>
        <w:t>regulatory authorities may require the addition of labeling statements, such as a “black box” warning or a contraindication;</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30"/>
        </w:numPr>
        <w:rPr>
          <w:rFonts w:ascii="Arial" w:cs="Arial" w:eastAsia="Arial" w:hAnsi="Arial"/>
          <w:sz w:val="24"/>
          <w:szCs w:val="24"/>
          <w:color w:val="auto"/>
          <w:vertAlign w:val="superscript"/>
        </w:rPr>
      </w:pPr>
      <w:r>
        <w:rPr>
          <w:rFonts w:ascii="Arial" w:cs="Arial" w:eastAsia="Arial" w:hAnsi="Arial"/>
          <w:sz w:val="15"/>
          <w:szCs w:val="15"/>
          <w:color w:val="auto"/>
        </w:rPr>
        <w:t>we may be required to create a Medication Guide outlining the risks of the previously unidentified side effects for distribution to patients;</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30"/>
        </w:numPr>
        <w:rPr>
          <w:rFonts w:ascii="Arial" w:cs="Arial" w:eastAsia="Arial" w:hAnsi="Arial"/>
          <w:sz w:val="24"/>
          <w:szCs w:val="24"/>
          <w:color w:val="auto"/>
          <w:vertAlign w:val="superscript"/>
        </w:rPr>
      </w:pPr>
      <w:r>
        <w:rPr>
          <w:rFonts w:ascii="Arial" w:cs="Arial" w:eastAsia="Arial" w:hAnsi="Arial"/>
          <w:sz w:val="15"/>
          <w:szCs w:val="15"/>
          <w:color w:val="auto"/>
        </w:rPr>
        <w:t>we could be sued and held liable for harm caused to patients;</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30"/>
        </w:numPr>
        <w:rPr>
          <w:rFonts w:ascii="Arial" w:cs="Arial" w:eastAsia="Arial" w:hAnsi="Arial"/>
          <w:sz w:val="24"/>
          <w:szCs w:val="24"/>
          <w:color w:val="auto"/>
          <w:vertAlign w:val="superscript"/>
        </w:rPr>
      </w:pPr>
      <w:r>
        <w:rPr>
          <w:rFonts w:ascii="Arial" w:cs="Arial" w:eastAsia="Arial" w:hAnsi="Arial"/>
          <w:sz w:val="15"/>
          <w:szCs w:val="15"/>
          <w:color w:val="auto"/>
        </w:rPr>
        <w:t>the drug may become less competitive; and</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30"/>
        </w:numPr>
        <w:rPr>
          <w:rFonts w:ascii="Arial" w:cs="Arial" w:eastAsia="Arial" w:hAnsi="Arial"/>
          <w:sz w:val="24"/>
          <w:szCs w:val="24"/>
          <w:color w:val="auto"/>
          <w:vertAlign w:val="superscript"/>
        </w:rPr>
      </w:pPr>
      <w:r>
        <w:rPr>
          <w:rFonts w:ascii="Arial" w:cs="Arial" w:eastAsia="Arial" w:hAnsi="Arial"/>
          <w:sz w:val="15"/>
          <w:szCs w:val="15"/>
          <w:color w:val="auto"/>
        </w:rPr>
        <w:t>our reputation may suffer.</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Any of these events could have a material and adverse effect on our operations and business and could adversely impact our stock price.</w:t>
      </w:r>
    </w:p>
    <w:p>
      <w:pPr>
        <w:spacing w:after="0" w:line="237"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b w:val="1"/>
          <w:bCs w:val="1"/>
          <w:i w:val="1"/>
          <w:iCs w:val="1"/>
          <w:color w:val="auto"/>
        </w:rPr>
        <w:t>If we are unable to establish sales, marketing and distribution capabilities or enter into acceptable sales, marketing and distribution arrangements with third parties, we may not be successful in commercializing any product candidates that we develop, if and when those product candidates are approved.</w:t>
      </w:r>
    </w:p>
    <w:p>
      <w:pPr>
        <w:spacing w:after="0" w:line="181"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We do not have a sales, marketing or distribution infrastructure and have limited experience in the sale, marketing or distribution of pharmaceutical products. To achieve commercial success for any approved product, we must either develop a sales and marketing organization or outsource these functions to third parties. If approved, we expect to commercialize our lead product candidates in the United States directly with a small and highly focused commercialization organization. The development of sales, marketing and distribution capabilities will require substantial resources, will be time-consuming and could delay any product launch. We expect that we will commence the development of these capabilities prior to receiving approval of any of our product candidates. If the commercial launch of a product candidate for which we recruit a sales force and establish marketing and distribution capabilities is delayed or does not occur for any reason, we could have prematurely or unnecessarily incurred these commercialization costs. Such</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2" w:right="259" w:bottom="1440" w:gutter="0" w:footer="0" w:header="0"/>
        </w:sectPr>
      </w:pPr>
    </w:p>
    <w:bookmarkStart w:id="37" w:name="page38"/>
    <w:bookmarkEnd w:id="37"/>
    <w:p>
      <w:pPr>
        <w:ind w:right="20"/>
        <w:spacing w:after="0" w:line="276" w:lineRule="auto"/>
        <w:rPr>
          <w:sz w:val="20"/>
          <w:szCs w:val="20"/>
          <w:color w:val="auto"/>
        </w:rPr>
      </w:pPr>
      <w:r>
        <w:rPr>
          <w:rFonts w:ascii="Arial" w:cs="Arial" w:eastAsia="Arial" w:hAnsi="Arial"/>
          <w:sz w:val="17"/>
          <w:szCs w:val="17"/>
          <w:color w:val="auto"/>
        </w:rPr>
        <w:t>a delay may be costly, and our investment could be lost if we cannot retain or reposition our sales and marketing personnel. In addition, we may not be able to hire or retain a sales force in the United States that is sufficient in size or has adequate expertise in the medical markets that we plan to target. If we are unable to establish or retain a sales force and marketing and distribution capabilities, our operating results may be adversely affected. If a potential partner has development or commercialization expertise that we believe is particularly relevant to one of our products, then we may seek to collaborate with that potential partner even if we believe we could otherwise develop and commercialize the product independently.</w:t>
      </w:r>
    </w:p>
    <w:p>
      <w:pPr>
        <w:spacing w:after="0" w:line="173"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We expect to seek one or more strategic partners for commercialization of our product candidates outside the United States. As a result of entering into arrangements with third parties to perform sales, marketing and distribution services, our product revenues or the profitability of these product revenues may be lower, perhaps substantially lower, than if we were to directly market and sell products in those markets. Furthermore, we may be unsuccessful in entering into the necessary arrangements with third parties or may be unable to do so on terms that are favorable to us. In addition, we may have little or no control over such third parties, and any of them may fail to devote the necessary resources and attention to sell and market our products effectively.</w:t>
      </w:r>
    </w:p>
    <w:p>
      <w:pPr>
        <w:spacing w:after="0" w:line="158" w:lineRule="exact"/>
        <w:rPr>
          <w:sz w:val="20"/>
          <w:szCs w:val="20"/>
          <w:color w:val="auto"/>
        </w:rPr>
      </w:pPr>
    </w:p>
    <w:p>
      <w:pPr>
        <w:ind w:right="900" w:firstLine="518"/>
        <w:spacing w:after="0" w:line="277" w:lineRule="auto"/>
        <w:rPr>
          <w:sz w:val="20"/>
          <w:szCs w:val="20"/>
          <w:color w:val="auto"/>
        </w:rPr>
      </w:pPr>
      <w:r>
        <w:rPr>
          <w:rFonts w:ascii="Arial" w:cs="Arial" w:eastAsia="Arial" w:hAnsi="Arial"/>
          <w:sz w:val="18"/>
          <w:szCs w:val="18"/>
          <w:color w:val="auto"/>
        </w:rPr>
        <w:t>If we do not establish sales and marketing capabilities, either on our own or in collaboration with third parties, we will not be successful in commercializing any of our product candidates that receive marketing approval.</w:t>
      </w:r>
    </w:p>
    <w:p>
      <w:pPr>
        <w:spacing w:after="0" w:line="170"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b w:val="1"/>
          <w:bCs w:val="1"/>
          <w:i w:val="1"/>
          <w:iCs w:val="1"/>
          <w:color w:val="auto"/>
        </w:rPr>
        <w:t>We face substantial competition from other pharmaceutical and biotechnology companies and our operating results may suffer if we fail to compete effectively.</w:t>
      </w:r>
    </w:p>
    <w:p>
      <w:pPr>
        <w:spacing w:after="0" w:line="170" w:lineRule="exact"/>
        <w:rPr>
          <w:sz w:val="20"/>
          <w:szCs w:val="20"/>
          <w:color w:val="auto"/>
        </w:rPr>
      </w:pPr>
    </w:p>
    <w:p>
      <w:pPr>
        <w:ind w:right="120" w:firstLine="518"/>
        <w:spacing w:after="0" w:line="254" w:lineRule="auto"/>
        <w:rPr>
          <w:sz w:val="20"/>
          <w:szCs w:val="20"/>
          <w:color w:val="auto"/>
        </w:rPr>
      </w:pPr>
      <w:r>
        <w:rPr>
          <w:rFonts w:ascii="Arial" w:cs="Arial" w:eastAsia="Arial" w:hAnsi="Arial"/>
          <w:sz w:val="18"/>
          <w:szCs w:val="18"/>
          <w:color w:val="auto"/>
        </w:rPr>
        <w:t>The development and commercialization of new drug products is highly competitive. We expect that we will face significant competition from major pharmaceutical companies, specialty pharmaceutical companies and biotechnology companies worldwide with respect to CRLX101, CRLX301 and any future product candidates that we may seek to develop or commercialize. Specifically, due to the large unmet medical need, global demographics and relatively attractive reimbursement dynamics, the oncology market is fiercely competitive and there are a number of large pharmaceutical and biotechnology companies that currently market and sell products or are pursuing the development of product candidates for the treatment of cancer. Our competitors may succeed in developing, acquiring or licensing technologies and drug products that are more effective, have fewer or more tolerable adverse events or are less costly than any product candidates that we are currently developing or that we may develop, which could render our product candidates obsolete and noncompetitive.</w:t>
      </w:r>
    </w:p>
    <w:p>
      <w:pPr>
        <w:spacing w:after="0" w:line="192"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Companies with marketed nanotechnology-based oncology products include Celgene Corporation (Abraxane indicated for breast cancer, NSCLC and pancreatic cancer), Janssen Products, LP (Doxil indicated for ovarian cancer and, in combination with Velcade® (bortezomib), for multiple myeloma), Merrimack Pharmaceuticals, Inc. (Onivyde indicated for pancreatic cancer) and Spectrum Pharmaceuticals, Inc. (Marqibo indicated for relapsed Philadelphia chromosome-negative acute lymphoblastic leukemia). Companies with nanotechnology-based oncology product candidates in clinical development include, without limitation, Celsion Corporation (ThermoDox® (lyso-thermosensitive liposomal doxorubicin) for liver cancer and breast cancer), Cristal Delivery B.V. d/b/a Cristal Therapeutics (CriPec® docetaxel for oncology), Cytimmune Sciences, Inc. (CYT-6091 for NSCLC), Jazz Pharmaceuticals plc (which acquired Celator Pharmaceuticals, Inc. (Vyxeos™ for acute myeloid leukemia)), NanoCarrier Co., Ltd. (NC-6004 for bladder, bile duct and head and neck cancers, and NC-4016, and NC-6300 for solid tumors), NantPharma (Cynviloq™, which received fast-track designation from the FDA for breast and lung cancer), Nektar Therapeutics (OnzyealdTM for breast cancer and brain metastases), Nippon Kayku Seizo Co., Ltd. (NK105 in gastric cancer), Starpharma Holdings Ltd. (DEP® docetaxel for oncology), and Supratek Pharma Inc. (SP1049C for solid tumors).</w:t>
      </w:r>
    </w:p>
    <w:p>
      <w:pPr>
        <w:spacing w:after="0" w:line="178"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marketing approval for their product candidates before we are able to obtain approval for our product candidates, which could result in our competitors establishing a strong market position before we are able to enter the market.</w:t>
      </w:r>
    </w:p>
    <w:p>
      <w:pPr>
        <w:spacing w:after="0" w:line="187"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In our targeted indication of relapsed ovarian cancer, FDA approvals of Avastin with chemotherapy and Lynparza in BRCA mutated patients have changed the standard of care, which could reduce the commercial opportunity for CRLX101. In addition, multiple companies are developing other therapeutic candidates for relapsed ovarian cancer, which are at various stages of development. For example, Abbvie Inc., Clovis Oncology, Inc. Medivation Inc., and TESARO Inc. all have PARP inhibitors in development in BRCA mutated platinum-sensitive ovarian cancer. Based on the recent positive results from the NOVA trial, we anticipate that Tesaro’s PARP inhibitor, niraparib, will be used in the maintenance setting in platinum-sensitive ovarian cancer. However, it is also possible that oncologists would use the agent off-label in the platinum-resistant setting, which could impact our opportunity in relapsed platinum-resistant ovarian cancer. In addition, immune checkpoint inhibitors and other immune-oncology agents are being developed for the treatment of relapsed ovarian cancer. If these agents are approved in earlier lines of therapy, the addressable market for CRLX101 in later lines of therapy could be adversely impacted. ImmunoGen is also developing mirvetuximab soravtansine (IMGN853) in folate receptor positive ovarian cancer, OncoMed Pharmaceuticals is developing OMP 54F28 in recurrent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8" w:name="page39"/>
    <w:bookmarkEnd w:id="38"/>
    <w:p>
      <w:pPr>
        <w:ind w:right="80"/>
        <w:spacing w:after="0" w:line="264" w:lineRule="auto"/>
        <w:rPr>
          <w:sz w:val="20"/>
          <w:szCs w:val="20"/>
          <w:color w:val="auto"/>
        </w:rPr>
      </w:pPr>
      <w:r>
        <w:rPr>
          <w:rFonts w:ascii="Arial" w:cs="Arial" w:eastAsia="Arial" w:hAnsi="Arial"/>
          <w:sz w:val="18"/>
          <w:szCs w:val="18"/>
          <w:color w:val="auto"/>
        </w:rPr>
        <w:t>platinum-sensitive ovarian cancer, Genentech, Inc. is developing DMOT4039A in relapsed ovarian cancer, and Incyte Pharmaceuticals Inc. is developing the IDO-1 inhibitor, epacadostat, in relapsed ovarian cancer. Although each of these agents has the potential to be used in combination with CRLX101, thereby expanding the market for CRLX101, they also have the potential to compete with CRLX101.</w:t>
      </w:r>
    </w:p>
    <w:p>
      <w:pPr>
        <w:spacing w:after="0" w:line="181" w:lineRule="exact"/>
        <w:rPr>
          <w:sz w:val="20"/>
          <w:szCs w:val="20"/>
          <w:color w:val="auto"/>
        </w:rPr>
      </w:pPr>
    </w:p>
    <w:p>
      <w:pPr>
        <w:ind w:right="220" w:firstLine="518"/>
        <w:spacing w:after="0" w:line="293" w:lineRule="auto"/>
        <w:rPr>
          <w:sz w:val="20"/>
          <w:szCs w:val="20"/>
          <w:color w:val="auto"/>
        </w:rPr>
      </w:pPr>
      <w:r>
        <w:rPr>
          <w:rFonts w:ascii="Arial" w:cs="Arial" w:eastAsia="Arial" w:hAnsi="Arial"/>
          <w:sz w:val="16"/>
          <w:szCs w:val="16"/>
          <w:color w:val="auto"/>
        </w:rPr>
        <w:t>Many of our existing and potential future competitors have significantly greater financial resources and expertise in research and development, manufacturing, preclinical testing, conducting clinical trials, obtaining marketing approvals and marketing approved products than we do. Mergers and acquisitions in the pharmaceutical and biotechnology industries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65" w:lineRule="exact"/>
        <w:rPr>
          <w:sz w:val="20"/>
          <w:szCs w:val="20"/>
          <w:color w:val="auto"/>
        </w:rPr>
      </w:pPr>
    </w:p>
    <w:p>
      <w:pPr>
        <w:jc w:val="both"/>
        <w:ind w:right="320" w:firstLine="518"/>
        <w:spacing w:after="0" w:line="264" w:lineRule="auto"/>
        <w:rPr>
          <w:sz w:val="20"/>
          <w:szCs w:val="20"/>
          <w:color w:val="auto"/>
        </w:rPr>
      </w:pPr>
      <w:r>
        <w:rPr>
          <w:rFonts w:ascii="Arial" w:cs="Arial" w:eastAsia="Arial" w:hAnsi="Arial"/>
          <w:sz w:val="18"/>
          <w:szCs w:val="18"/>
          <w:b w:val="1"/>
          <w:bCs w:val="1"/>
          <w:i w:val="1"/>
          <w:iCs w:val="1"/>
          <w:color w:val="auto"/>
        </w:rPr>
        <w:t>If the FDA or comparable non-U.S. regulatory authorities approve generic versions of any of our products that receive marketing approval, or such authorities do not grant our products appropriate periods of data exclusivity before approving generic versions of our products, the sales of our products could be adversely affected.</w:t>
      </w:r>
    </w:p>
    <w:p>
      <w:pPr>
        <w:spacing w:after="0" w:line="181"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Once an NDA is approved, the product covered thereby becomes a “reference listed drug” in the FDA’s publication, “Approved Drug Products with Therapeutic Equivalence Evaluations.” Manufacturers may seek approval of generic versions of reference listed drugs through submission of abbreviated new drug applications, or ANDAs, in the United States. In support of an ANDA, a generic manufacturer need not conduct clinical studies. Rather, the applicant generally must show that its product has the same active ingredient(s), dosage form, strength, route of administration and conditions of use or labeling as the reference listed drug and that the generic version is bioequivalent to the reference listed drug, meaning it is absorbed in the body at the same rate and to the same extent. Generic products may be significantly less costly to bring to market than the reference listed drug and companies that produce generic products are generally able to offer them at lower prices. Thus, following the introduction of a generic drug, a significant percentage of the sales of any branded product or reference listed drug may be typically lost to the generic product.</w:t>
      </w:r>
    </w:p>
    <w:p>
      <w:pPr>
        <w:spacing w:after="0" w:line="179"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The FDA may not approve an ANDA for a generic product until any applicable period of non-patent exclusivity for the reference listed drug has expired. The FDCA provides a period of five years of non-patent exclusivity for a new drug containing a new chemical entity. Specifically, in cases in which such exclusivity has been granted, an ANDA may not be filed with the FDA until the expiration of five years unless the submission is accompanied by a Paragraph IV certification that a patent covering the reference listed drug is either invalid or will not be infringed by the generic product, in which case the applicant may submit its application four years following approval of the reference listed drug. While we believe that CRLX101 would be treated as a new chemical entity by the FDA and, therefore, if approved, should be afforded five years of data exclusivity, the FDA may disagree with that conclusion and may approve generic products after a period that is less than five years. Our other product candidates, including CRLX301, may be treated as new chemical entities as well, but at this point we cannot predict the probability of success in that regard. Manufacturers may seek to launch these generic products following the expiration of the applicable marketing exclusivity period, even if we still have patent protection for our product.</w:t>
      </w:r>
    </w:p>
    <w:p>
      <w:pPr>
        <w:spacing w:after="0" w:line="167" w:lineRule="exact"/>
        <w:rPr>
          <w:sz w:val="20"/>
          <w:szCs w:val="20"/>
          <w:color w:val="auto"/>
        </w:rPr>
      </w:pPr>
    </w:p>
    <w:p>
      <w:pPr>
        <w:ind w:right="140" w:firstLine="518"/>
        <w:spacing w:after="0" w:line="308" w:lineRule="auto"/>
        <w:rPr>
          <w:sz w:val="20"/>
          <w:szCs w:val="20"/>
          <w:color w:val="auto"/>
        </w:rPr>
      </w:pPr>
      <w:r>
        <w:rPr>
          <w:rFonts w:ascii="Arial" w:cs="Arial" w:eastAsia="Arial" w:hAnsi="Arial"/>
          <w:sz w:val="17"/>
          <w:szCs w:val="17"/>
          <w:color w:val="auto"/>
        </w:rPr>
        <w:t>Competition that our products may face from generic versions of our products could materially and adversely impact our future revenue, profitability and cash flows and substantially limit our ability to obtain a return on the investments we have made in those product candidates.</w:t>
      </w:r>
    </w:p>
    <w:p>
      <w:pPr>
        <w:spacing w:after="0" w:line="147" w:lineRule="exact"/>
        <w:rPr>
          <w:sz w:val="20"/>
          <w:szCs w:val="20"/>
          <w:color w:val="auto"/>
        </w:rPr>
      </w:pPr>
    </w:p>
    <w:p>
      <w:pPr>
        <w:jc w:val="both"/>
        <w:ind w:right="600" w:firstLine="518"/>
        <w:spacing w:after="0" w:line="340" w:lineRule="auto"/>
        <w:rPr>
          <w:sz w:val="20"/>
          <w:szCs w:val="20"/>
          <w:color w:val="auto"/>
        </w:rPr>
      </w:pPr>
      <w:r>
        <w:rPr>
          <w:rFonts w:ascii="Arial" w:cs="Arial" w:eastAsia="Arial" w:hAnsi="Arial"/>
          <w:sz w:val="15"/>
          <w:szCs w:val="15"/>
          <w:b w:val="1"/>
          <w:bCs w:val="1"/>
          <w:i w:val="1"/>
          <w:iCs w:val="1"/>
          <w:color w:val="auto"/>
        </w:rPr>
        <w:t>CRLX301 is, and any additional product candidate that we may develop in the future may be, an NDC that includes a generically available therapeutic as its anti-cancer payload. If physicians and/or third party payors do not believe our product offers substantial advantages over other therapies incorporating the same generic anti-cancer payload, we may not be able to successfully commercialize our product.</w:t>
      </w:r>
    </w:p>
    <w:p>
      <w:pPr>
        <w:spacing w:after="0" w:line="131"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Although we have intellectual property rights, including composition of matter patents, covering our product candidates, if approved, we expect that our product candidates will compete in the same indications against other nanoparticles and delivery platforms incorporating the same generic therapeutics. In particular, if any of our product candidates is approved and becomes commercially successful, other companies may intensify their efforts to develop a competing product that includes the corresponding generic therapeutic. If physicians, rightly or wrongly, do not believe that a product that we develop offers substantial advantages over another nanoparticle or delivery platform incorporating the same generic therapeutic, physicians might not prescribe our product. In addition, third party payors might refuse to provide reimbursement for a product that we develop when another nanoparticle or delivery platform incorporating the same generic therapeutic offers a cheaper alternative therapy in the same indication, or might otherwise encourage use of another nanoparticle or delivery platform incorporating the same generic therapeutic over our product, even if our product possesses favorable pharmaceutical properties.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9" w:name="page40"/>
    <w:bookmarkEnd w:id="39"/>
    <w:p>
      <w:pPr>
        <w:ind w:right="100" w:firstLine="518"/>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any product candidate that we develop, the product may become subject to unfavorable pricing regulations, third party payor reimbursement practices or healthcare reform initiatives that could harm our business.</w:t>
      </w:r>
    </w:p>
    <w:p>
      <w:pPr>
        <w:spacing w:after="0" w:line="170"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The commercial success of our product candidates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 party payors. If reimbursement is not available, or is available only at limited levels, we may not be able to successfully commercialize our product candidates. Even if coverage is provided, the approved reimbursement amount may not be high enough to allow us to establish and maintain pricing sufficient to realize a meaningful return on our investment.</w:t>
      </w:r>
    </w:p>
    <w:p>
      <w:pPr>
        <w:spacing w:after="0" w:line="158" w:lineRule="exact"/>
        <w:rPr>
          <w:sz w:val="20"/>
          <w:szCs w:val="20"/>
          <w:color w:val="auto"/>
        </w:rPr>
      </w:pPr>
    </w:p>
    <w:p>
      <w:pPr>
        <w:ind w:right="120" w:firstLine="518"/>
        <w:spacing w:after="0" w:line="291" w:lineRule="auto"/>
        <w:rPr>
          <w:sz w:val="20"/>
          <w:szCs w:val="20"/>
          <w:color w:val="auto"/>
        </w:rPr>
      </w:pPr>
      <w:r>
        <w:rPr>
          <w:rFonts w:ascii="Arial" w:cs="Arial" w:eastAsia="Arial" w:hAnsi="Arial"/>
          <w:sz w:val="16"/>
          <w:szCs w:val="16"/>
          <w:color w:val="auto"/>
        </w:rPr>
        <w:t>There is significant uncertainty related to third party payor coverage and reimbursement of newly approved drugs. Marketing approvals, pricing and reimbursement for new drug products vary widely from country to country. Some countries require approval of the sale price of a drug before it can be marketed. In many countries, the pricing review period begins after marketing or product licensing approval is granted. In some non-U.S. markets, prescription 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periods, which may negatively impact the revenues we are able to generate from the sale of the product in that country. Adverse pricing limitations may hinder our ability to recoup our investment in one or more product candidates, even if our product candidates obtain marketing approval.</w:t>
      </w:r>
    </w:p>
    <w:p>
      <w:pPr>
        <w:spacing w:after="0" w:line="167" w:lineRule="exact"/>
        <w:rPr>
          <w:sz w:val="20"/>
          <w:szCs w:val="20"/>
          <w:color w:val="auto"/>
        </w:rPr>
      </w:pPr>
    </w:p>
    <w:p>
      <w:pPr>
        <w:jc w:val="both"/>
        <w:ind w:right="260" w:firstLine="518"/>
        <w:spacing w:after="0" w:line="286" w:lineRule="auto"/>
        <w:rPr>
          <w:sz w:val="20"/>
          <w:szCs w:val="20"/>
          <w:color w:val="auto"/>
        </w:rPr>
      </w:pPr>
      <w:r>
        <w:rPr>
          <w:rFonts w:ascii="Arial" w:cs="Arial" w:eastAsia="Arial" w:hAnsi="Arial"/>
          <w:sz w:val="16"/>
          <w:szCs w:val="16"/>
          <w:color w:val="auto"/>
        </w:rPr>
        <w:t>Our ability to commercialize CRLX101 or any other product candidate will depend in part on the extent to which coverage and reimbursement for these products and related treatments will be available from government health administration authorities, private health insurers and other organizations. Government authorities and third party payors, such as private health insurers and health maintenance organizations, decide which medications they will cover and establish reimbursement levels. The healthcare industry is acutely focused on cost containment, both in the United States and elsewhere.</w:t>
      </w:r>
    </w:p>
    <w:p>
      <w:pPr>
        <w:spacing w:after="0" w:line="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Government authorities and third party payors have attempted to control costs by limiting coverage and the amount of reimbursement for particular medications, which could affect our ability to sell our product candidates profitably. These payors may not view our products, if any, as cost-effective, and coverage and reimbursement may not be available to our customers, or may not be sufficient to allow our products, if any, to be marketed on a competitive basis. Cost-control initiatives could cause us to decrease the price we might establish for products, which could result in lower than anticipated product revenues. If the prices for our products, if any, decrease or if governmental and other third party payors do not provide adequate coverage or reimbursement, our prospects for revenue and profitability will suffer.</w:t>
      </w:r>
    </w:p>
    <w:p>
      <w:pPr>
        <w:spacing w:after="0" w:line="194"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There may also be delays in obtaining coverage and reimbursement for newly approved drugs, and coverage may be more limited than the indications for which the drug is approved by the FDA or comparable non-U.S. regulatory authorities. Moreover, eligibility for reimbursement does not imply that any drug will be paid for in all cases or at a rate that covers our costs, including research, development, manufacture, sale and distribution. Reimbursement rates may vary, by way of example, according to the use of the drug and the clinical setting in which it is used. Reimbursement rates may also be based on reimbursement levels already set for lower cost drugs or may be incorporated into existing payments for other services.</w:t>
      </w:r>
    </w:p>
    <w:p>
      <w:pPr>
        <w:spacing w:after="0" w:line="173"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In addition, increasingly, third party payors are requiring higher levels of evidence of the benefits and clinical outcomes of new technologies and are challenging the prices charged. We cannot be sure that coverage will be available for any product candidate that we, or others,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United States. An inability to promptly obtain coverage and adequate payment rates from both government-funded and private payors for any our product candidates for which we obtain marketing approval could have a material adverse effect on our operating results, our ability to raise capital needed to commercialize products and our financial condition.</w:t>
      </w:r>
    </w:p>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40" w:name="page41"/>
    <w:bookmarkEnd w:id="40"/>
    <w:p>
      <w:pPr>
        <w:ind w:firstLine="518"/>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could divert our resources, cause us to incur substantial liabilities and limit commercialization of any products that we may develop.</w:t>
      </w:r>
    </w:p>
    <w:p>
      <w:pPr>
        <w:spacing w:after="0" w:line="170"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We face an inherent risk of product liability claims as a result of the clinical testing of our product candidates despite obtaining informed consents from our clinical trial participants. We will face an even greater risk if we commercially sell any product that we may develop. For example, we may be sued if any product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Regardless of the merits or eventual outcome, liability claims may result in:</w:t>
      </w:r>
    </w:p>
    <w:p>
      <w:pPr>
        <w:ind w:left="1040" w:hanging="519"/>
        <w:spacing w:after="0" w:line="224" w:lineRule="auto"/>
        <w:tabs>
          <w:tab w:leader="none" w:pos="1040" w:val="left"/>
        </w:tabs>
        <w:numPr>
          <w:ilvl w:val="0"/>
          <w:numId w:val="31"/>
        </w:numPr>
        <w:rPr>
          <w:rFonts w:ascii="Arial" w:cs="Arial" w:eastAsia="Arial" w:hAnsi="Arial"/>
          <w:sz w:val="29"/>
          <w:szCs w:val="29"/>
          <w:color w:val="auto"/>
          <w:vertAlign w:val="superscript"/>
        </w:rPr>
      </w:pPr>
      <w:r>
        <w:rPr>
          <w:rFonts w:ascii="Arial" w:cs="Arial" w:eastAsia="Arial" w:hAnsi="Arial"/>
          <w:sz w:val="18"/>
          <w:szCs w:val="18"/>
          <w:color w:val="auto"/>
        </w:rPr>
        <w:t>decreased demand for our product candidates or products that we may develop;</w:t>
      </w:r>
    </w:p>
    <w:p>
      <w:pPr>
        <w:spacing w:after="0" w:line="110" w:lineRule="exact"/>
        <w:rPr>
          <w:rFonts w:ascii="Arial" w:cs="Arial" w:eastAsia="Arial" w:hAnsi="Arial"/>
          <w:sz w:val="29"/>
          <w:szCs w:val="29"/>
          <w:color w:val="auto"/>
          <w:vertAlign w:val="superscript"/>
        </w:rPr>
      </w:pPr>
    </w:p>
    <w:p>
      <w:pPr>
        <w:ind w:left="1040" w:hanging="519"/>
        <w:spacing w:after="0" w:line="186" w:lineRule="auto"/>
        <w:tabs>
          <w:tab w:leader="none" w:pos="1040" w:val="left"/>
        </w:tabs>
        <w:numPr>
          <w:ilvl w:val="0"/>
          <w:numId w:val="31"/>
        </w:numPr>
        <w:rPr>
          <w:rFonts w:ascii="Arial" w:cs="Arial" w:eastAsia="Arial" w:hAnsi="Arial"/>
          <w:sz w:val="24"/>
          <w:szCs w:val="24"/>
          <w:color w:val="auto"/>
          <w:vertAlign w:val="superscript"/>
        </w:rPr>
      </w:pPr>
      <w:r>
        <w:rPr>
          <w:rFonts w:ascii="Arial" w:cs="Arial" w:eastAsia="Arial" w:hAnsi="Arial"/>
          <w:sz w:val="15"/>
          <w:szCs w:val="15"/>
          <w:color w:val="auto"/>
        </w:rPr>
        <w:t>injury to our reputation and significant negative media attention;</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31"/>
        </w:numPr>
        <w:rPr>
          <w:rFonts w:ascii="Arial" w:cs="Arial" w:eastAsia="Arial" w:hAnsi="Arial"/>
          <w:sz w:val="24"/>
          <w:szCs w:val="24"/>
          <w:color w:val="auto"/>
          <w:vertAlign w:val="superscript"/>
        </w:rPr>
      </w:pPr>
      <w:r>
        <w:rPr>
          <w:rFonts w:ascii="Arial" w:cs="Arial" w:eastAsia="Arial" w:hAnsi="Arial"/>
          <w:sz w:val="15"/>
          <w:szCs w:val="15"/>
          <w:color w:val="auto"/>
        </w:rPr>
        <w:t>loss of existing clinical trial participants or difficulty in enrolling future clinical trial participants;</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31"/>
        </w:numPr>
        <w:rPr>
          <w:rFonts w:ascii="Arial" w:cs="Arial" w:eastAsia="Arial" w:hAnsi="Arial"/>
          <w:sz w:val="24"/>
          <w:szCs w:val="24"/>
          <w:color w:val="auto"/>
          <w:vertAlign w:val="superscript"/>
        </w:rPr>
      </w:pPr>
      <w:r>
        <w:rPr>
          <w:rFonts w:ascii="Arial" w:cs="Arial" w:eastAsia="Arial" w:hAnsi="Arial"/>
          <w:sz w:val="15"/>
          <w:szCs w:val="15"/>
          <w:color w:val="auto"/>
        </w:rPr>
        <w:t>significant costs to defend resulting litigation or to reach a settlement;</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31"/>
        </w:numPr>
        <w:rPr>
          <w:rFonts w:ascii="Arial" w:cs="Arial" w:eastAsia="Arial" w:hAnsi="Arial"/>
          <w:sz w:val="24"/>
          <w:szCs w:val="24"/>
          <w:color w:val="auto"/>
          <w:vertAlign w:val="superscript"/>
        </w:rPr>
      </w:pPr>
      <w:r>
        <w:rPr>
          <w:rFonts w:ascii="Arial" w:cs="Arial" w:eastAsia="Arial" w:hAnsi="Arial"/>
          <w:sz w:val="15"/>
          <w:szCs w:val="15"/>
          <w:color w:val="auto"/>
        </w:rPr>
        <w:t>substantial payments to trial participants or patients;</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31"/>
        </w:numPr>
        <w:rPr>
          <w:rFonts w:ascii="Arial" w:cs="Arial" w:eastAsia="Arial" w:hAnsi="Arial"/>
          <w:sz w:val="24"/>
          <w:szCs w:val="24"/>
          <w:color w:val="auto"/>
          <w:vertAlign w:val="superscript"/>
        </w:rPr>
      </w:pPr>
      <w:r>
        <w:rPr>
          <w:rFonts w:ascii="Arial" w:cs="Arial" w:eastAsia="Arial" w:hAnsi="Arial"/>
          <w:sz w:val="15"/>
          <w:szCs w:val="15"/>
          <w:color w:val="auto"/>
        </w:rPr>
        <w:t>loss of revenue;</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31"/>
        </w:numPr>
        <w:rPr>
          <w:rFonts w:ascii="Arial" w:cs="Arial" w:eastAsia="Arial" w:hAnsi="Arial"/>
          <w:sz w:val="24"/>
          <w:szCs w:val="24"/>
          <w:color w:val="auto"/>
          <w:vertAlign w:val="superscript"/>
        </w:rPr>
      </w:pPr>
      <w:r>
        <w:rPr>
          <w:rFonts w:ascii="Arial" w:cs="Arial" w:eastAsia="Arial" w:hAnsi="Arial"/>
          <w:sz w:val="15"/>
          <w:szCs w:val="15"/>
          <w:color w:val="auto"/>
        </w:rPr>
        <w:t>reduced resources of our management to pursue our business strategy; and</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31"/>
        </w:numPr>
        <w:rPr>
          <w:rFonts w:ascii="Arial" w:cs="Arial" w:eastAsia="Arial" w:hAnsi="Arial"/>
          <w:sz w:val="24"/>
          <w:szCs w:val="24"/>
          <w:color w:val="auto"/>
          <w:vertAlign w:val="superscript"/>
        </w:rPr>
      </w:pPr>
      <w:r>
        <w:rPr>
          <w:rFonts w:ascii="Arial" w:cs="Arial" w:eastAsia="Arial" w:hAnsi="Arial"/>
          <w:sz w:val="15"/>
          <w:szCs w:val="15"/>
          <w:color w:val="auto"/>
        </w:rPr>
        <w:t>the inability to commercialize any products that we may develop.</w:t>
      </w:r>
    </w:p>
    <w:p>
      <w:pPr>
        <w:spacing w:after="0" w:line="202"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We maintain general liability, product liability and umbrella liability insurance. Our existing insurance coverage may not fully cover potential liabilities that we may incur. The cost of any product liability litigation or other proceeding, even if resolved in our favor, could be substantial. We will need to increase our insurance coverage as our risks of exposure increase, which, for example, would happen if and when we begin selling any product candidate that receives marketing approval. In addition, certain types of insurance coverage are becoming increasingly expensive. If we are unable to obtain or maintain sufficient insurance coverage at an acceptable cost or to otherwise protect against potential product liability claims, it could prevent or inhibit the development and commercial production and sale of our product candidates, which could adversely affect our business, financial condition, results of operations and prospects.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29" w:lineRule="exact"/>
        <w:rPr>
          <w:sz w:val="20"/>
          <w:szCs w:val="20"/>
          <w:color w:val="auto"/>
        </w:rPr>
      </w:pPr>
    </w:p>
    <w:p>
      <w:pPr>
        <w:ind w:right="200" w:firstLine="518"/>
        <w:spacing w:after="0" w:line="342" w:lineRule="auto"/>
        <w:rPr>
          <w:sz w:val="20"/>
          <w:szCs w:val="20"/>
          <w:color w:val="auto"/>
        </w:rPr>
      </w:pPr>
      <w:r>
        <w:rPr>
          <w:rFonts w:ascii="Arial" w:cs="Arial" w:eastAsia="Arial" w:hAnsi="Arial"/>
          <w:sz w:val="16"/>
          <w:szCs w:val="16"/>
          <w:b w:val="1"/>
          <w:bCs w:val="1"/>
          <w:i w:val="1"/>
          <w:iCs w:val="1"/>
          <w:color w:val="auto"/>
        </w:rPr>
        <w:t>We rely on third parties to conduct ISTs of some of our product candidates. Any failure by a third party to meet its obligations with respect to the clinical development of our drug candidates may delay or impair our ability to obtain regulatory approval for our product candidates.</w:t>
      </w:r>
    </w:p>
    <w:p>
      <w:pPr>
        <w:spacing w:after="0" w:line="124"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We rely on academic and scientific research institutions to conduct and sponsor some of our clinical trials relating to some of our product candidates. We do not control the design or administration of ISTs, and our reliance on third parties to conduct ISTs could, depending on the actions of such third parties, jeopardize the quality or timeliness of the clinical data generated and adversely affect our ability to obtain marketing approval from the FDA or other applicable regulatory authorities.</w:t>
      </w:r>
    </w:p>
    <w:p>
      <w:pPr>
        <w:spacing w:after="0" w:line="187" w:lineRule="exact"/>
        <w:rPr>
          <w:sz w:val="20"/>
          <w:szCs w:val="20"/>
          <w:color w:val="auto"/>
        </w:rPr>
      </w:pPr>
    </w:p>
    <w:p>
      <w:pPr>
        <w:ind w:right="140" w:firstLine="518"/>
        <w:spacing w:after="0" w:line="293" w:lineRule="auto"/>
        <w:rPr>
          <w:sz w:val="20"/>
          <w:szCs w:val="20"/>
          <w:color w:val="auto"/>
        </w:rPr>
      </w:pPr>
      <w:r>
        <w:rPr>
          <w:rFonts w:ascii="Arial" w:cs="Arial" w:eastAsia="Arial" w:hAnsi="Arial"/>
          <w:sz w:val="16"/>
          <w:szCs w:val="16"/>
          <w:color w:val="auto"/>
        </w:rPr>
        <w:t>Such arrangements provide us with certain information rights with respect to ISTs, including access to and the ability to use and reference the data resulting from the IST, including for our own regulatory filings. However, we do not control patient enrollment in, or the quality, timing and reporting of the data from, ISTs, nor do we own the data from the ISTs. Moreover, if we are unable to confirm or replicate the results from the ISTs or if negative results are obtained in the ISTs, we would likely be further delayed or prevented from advancing further clinical development of our drug candidates. Further, if investigators or institutions breach their obligations with respect to the clinical development of our drug candidates, or if the data proves to be unfavorable, incomplete or inconclusive, then our ability to design and conduct any future clinical trials ourselves may be adversely affected.</w:t>
      </w:r>
    </w:p>
    <w:p>
      <w:pPr>
        <w:spacing w:after="0" w:line="165" w:lineRule="exact"/>
        <w:rPr>
          <w:sz w:val="20"/>
          <w:szCs w:val="20"/>
          <w:color w:val="auto"/>
        </w:rPr>
      </w:pPr>
    </w:p>
    <w:p>
      <w:pPr>
        <w:ind w:right="160" w:firstLine="518"/>
        <w:spacing w:after="0" w:line="276" w:lineRule="auto"/>
        <w:rPr>
          <w:sz w:val="20"/>
          <w:szCs w:val="20"/>
          <w:color w:val="auto"/>
        </w:rPr>
      </w:pPr>
      <w:r>
        <w:rPr>
          <w:rFonts w:ascii="Arial" w:cs="Arial" w:eastAsia="Arial" w:hAnsi="Arial"/>
          <w:sz w:val="17"/>
          <w:szCs w:val="17"/>
          <w:color w:val="auto"/>
        </w:rPr>
        <w:t>The FDA or non-U.S. regulatory authorities may disagree with the sufficiency of our right of reference to the preclinical, manufacturing or clinical data generated by ISTs, or our interpretation of preclinical, manufacturing or clinical data from ISTs. If so, the FDA or other non-U.S. regulatory authorities may require us to obtain and submit additional preclinical, manufacturing, or clinical data before we may initiate our planned trials and/or may not accept such additional data as adequate to initiate our planned trials. Moreover, there is typically no independent review of the results of ISTs. Therefore, the investigators may interpret the results of ISTs more favorably than an independent review would.</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1" w:name="page42"/>
    <w:bookmarkEnd w:id="41"/>
    <w:p>
      <w:pPr>
        <w:ind w:right="20" w:firstLine="518"/>
        <w:spacing w:after="0" w:line="257" w:lineRule="auto"/>
        <w:rPr>
          <w:sz w:val="20"/>
          <w:szCs w:val="20"/>
          <w:color w:val="auto"/>
        </w:rPr>
      </w:pPr>
      <w:r>
        <w:rPr>
          <w:rFonts w:ascii="Arial" w:cs="Arial" w:eastAsia="Arial" w:hAnsi="Arial"/>
          <w:sz w:val="18"/>
          <w:szCs w:val="18"/>
          <w:color w:val="auto"/>
        </w:rPr>
        <w:t>Moreover, ISTs of our product candidates may continue even after we commence company-sponsored trials in the same or different indications. To the extent the results of these ISTs are inconsistent with, or different from, the results of our company-sponsored trials, the FDA or a non-U.S. regulatory authority may question the results of the company-sponsored trial, or subject such results to greater scrutiny than it otherwise would. In these circumstances, the FDA or such other non-U.S. regulatory authorities may require us to obtain and submit additional clinical data, which could delay clinical development or marketing approval of the applicable product candidate.</w:t>
      </w:r>
    </w:p>
    <w:p>
      <w:pPr>
        <w:spacing w:after="0" w:line="188"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b w:val="1"/>
          <w:bCs w:val="1"/>
          <w:i w:val="1"/>
          <w:iCs w:val="1"/>
          <w:color w:val="auto"/>
        </w:rPr>
        <w:t>We rely, and expect to continue to rely, on third parties to conduct our clinical trials, and those third parties may not perform satisfactorily, including failing to meet deadlines for the completion of such trials.</w:t>
      </w:r>
    </w:p>
    <w:p>
      <w:pPr>
        <w:spacing w:after="0" w:line="170" w:lineRule="exact"/>
        <w:rPr>
          <w:sz w:val="20"/>
          <w:szCs w:val="20"/>
          <w:color w:val="auto"/>
        </w:rPr>
      </w:pPr>
    </w:p>
    <w:p>
      <w:pPr>
        <w:ind w:right="220" w:firstLine="518"/>
        <w:spacing w:after="0" w:line="257" w:lineRule="auto"/>
        <w:rPr>
          <w:sz w:val="20"/>
          <w:szCs w:val="20"/>
          <w:color w:val="auto"/>
        </w:rPr>
      </w:pPr>
      <w:r>
        <w:rPr>
          <w:rFonts w:ascii="Arial" w:cs="Arial" w:eastAsia="Arial" w:hAnsi="Arial"/>
          <w:sz w:val="18"/>
          <w:szCs w:val="18"/>
          <w:color w:val="auto"/>
        </w:rPr>
        <w:t>We currently rely on third party clinical research organizations, or CROs, site management organizations, clinical data management organizations, medical institutions and clinical investigators, to conduct our clinical trials. We also rely on these third parties to collect and monitor adverse event data for our clinical trials. We expect to continue to rely on these third parties to conduct our clinical trials. Our agreements with these third parties generally allow the third party to terminate the agreement at any time. If we are required to enter into alternative arrangements because of any such termination the introduction of our product candidates to market could be delayed.</w:t>
      </w:r>
    </w:p>
    <w:p>
      <w:pPr>
        <w:spacing w:after="0" w:line="188" w:lineRule="exact"/>
        <w:rPr>
          <w:sz w:val="20"/>
          <w:szCs w:val="20"/>
          <w:color w:val="auto"/>
        </w:rPr>
      </w:pPr>
    </w:p>
    <w:p>
      <w:pPr>
        <w:ind w:right="80" w:firstLine="518"/>
        <w:spacing w:after="0" w:line="291" w:lineRule="auto"/>
        <w:rPr>
          <w:sz w:val="20"/>
          <w:szCs w:val="20"/>
          <w:color w:val="auto"/>
        </w:rPr>
      </w:pPr>
      <w:r>
        <w:rPr>
          <w:rFonts w:ascii="Arial" w:cs="Arial" w:eastAsia="Arial" w:hAnsi="Arial"/>
          <w:sz w:val="16"/>
          <w:szCs w:val="16"/>
          <w:color w:val="auto"/>
        </w:rPr>
        <w:t>Our reliance on these third parties for research and development activities will reduce our control over these activities but will not relieve us of our responsibilities. For example, we design our clinical trials and will remain responsible for ensuring that each of our clinical trials is conducted in accordance with the general investigational plan and protocols for the trial. Moreover, the FDA requires us to comply with standards, commonly referred to as good clinical practices for conducting, recording and reporting the results of clinical trials to assure that data and reported results are credible and accurate and that the rights, integrity and confidentiality of trial participants are protected. Our reliance on third parties that we do not control does not relieve us of these responsibilities and requirements. We are also required to register ongoing clinical trials and post the results of completed clinical trials on a government-sponsored database, ClinicalTrials.gov, within specified timeframes. Failure to do so can result in fines, adverse publicity and civil and criminal sanctions.</w:t>
      </w:r>
    </w:p>
    <w:p>
      <w:pPr>
        <w:spacing w:after="0" w:line="16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spacing w:after="0" w:line="187" w:lineRule="exact"/>
        <w:rPr>
          <w:sz w:val="20"/>
          <w:szCs w:val="20"/>
          <w:color w:val="auto"/>
        </w:rPr>
      </w:pPr>
    </w:p>
    <w:p>
      <w:pPr>
        <w:jc w:val="both"/>
        <w:ind w:right="240" w:firstLine="518"/>
        <w:spacing w:after="0" w:line="264" w:lineRule="auto"/>
        <w:rPr>
          <w:sz w:val="20"/>
          <w:szCs w:val="20"/>
          <w:color w:val="auto"/>
        </w:rPr>
      </w:pPr>
      <w:r>
        <w:rPr>
          <w:rFonts w:ascii="Arial" w:cs="Arial" w:eastAsia="Arial" w:hAnsi="Arial"/>
          <w:sz w:val="18"/>
          <w:szCs w:val="18"/>
          <w:color w:val="auto"/>
        </w:rPr>
        <w:t>We also expect to rely on other third parties to manufacture, store and distribute drug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w:t>
      </w:r>
    </w:p>
    <w:p>
      <w:pPr>
        <w:spacing w:after="0" w:line="18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b w:val="1"/>
          <w:bCs w:val="1"/>
          <w:i w:val="1"/>
          <w:iCs w:val="1"/>
          <w:color w:val="auto"/>
        </w:rPr>
        <w:t>We have entered into collaborations, and may seek to enter into additional collaborations, with third parties for the development and commercialization of our product candidates and to leverage our Dynamic Tumor Targeting Platform for our collaborator’s product candidates. If such collaborations are not successful, or we fail to enter into additional collaborations, we may not be able to capitalize on the market potential of our product candidates or our Dynamic Tumor Targeting Platform.</w:t>
      </w:r>
    </w:p>
    <w:p>
      <w:pPr>
        <w:spacing w:after="0" w:line="187" w:lineRule="exact"/>
        <w:rPr>
          <w:sz w:val="20"/>
          <w:szCs w:val="20"/>
          <w:color w:val="auto"/>
        </w:rPr>
      </w:pPr>
    </w:p>
    <w:p>
      <w:pPr>
        <w:jc w:val="both"/>
        <w:ind w:right="260" w:firstLine="518"/>
        <w:spacing w:after="0" w:line="279" w:lineRule="auto"/>
        <w:rPr>
          <w:sz w:val="20"/>
          <w:szCs w:val="20"/>
          <w:color w:val="auto"/>
        </w:rPr>
      </w:pPr>
      <w:r>
        <w:rPr>
          <w:rFonts w:ascii="Arial" w:cs="Arial" w:eastAsia="Arial" w:hAnsi="Arial"/>
          <w:sz w:val="17"/>
          <w:szCs w:val="17"/>
          <w:color w:val="auto"/>
        </w:rPr>
        <w:t>In November 2015 we announced a collaboration with AstraZeneca AB, or AstraZeneca, and the National Cancer Institute, or the NCI, part of the National Institutes of Health, to conduct a Phase 1/2 clinical trial of the combination of Lynparza and CRLX101 in patients with small cell lung cancer. In October 2016, we announced a collaboration with Novartis for the research, development and commercialization of nanoparticle drug conjugates based on Novartis-selected payloads conjugated to our Dynamic Tumor Targeting Platform.</w:t>
      </w:r>
    </w:p>
    <w:p>
      <w:pPr>
        <w:spacing w:after="0" w:line="171"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We may seek additional third-party collaborators for development and commercialization of our product candidates or to leverage our Dynamic Tumor Targeting Platform. Our likely collaborators for any marketing, distribution, development, licensing or broader collaboration arrangements include large and mid-size pharmaceutical companies, regional and national pharmaceutical companies, biotechnology companies and certain governmental agencies. We will have limited control over the amount and timing of resources that any of our current or potential future collaborations dedicate to the development or commercialization of our product candidates or to the use of our Dynamic Tumor Targeting Platform. Our ability to generate revenues from these arrangements will depend significantly on our collaborators’ abilities to successfully perform the functions assigned to them in these arrangements.</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Collaborations involving our product candidates or our Dynamic Tumor Targeting Platform pose the following risks to us:</w:t>
      </w:r>
    </w:p>
    <w:p>
      <w:pPr>
        <w:spacing w:after="0" w:line="117" w:lineRule="exact"/>
        <w:rPr>
          <w:sz w:val="20"/>
          <w:szCs w:val="20"/>
          <w:color w:val="auto"/>
        </w:rPr>
      </w:pPr>
    </w:p>
    <w:p>
      <w:pPr>
        <w:jc w:val="center"/>
        <w:ind w:left="5620" w:right="1420" w:hanging="5099"/>
        <w:spacing w:after="0" w:line="632" w:lineRule="auto"/>
        <w:tabs>
          <w:tab w:leader="none" w:pos="1031" w:val="left"/>
        </w:tabs>
        <w:numPr>
          <w:ilvl w:val="0"/>
          <w:numId w:val="32"/>
        </w:numPr>
        <w:rPr>
          <w:rFonts w:ascii="Arial" w:cs="Arial" w:eastAsia="Arial" w:hAnsi="Arial"/>
          <w:sz w:val="29"/>
          <w:szCs w:val="29"/>
          <w:color w:val="auto"/>
          <w:vertAlign w:val="superscript"/>
        </w:rPr>
      </w:pPr>
      <w:r>
        <w:rPr>
          <w:rFonts w:ascii="Arial" w:cs="Arial" w:eastAsia="Arial" w:hAnsi="Arial"/>
          <w:sz w:val="18"/>
          <w:szCs w:val="18"/>
          <w:color w:val="auto"/>
        </w:rPr>
        <w:t>collaborators have significant discretion in determining the efforts and resources that they will apply to these collaborations;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-289560</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2" w:name="page43"/>
    <w:bookmarkEnd w:id="42"/>
    <w:p>
      <w:pPr>
        <w:ind w:left="1040" w:hanging="519"/>
        <w:spacing w:after="0" w:line="220" w:lineRule="auto"/>
        <w:tabs>
          <w:tab w:leader="none" w:pos="1040" w:val="left"/>
        </w:tabs>
        <w:numPr>
          <w:ilvl w:val="0"/>
          <w:numId w:val="33"/>
        </w:numPr>
        <w:rPr>
          <w:rFonts w:ascii="Arial" w:cs="Arial" w:eastAsia="Arial" w:hAnsi="Arial"/>
          <w:sz w:val="29"/>
          <w:szCs w:val="29"/>
          <w:color w:val="auto"/>
          <w:vertAlign w:val="superscript"/>
        </w:rPr>
      </w:pPr>
      <w:r>
        <w:rPr>
          <w:rFonts w:ascii="Arial" w:cs="Arial" w:eastAsia="Arial" w:hAnsi="Arial"/>
          <w:sz w:val="18"/>
          <w:szCs w:val="18"/>
          <w:color w:val="auto"/>
        </w:rPr>
        <w:t>collaborators may not pursue development and commercialization of our product candidates or the product candidates we help them develop, or they may elect not to continue or renew research, development or commercialization programs based on preclinical or clinical trial results, changes in the collaborators’ strategic focus or available funding, or external factors such as an acquisition that diverts resources or creates competing priorities;</w:t>
      </w:r>
    </w:p>
    <w:p>
      <w:pPr>
        <w:spacing w:after="0" w:line="97" w:lineRule="exact"/>
        <w:rPr>
          <w:rFonts w:ascii="Arial" w:cs="Arial" w:eastAsia="Arial" w:hAnsi="Arial"/>
          <w:sz w:val="29"/>
          <w:szCs w:val="29"/>
          <w:color w:val="auto"/>
          <w:vertAlign w:val="superscript"/>
        </w:rPr>
      </w:pPr>
    </w:p>
    <w:p>
      <w:pPr>
        <w:ind w:left="1040" w:right="200" w:hanging="519"/>
        <w:spacing w:after="0" w:line="198" w:lineRule="auto"/>
        <w:tabs>
          <w:tab w:leader="none" w:pos="1040" w:val="left"/>
        </w:tabs>
        <w:numPr>
          <w:ilvl w:val="0"/>
          <w:numId w:val="33"/>
        </w:numPr>
        <w:rPr>
          <w:rFonts w:ascii="Arial" w:cs="Arial" w:eastAsia="Arial" w:hAnsi="Arial"/>
          <w:sz w:val="29"/>
          <w:szCs w:val="29"/>
          <w:color w:val="auto"/>
          <w:vertAlign w:val="superscript"/>
        </w:rPr>
      </w:pPr>
      <w:r>
        <w:rPr>
          <w:rFonts w:ascii="Arial" w:cs="Arial" w:eastAsia="Arial" w:hAnsi="Arial"/>
          <w:sz w:val="18"/>
          <w:szCs w:val="18"/>
          <w:color w:val="auto"/>
        </w:rPr>
        <w:t>our agreements with collaborators may block us from researching and developing product candidates for our own benefit or for the benefit of other or future collaborators;</w:t>
      </w:r>
    </w:p>
    <w:p>
      <w:pPr>
        <w:spacing w:after="0" w:line="94" w:lineRule="exact"/>
        <w:rPr>
          <w:rFonts w:ascii="Arial" w:cs="Arial" w:eastAsia="Arial" w:hAnsi="Arial"/>
          <w:sz w:val="29"/>
          <w:szCs w:val="29"/>
          <w:color w:val="auto"/>
          <w:vertAlign w:val="superscript"/>
        </w:rPr>
      </w:pPr>
    </w:p>
    <w:p>
      <w:pPr>
        <w:ind w:left="1040" w:right="20" w:hanging="519"/>
        <w:spacing w:after="0" w:line="212" w:lineRule="auto"/>
        <w:tabs>
          <w:tab w:leader="none" w:pos="1040" w:val="left"/>
        </w:tabs>
        <w:numPr>
          <w:ilvl w:val="0"/>
          <w:numId w:val="33"/>
        </w:numPr>
        <w:rPr>
          <w:rFonts w:ascii="Arial" w:cs="Arial" w:eastAsia="Arial" w:hAnsi="Arial"/>
          <w:sz w:val="29"/>
          <w:szCs w:val="29"/>
          <w:color w:val="auto"/>
          <w:vertAlign w:val="superscript"/>
        </w:rPr>
      </w:pPr>
      <w:r>
        <w:rPr>
          <w:rFonts w:ascii="Arial" w:cs="Arial" w:eastAsia="Arial" w:hAnsi="Arial"/>
          <w:sz w:val="18"/>
          <w:szCs w:val="18"/>
          <w:color w:val="auto"/>
        </w:rPr>
        <w:t>collaborators may not initiate clinical trials or if initiated, they may delay clinical trials, provide insufficient funding for a clinical trial program, stop a clinical trial or abandon a product candidate, repeat or conduct new clinical trials or require a new dosing schedule, dose level or formulation of a product candidate for clinical testing;</w:t>
      </w:r>
    </w:p>
    <w:p>
      <w:pPr>
        <w:spacing w:after="0" w:line="96" w:lineRule="exact"/>
        <w:rPr>
          <w:rFonts w:ascii="Arial" w:cs="Arial" w:eastAsia="Arial" w:hAnsi="Arial"/>
          <w:sz w:val="29"/>
          <w:szCs w:val="29"/>
          <w:color w:val="auto"/>
          <w:vertAlign w:val="superscript"/>
        </w:rPr>
      </w:pPr>
    </w:p>
    <w:p>
      <w:pPr>
        <w:ind w:left="1040" w:right="20" w:hanging="519"/>
        <w:spacing w:after="0" w:line="212" w:lineRule="auto"/>
        <w:tabs>
          <w:tab w:leader="none" w:pos="1040" w:val="left"/>
        </w:tabs>
        <w:numPr>
          <w:ilvl w:val="0"/>
          <w:numId w:val="33"/>
        </w:numPr>
        <w:rPr>
          <w:rFonts w:ascii="Arial" w:cs="Arial" w:eastAsia="Arial" w:hAnsi="Arial"/>
          <w:sz w:val="29"/>
          <w:szCs w:val="29"/>
          <w:color w:val="auto"/>
          <w:vertAlign w:val="superscript"/>
        </w:rPr>
      </w:pPr>
      <w:r>
        <w:rPr>
          <w:rFonts w:ascii="Arial" w:cs="Arial" w:eastAsia="Arial" w:hAnsi="Arial"/>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96" w:lineRule="exact"/>
        <w:rPr>
          <w:rFonts w:ascii="Arial" w:cs="Arial" w:eastAsia="Arial" w:hAnsi="Arial"/>
          <w:sz w:val="29"/>
          <w:szCs w:val="29"/>
          <w:color w:val="auto"/>
          <w:vertAlign w:val="superscript"/>
        </w:rPr>
      </w:pPr>
    </w:p>
    <w:p>
      <w:pPr>
        <w:ind w:left="1040" w:right="680" w:hanging="519"/>
        <w:spacing w:after="0" w:line="198" w:lineRule="auto"/>
        <w:tabs>
          <w:tab w:leader="none" w:pos="1040" w:val="left"/>
        </w:tabs>
        <w:numPr>
          <w:ilvl w:val="0"/>
          <w:numId w:val="33"/>
        </w:numPr>
        <w:rPr>
          <w:rFonts w:ascii="Arial" w:cs="Arial" w:eastAsia="Arial" w:hAnsi="Arial"/>
          <w:sz w:val="29"/>
          <w:szCs w:val="29"/>
          <w:color w:val="auto"/>
          <w:vertAlign w:val="superscript"/>
        </w:rPr>
      </w:pPr>
      <w:r>
        <w:rPr>
          <w:rFonts w:ascii="Arial" w:cs="Arial" w:eastAsia="Arial" w:hAnsi="Arial"/>
          <w:sz w:val="18"/>
          <w:szCs w:val="18"/>
          <w:color w:val="auto"/>
        </w:rPr>
        <w:t>collaborators with marketing and distribution rights to one or more products may not commit sufficient resources to the marketing and distribution of such product or products;</w:t>
      </w:r>
    </w:p>
    <w:p>
      <w:pPr>
        <w:spacing w:after="0" w:line="94" w:lineRule="exact"/>
        <w:rPr>
          <w:rFonts w:ascii="Arial" w:cs="Arial" w:eastAsia="Arial" w:hAnsi="Arial"/>
          <w:sz w:val="29"/>
          <w:szCs w:val="29"/>
          <w:color w:val="auto"/>
          <w:vertAlign w:val="superscript"/>
        </w:rPr>
      </w:pPr>
    </w:p>
    <w:p>
      <w:pPr>
        <w:ind w:left="1040" w:right="220" w:hanging="519"/>
        <w:spacing w:after="0" w:line="221" w:lineRule="auto"/>
        <w:tabs>
          <w:tab w:leader="none" w:pos="1040" w:val="left"/>
        </w:tabs>
        <w:numPr>
          <w:ilvl w:val="0"/>
          <w:numId w:val="33"/>
        </w:numPr>
        <w:rPr>
          <w:rFonts w:ascii="Arial" w:cs="Arial" w:eastAsia="Arial" w:hAnsi="Arial"/>
          <w:sz w:val="26"/>
          <w:szCs w:val="26"/>
          <w:color w:val="auto"/>
          <w:vertAlign w:val="superscript"/>
        </w:rPr>
      </w:pPr>
      <w:r>
        <w:rPr>
          <w:rFonts w:ascii="Arial" w:cs="Arial" w:eastAsia="Arial" w:hAnsi="Arial"/>
          <w:sz w:val="16"/>
          <w:szCs w:val="16"/>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95" w:lineRule="exact"/>
        <w:rPr>
          <w:rFonts w:ascii="Arial" w:cs="Arial" w:eastAsia="Arial" w:hAnsi="Arial"/>
          <w:sz w:val="26"/>
          <w:szCs w:val="26"/>
          <w:color w:val="auto"/>
          <w:vertAlign w:val="superscript"/>
        </w:rPr>
      </w:pPr>
    </w:p>
    <w:p>
      <w:pPr>
        <w:ind w:left="1040" w:right="180" w:hanging="519"/>
        <w:spacing w:after="0" w:line="198" w:lineRule="auto"/>
        <w:tabs>
          <w:tab w:leader="none" w:pos="1040" w:val="left"/>
        </w:tabs>
        <w:numPr>
          <w:ilvl w:val="0"/>
          <w:numId w:val="33"/>
        </w:numPr>
        <w:rPr>
          <w:rFonts w:ascii="Arial" w:cs="Arial" w:eastAsia="Arial" w:hAnsi="Arial"/>
          <w:sz w:val="29"/>
          <w:szCs w:val="29"/>
          <w:color w:val="auto"/>
          <w:vertAlign w:val="superscript"/>
        </w:rPr>
      </w:pPr>
      <w:r>
        <w:rPr>
          <w:rFonts w:ascii="Arial" w:cs="Arial" w:eastAsia="Arial" w:hAnsi="Arial"/>
          <w:sz w:val="18"/>
          <w:szCs w:val="18"/>
          <w:color w:val="auto"/>
        </w:rPr>
        <w:t>collaborators may infringe our intellectual property rights or the intellectual property rights of third parties, which may expose us to litigation and potential liability;</w:t>
      </w:r>
    </w:p>
    <w:p>
      <w:pPr>
        <w:spacing w:after="0" w:line="94" w:lineRule="exact"/>
        <w:rPr>
          <w:rFonts w:ascii="Arial" w:cs="Arial" w:eastAsia="Arial" w:hAnsi="Arial"/>
          <w:sz w:val="29"/>
          <w:szCs w:val="29"/>
          <w:color w:val="auto"/>
          <w:vertAlign w:val="superscript"/>
        </w:rPr>
      </w:pPr>
    </w:p>
    <w:p>
      <w:pPr>
        <w:ind w:left="1040" w:right="20" w:hanging="519"/>
        <w:spacing w:after="0" w:line="221" w:lineRule="auto"/>
        <w:tabs>
          <w:tab w:leader="none" w:pos="1040" w:val="left"/>
        </w:tabs>
        <w:numPr>
          <w:ilvl w:val="0"/>
          <w:numId w:val="33"/>
        </w:numPr>
        <w:rPr>
          <w:rFonts w:ascii="Arial" w:cs="Arial" w:eastAsia="Arial" w:hAnsi="Arial"/>
          <w:sz w:val="26"/>
          <w:szCs w:val="26"/>
          <w:color w:val="auto"/>
          <w:vertAlign w:val="superscript"/>
        </w:rPr>
      </w:pPr>
      <w:r>
        <w:rPr>
          <w:rFonts w:ascii="Arial" w:cs="Arial" w:eastAsia="Arial" w:hAnsi="Arial"/>
          <w:sz w:val="16"/>
          <w:szCs w:val="16"/>
          <w:color w:val="auto"/>
        </w:rPr>
        <w:t>disputes may arise between the collaborators and us that result in the delay or termination of the research, development or commercialization of relevant products or product candidates or that result in costly litigation or arbitration that diverts management attention and resources; and</w:t>
      </w:r>
    </w:p>
    <w:p>
      <w:pPr>
        <w:spacing w:after="0" w:line="95" w:lineRule="exact"/>
        <w:rPr>
          <w:rFonts w:ascii="Arial" w:cs="Arial" w:eastAsia="Arial" w:hAnsi="Arial"/>
          <w:sz w:val="26"/>
          <w:szCs w:val="26"/>
          <w:color w:val="auto"/>
          <w:vertAlign w:val="superscript"/>
        </w:rPr>
      </w:pPr>
    </w:p>
    <w:p>
      <w:pPr>
        <w:ind w:left="1040" w:right="1140" w:hanging="519"/>
        <w:spacing w:after="0" w:line="198" w:lineRule="auto"/>
        <w:tabs>
          <w:tab w:leader="none" w:pos="1040" w:val="left"/>
        </w:tabs>
        <w:numPr>
          <w:ilvl w:val="0"/>
          <w:numId w:val="33"/>
        </w:numPr>
        <w:rPr>
          <w:rFonts w:ascii="Arial" w:cs="Arial" w:eastAsia="Arial" w:hAnsi="Arial"/>
          <w:sz w:val="29"/>
          <w:szCs w:val="29"/>
          <w:color w:val="auto"/>
          <w:vertAlign w:val="superscript"/>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w:t>
      </w:r>
    </w:p>
    <w:p>
      <w:pPr>
        <w:spacing w:after="0" w:line="202" w:lineRule="exact"/>
        <w:rPr>
          <w:sz w:val="20"/>
          <w:szCs w:val="20"/>
          <w:color w:val="auto"/>
        </w:rPr>
      </w:pPr>
    </w:p>
    <w:p>
      <w:pPr>
        <w:jc w:val="both"/>
        <w:ind w:right="680" w:firstLine="518"/>
        <w:spacing w:after="0" w:line="264" w:lineRule="auto"/>
        <w:rPr>
          <w:sz w:val="20"/>
          <w:szCs w:val="20"/>
          <w:color w:val="auto"/>
        </w:rPr>
      </w:pPr>
      <w:r>
        <w:rPr>
          <w:rFonts w:ascii="Arial" w:cs="Arial" w:eastAsia="Arial" w:hAnsi="Arial"/>
          <w:sz w:val="18"/>
          <w:szCs w:val="18"/>
          <w:color w:val="auto"/>
        </w:rPr>
        <w:t>Collaboration agreements may not lead to development or commercialization of product candidates in the most efficient manner or at all. If a collaborator of ours were to be involved in a business combination or divestiture, the continued pursuit and emphasis on our product development or commercialization program could be delayed, diminished or terminated.</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If we are not able to establish additional collaborations, we may have to alter our research, development and commercialization plans.</w:t>
      </w:r>
    </w:p>
    <w:p>
      <w:pPr>
        <w:spacing w:after="0" w:line="237" w:lineRule="exact"/>
        <w:rPr>
          <w:sz w:val="20"/>
          <w:szCs w:val="20"/>
          <w:color w:val="auto"/>
        </w:rPr>
      </w:pPr>
    </w:p>
    <w:p>
      <w:pPr>
        <w:ind w:right="160" w:firstLine="518"/>
        <w:spacing w:after="0" w:line="297" w:lineRule="auto"/>
        <w:rPr>
          <w:sz w:val="20"/>
          <w:szCs w:val="20"/>
          <w:color w:val="auto"/>
        </w:rPr>
      </w:pPr>
      <w:r>
        <w:rPr>
          <w:rFonts w:ascii="Arial" w:cs="Arial" w:eastAsia="Arial" w:hAnsi="Arial"/>
          <w:sz w:val="16"/>
          <w:szCs w:val="16"/>
          <w:color w:val="auto"/>
        </w:rPr>
        <w:t>Our Dynamic Tumor Targeting Platform, our drug development programs and the potential commercialization of our product candidates will require substantial additional cash to fund expenses. Our collaboration with Novartis leverages our Dynamic Tumor Targeting Platform, and our collaboration with AstraZeneca and the NCI enables the clinical research of CRLX101 in combination with Lynparza in the ongoing Phase 1/2 clinical trial in patients with small cell lung cancer. Beyond these arrangements, we plan to seek further collaborations with pharmaceutical and biotechnology companies or institutions to leverage our Dynamic Tumor Targeting Platform, and for the development and potential commercialization of CRLX101 or other product candidates.</w:t>
      </w:r>
    </w:p>
    <w:p>
      <w:pPr>
        <w:spacing w:after="0" w:line="158"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We face significant competition in seeking appropriate collaborators. Whether we reach a definitive agreement with a potential collaborator will depend, among other things, upon our assessment of the collaborator’s resources and expertise, the terms and conditions of the proposed collaboration and the proposed collaborator’s evaluation of a number of factors. Those factors may include the value of our Dynamic Tumor Targeting Platform and associated intellectual property rights,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technology platforms, product candidates or technologies for similar indications that may be available to collaborate on and whether such a collaboration could be more attractive than the one with us for our technology or product candidate. We may also be restricted under future license agreements from entering into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80"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We may not be able to negotiate additional collaborations on a timely basis, on acceptable terms, or at all. If we are unable to do so, we may have to curtail the development of our Dynamic Tumor Targeting Platform or a product candidate, reduce or delay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3" w:name="page44"/>
    <w:bookmarkEnd w:id="43"/>
    <w:p>
      <w:pPr>
        <w:ind w:right="120"/>
        <w:spacing w:after="0" w:line="257" w:lineRule="auto"/>
        <w:rPr>
          <w:sz w:val="20"/>
          <w:szCs w:val="20"/>
          <w:color w:val="auto"/>
        </w:rPr>
      </w:pPr>
      <w:r>
        <w:rPr>
          <w:rFonts w:ascii="Arial" w:cs="Arial" w:eastAsia="Arial" w:hAnsi="Arial"/>
          <w:sz w:val="18"/>
          <w:szCs w:val="18"/>
          <w:color w:val="auto"/>
        </w:rPr>
        <w:t>research or relevant development programs, delay potential commercialization of product candidates or reduce the scope of any sales or marketing activities, or increase our expenditures and undertake development or commercialization activities at our own expense. If we elect to increase our expenditures to fund research, development or commercialization activities on our own, we may need to obtain additional capital, which may not be available to us on acceptable terms or at all. If we do not have sufficient funds, we may not be able to further research or develop our product candidates or technology to bring them to market and generate product revenue.</w:t>
      </w:r>
    </w:p>
    <w:p>
      <w:pPr>
        <w:spacing w:after="0" w:line="188" w:lineRule="exact"/>
        <w:rPr>
          <w:sz w:val="20"/>
          <w:szCs w:val="20"/>
          <w:color w:val="auto"/>
        </w:rPr>
      </w:pPr>
    </w:p>
    <w:p>
      <w:pPr>
        <w:jc w:val="both"/>
        <w:ind w:right="40" w:firstLine="518"/>
        <w:spacing w:after="0" w:line="286" w:lineRule="auto"/>
        <w:rPr>
          <w:sz w:val="20"/>
          <w:szCs w:val="20"/>
          <w:color w:val="auto"/>
        </w:rPr>
      </w:pPr>
      <w:r>
        <w:rPr>
          <w:rFonts w:ascii="Arial" w:cs="Arial" w:eastAsia="Arial" w:hAnsi="Arial"/>
          <w:sz w:val="17"/>
          <w:szCs w:val="17"/>
          <w:b w:val="1"/>
          <w:bCs w:val="1"/>
          <w:i w:val="1"/>
          <w:iCs w:val="1"/>
          <w:color w:val="auto"/>
        </w:rPr>
        <w:t>We contract with third parties for the manufacture of our product candidates for preclinical and clinical testing and expect to continue to do so for commercialization. This reliance on third parties increases the risk that we will not have sufficient quantities of our product candidates or such quantities at an acceptable cost, which could delay, prevent or impair our development or commercialization efforts.</w:t>
      </w:r>
    </w:p>
    <w:p>
      <w:pPr>
        <w:spacing w:after="0" w:line="166"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We do not currently own or operate manufacturing facilities for the production of clinical quantities of CRLX101 or CRLX301 and have limited personnel with manufacturing experience. We currently rely on and expect to continue to rely on third party contract manufacturers to manufacture supplies of our product candidates for preclinical and clinical testing, as well as for commercial manufacture if any of our product candidates receive marketing approval.</w:t>
      </w:r>
    </w:p>
    <w:p>
      <w:pPr>
        <w:spacing w:after="0" w:line="187" w:lineRule="exact"/>
        <w:rPr>
          <w:sz w:val="20"/>
          <w:szCs w:val="20"/>
          <w:color w:val="auto"/>
        </w:rPr>
      </w:pPr>
    </w:p>
    <w:p>
      <w:pPr>
        <w:ind w:right="200" w:firstLine="518"/>
        <w:spacing w:after="0" w:line="272" w:lineRule="auto"/>
        <w:rPr>
          <w:sz w:val="20"/>
          <w:szCs w:val="20"/>
          <w:color w:val="auto"/>
        </w:rPr>
      </w:pPr>
      <w:r>
        <w:rPr>
          <w:rFonts w:ascii="Arial" w:cs="Arial" w:eastAsia="Arial" w:hAnsi="Arial"/>
          <w:sz w:val="17"/>
          <w:szCs w:val="17"/>
          <w:color w:val="auto"/>
        </w:rPr>
        <w:t>CRLX101 and CRLX301 must be manufactured through complex, multi-step synthesis processes that are time-consuming and involve special conditions at certain stages. Drug substance manufacture requires high potency containment, and drug product manufacture requires high potency containment under aseptic conditions, also referred to as sterile manufacture. Failures in either drug substance manufacture or drug product manufacture, whether on the part of our existing or future manufacturers or as a result of our failure to make timely and effective improvements in our manufacturing processes, could materially delay clinical development or marketing approval of our product candidates or result in our inability to generate sufficient supplies to meet clinical or commercial demands. For example, in 2015 we experienced a CRLX101 drug substance manufacturing failure due to an out-of-specification event, and the process of obtaining a new batch required several months to complete.</w:t>
      </w:r>
    </w:p>
    <w:p>
      <w:pPr>
        <w:spacing w:after="0" w:line="178"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We currently rely on one supplier for each stage of this process and have only limited backup supplier options. If our current contract manufacturers cannot perform as agreed, or become unavailable to us for any reason, we may be required to replace such manufacturers. Our agreements with our third party manufacturers can be terminated by us or such manufacturers on short notice. If any of our existing manufacturers should become unavailable to us for any reason or should be unable to secure additional manufacturing capacity in the event of higher than anticipated product demand, we may incur additional cost or delay in identifying or qualifying replacements. In addition, while we believe that our existing supplier of drug substance or an alternative supplier would be capable of continuing to produce drug substance in commercial quantities, we will need to identify a third-party manufacturer capable of providing commercial quantities of drug product. If we are unable to arrange for such a third-party manufacturing source, or fail to do so on commercially reasonable terms, we may not be able to successfully produce and market CRLX101 or any other product candidate or may be delayed in doing so.</w:t>
      </w:r>
    </w:p>
    <w:p>
      <w:pPr>
        <w:spacing w:after="0" w:line="166" w:lineRule="exact"/>
        <w:rPr>
          <w:sz w:val="20"/>
          <w:szCs w:val="20"/>
          <w:color w:val="auto"/>
        </w:rPr>
      </w:pPr>
    </w:p>
    <w:p>
      <w:pPr>
        <w:ind w:right="540" w:firstLine="518"/>
        <w:spacing w:after="0" w:line="277" w:lineRule="auto"/>
        <w:rPr>
          <w:sz w:val="20"/>
          <w:szCs w:val="20"/>
          <w:color w:val="auto"/>
        </w:rPr>
      </w:pPr>
      <w:r>
        <w:rPr>
          <w:rFonts w:ascii="Arial" w:cs="Arial" w:eastAsia="Arial" w:hAnsi="Arial"/>
          <w:sz w:val="18"/>
          <w:szCs w:val="18"/>
          <w:color w:val="auto"/>
        </w:rPr>
        <w:t>Even if we are able to establish such arrangements with third party manufacturers, reliance on third party manufacturers entails additional risks, including:</w:t>
      </w:r>
    </w:p>
    <w:p>
      <w:pPr>
        <w:ind w:left="1040" w:hanging="519"/>
        <w:spacing w:after="0" w:line="210" w:lineRule="auto"/>
        <w:tabs>
          <w:tab w:leader="none" w:pos="1040" w:val="left"/>
        </w:tabs>
        <w:numPr>
          <w:ilvl w:val="0"/>
          <w:numId w:val="34"/>
        </w:numPr>
        <w:rPr>
          <w:rFonts w:ascii="Arial" w:cs="Arial" w:eastAsia="Arial" w:hAnsi="Arial"/>
          <w:sz w:val="29"/>
          <w:szCs w:val="29"/>
          <w:color w:val="auto"/>
          <w:vertAlign w:val="superscript"/>
        </w:rPr>
      </w:pPr>
      <w:r>
        <w:rPr>
          <w:rFonts w:ascii="Arial" w:cs="Arial" w:eastAsia="Arial" w:hAnsi="Arial"/>
          <w:sz w:val="18"/>
          <w:szCs w:val="18"/>
          <w:color w:val="auto"/>
        </w:rPr>
        <w:t>reliance on the third party for regulatory compliance and quality assurance;</w:t>
      </w:r>
    </w:p>
    <w:p>
      <w:pPr>
        <w:spacing w:after="0" w:line="110" w:lineRule="exact"/>
        <w:rPr>
          <w:rFonts w:ascii="Arial" w:cs="Arial" w:eastAsia="Arial" w:hAnsi="Arial"/>
          <w:sz w:val="29"/>
          <w:szCs w:val="29"/>
          <w:color w:val="auto"/>
          <w:vertAlign w:val="superscript"/>
        </w:rPr>
      </w:pPr>
    </w:p>
    <w:p>
      <w:pPr>
        <w:ind w:left="1040" w:hanging="519"/>
        <w:spacing w:after="0" w:line="186" w:lineRule="auto"/>
        <w:tabs>
          <w:tab w:leader="none" w:pos="1040" w:val="left"/>
        </w:tabs>
        <w:numPr>
          <w:ilvl w:val="0"/>
          <w:numId w:val="34"/>
        </w:numPr>
        <w:rPr>
          <w:rFonts w:ascii="Arial" w:cs="Arial" w:eastAsia="Arial" w:hAnsi="Arial"/>
          <w:sz w:val="24"/>
          <w:szCs w:val="24"/>
          <w:color w:val="auto"/>
          <w:vertAlign w:val="superscript"/>
        </w:rPr>
      </w:pPr>
      <w:r>
        <w:rPr>
          <w:rFonts w:ascii="Arial" w:cs="Arial" w:eastAsia="Arial" w:hAnsi="Arial"/>
          <w:sz w:val="15"/>
          <w:szCs w:val="15"/>
          <w:color w:val="auto"/>
        </w:rPr>
        <w:t>the ability of manufacturers to consistently produce intermediates, drug substance or drug product that meet required quality specifications;</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34"/>
        </w:numPr>
        <w:rPr>
          <w:rFonts w:ascii="Arial" w:cs="Arial" w:eastAsia="Arial" w:hAnsi="Arial"/>
          <w:sz w:val="24"/>
          <w:szCs w:val="24"/>
          <w:color w:val="auto"/>
          <w:vertAlign w:val="superscript"/>
        </w:rPr>
      </w:pPr>
      <w:r>
        <w:rPr>
          <w:rFonts w:ascii="Arial" w:cs="Arial" w:eastAsia="Arial" w:hAnsi="Arial"/>
          <w:sz w:val="15"/>
          <w:szCs w:val="15"/>
          <w:color w:val="auto"/>
        </w:rPr>
        <w:t>the possible breach of the manufacturing agreement by the third party;</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34"/>
        </w:numPr>
        <w:rPr>
          <w:rFonts w:ascii="Arial" w:cs="Arial" w:eastAsia="Arial" w:hAnsi="Arial"/>
          <w:sz w:val="24"/>
          <w:szCs w:val="24"/>
          <w:color w:val="auto"/>
          <w:vertAlign w:val="superscript"/>
        </w:rPr>
      </w:pPr>
      <w:r>
        <w:rPr>
          <w:rFonts w:ascii="Arial" w:cs="Arial" w:eastAsia="Arial" w:hAnsi="Arial"/>
          <w:sz w:val="15"/>
          <w:szCs w:val="15"/>
          <w:color w:val="auto"/>
        </w:rPr>
        <w:t>the possible misappropriation of our proprietary information, including our trade secrets and know-how; and</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34"/>
        </w:numPr>
        <w:rPr>
          <w:rFonts w:ascii="Arial" w:cs="Arial" w:eastAsia="Arial" w:hAnsi="Arial"/>
          <w:sz w:val="24"/>
          <w:szCs w:val="24"/>
          <w:color w:val="auto"/>
          <w:vertAlign w:val="superscript"/>
        </w:rPr>
      </w:pPr>
      <w:r>
        <w:rPr>
          <w:rFonts w:ascii="Arial" w:cs="Arial" w:eastAsia="Arial" w:hAnsi="Arial"/>
          <w:sz w:val="15"/>
          <w:szCs w:val="15"/>
          <w:color w:val="auto"/>
        </w:rPr>
        <w:t>the possible termination or nonrenewal of the agreement by the third party at a time that is costly or inconvenient for us.</w:t>
      </w:r>
    </w:p>
    <w:p>
      <w:pPr>
        <w:spacing w:after="0" w:line="202"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Third party manufacturers may not be able to comply with current good manufacturing practices, or cGMP, regulations or similar regulatory requirements outside the United States. If our contract manufacturers cannot successfully manufacture material that conforms to our specifications and the strict regulatory requirements of the FDA or applicable foreign regulatory agencies, our ability to secure and/or maintain regulatory approval for our product candidates could be adversely affected. Our failure, or the failure of our third 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w:t>
      </w:r>
    </w:p>
    <w:p>
      <w:pPr>
        <w:spacing w:after="0" w:line="189" w:lineRule="exact"/>
        <w:rPr>
          <w:sz w:val="20"/>
          <w:szCs w:val="20"/>
          <w:color w:val="auto"/>
        </w:rPr>
      </w:pPr>
    </w:p>
    <w:p>
      <w:pPr>
        <w:jc w:val="both"/>
        <w:ind w:right="180" w:firstLine="518"/>
        <w:spacing w:after="0" w:line="264" w:lineRule="auto"/>
        <w:rPr>
          <w:sz w:val="20"/>
          <w:szCs w:val="20"/>
          <w:color w:val="auto"/>
        </w:rPr>
      </w:pPr>
      <w:r>
        <w:rPr>
          <w:rFonts w:ascii="Arial" w:cs="Arial" w:eastAsia="Arial" w:hAnsi="Arial"/>
          <w:sz w:val="18"/>
          <w:szCs w:val="18"/>
          <w:color w:val="auto"/>
        </w:rPr>
        <w:t>CRLX101, CRLX301 and any future product candidates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4" w:name="page45"/>
    <w:bookmarkEnd w:id="44"/>
    <w:p>
      <w:pPr>
        <w:ind w:right="100" w:firstLine="518"/>
        <w:spacing w:after="0" w:line="289" w:lineRule="auto"/>
        <w:rPr>
          <w:sz w:val="20"/>
          <w:szCs w:val="20"/>
          <w:color w:val="auto"/>
        </w:rPr>
      </w:pPr>
      <w:r>
        <w:rPr>
          <w:rFonts w:ascii="Arial" w:cs="Arial" w:eastAsia="Arial" w:hAnsi="Arial"/>
          <w:sz w:val="16"/>
          <w:szCs w:val="16"/>
          <w:color w:val="auto"/>
        </w:rPr>
        <w:t>In addition, we typically rely on our manufacturers to purchase from third-party suppliers the materials necessary to produce our product candidates for our clinical studies. There are a small number of suppliers for certain capital equipment and raw materials that are used in the manufacture of our drugs. Such suppliers may not sell these raw materials to our manufacturers at the times we need them or on commercially reasonable terms. We do not have any control over the process or timing of the acquisition of these raw materials by our manufacturers. Moreover, we currently do not have any agreements for the commercial production of these raw materials. Any significant delay in the supply of a product candidate or the raw material components thereof for an ongoing clinical trial due to the need to replace a third-party manufacturer could considerably delay completion of our clinical studies, product testing and potential regulatory approval of our product candidates. If our manufacturers or we are unable to purchase these raw materials after regulatory approval has been obtained for our product candidates, the commercial launch of our product candidates would be delayed or there would be a shortage in supply, which would impair our ability to generate revenues from the sale of our product candidates.</w:t>
      </w:r>
    </w:p>
    <w:p>
      <w:pPr>
        <w:spacing w:after="0" w:line="167" w:lineRule="exact"/>
        <w:rPr>
          <w:sz w:val="20"/>
          <w:szCs w:val="20"/>
          <w:color w:val="auto"/>
        </w:rPr>
      </w:pPr>
    </w:p>
    <w:p>
      <w:pPr>
        <w:ind w:right="580" w:firstLine="518"/>
        <w:spacing w:after="0" w:line="308" w:lineRule="auto"/>
        <w:rPr>
          <w:sz w:val="20"/>
          <w:szCs w:val="20"/>
          <w:color w:val="auto"/>
        </w:rPr>
      </w:pPr>
      <w:r>
        <w:rPr>
          <w:rFonts w:ascii="Arial" w:cs="Arial" w:eastAsia="Arial" w:hAnsi="Arial"/>
          <w:sz w:val="17"/>
          <w:szCs w:val="17"/>
          <w:color w:val="auto"/>
        </w:rPr>
        <w:t>Our current and anticipated future dependence upon others for the manufacture of our product candidates may adversely affect our future profit margins and our ability to commercialize any products that receive marketing approval on a timely and competitive basis.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jc w:val="both"/>
        <w:ind w:right="180" w:firstLine="518"/>
        <w:spacing w:after="0" w:line="264" w:lineRule="auto"/>
        <w:rPr>
          <w:sz w:val="20"/>
          <w:szCs w:val="20"/>
          <w:color w:val="auto"/>
        </w:rPr>
      </w:pPr>
      <w:r>
        <w:rPr>
          <w:rFonts w:ascii="Arial" w:cs="Arial" w:eastAsia="Arial" w:hAnsi="Arial"/>
          <w:sz w:val="18"/>
          <w:szCs w:val="18"/>
          <w:b w:val="1"/>
          <w:bCs w:val="1"/>
          <w:i w:val="1"/>
          <w:iCs w:val="1"/>
          <w:color w:val="auto"/>
        </w:rPr>
        <w:t>If we are unable to obtain and maintain patent protection for our technology and products or if the scope of the patent protection obtained is not sufficiently broad, our competitors could develop and commercialize technology and products similar or identical to ours, and our ability to successfully commercialize our technology and products may be impaired.</w:t>
      </w:r>
    </w:p>
    <w:p>
      <w:pPr>
        <w:spacing w:after="0" w:line="181" w:lineRule="exact"/>
        <w:rPr>
          <w:sz w:val="20"/>
          <w:szCs w:val="20"/>
          <w:color w:val="auto"/>
        </w:rPr>
      </w:pPr>
    </w:p>
    <w:p>
      <w:pPr>
        <w:jc w:val="both"/>
        <w:ind w:right="260" w:firstLine="518"/>
        <w:spacing w:after="0" w:line="264" w:lineRule="auto"/>
        <w:rPr>
          <w:sz w:val="20"/>
          <w:szCs w:val="20"/>
          <w:color w:val="auto"/>
        </w:rPr>
      </w:pPr>
      <w:r>
        <w:rPr>
          <w:rFonts w:ascii="Arial" w:cs="Arial" w:eastAsia="Arial" w:hAnsi="Arial"/>
          <w:sz w:val="18"/>
          <w:szCs w:val="18"/>
          <w:color w:val="auto"/>
        </w:rPr>
        <w:t>Our success depends in large part on our ability to obtain and maintain patent protection in the United States and other countries with respect to our proprietary technology and products. We seek to protect our proprietary position by filing patent applications in the United States and abroad related to our novel technologies and product candidates.</w:t>
      </w:r>
    </w:p>
    <w:p>
      <w:pPr>
        <w:spacing w:after="0" w:line="181" w:lineRule="exact"/>
        <w:rPr>
          <w:sz w:val="20"/>
          <w:szCs w:val="20"/>
          <w:color w:val="auto"/>
        </w:rPr>
      </w:pPr>
    </w:p>
    <w:p>
      <w:pPr>
        <w:ind w:right="460" w:firstLine="518"/>
        <w:spacing w:after="0" w:line="297" w:lineRule="auto"/>
        <w:rPr>
          <w:sz w:val="20"/>
          <w:szCs w:val="20"/>
          <w:color w:val="auto"/>
        </w:rPr>
      </w:pPr>
      <w:r>
        <w:rPr>
          <w:rFonts w:ascii="Arial" w:cs="Arial" w:eastAsia="Arial" w:hAnsi="Arial"/>
          <w:sz w:val="16"/>
          <w:szCs w:val="16"/>
          <w:color w:val="auto"/>
        </w:rPr>
        <w:t>The patent prosecution process is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the patents, covering technology that we license from third parties or that we develop on third parties’ behalf. Therefore, these patents and applications may not be prosecuted and enforced in a manner consistent with the best interests of our business.</w:t>
      </w:r>
    </w:p>
    <w:p>
      <w:pPr>
        <w:spacing w:after="0" w:line="158" w:lineRule="exact"/>
        <w:rPr>
          <w:sz w:val="20"/>
          <w:szCs w:val="20"/>
          <w:color w:val="auto"/>
        </w:rPr>
      </w:pPr>
    </w:p>
    <w:p>
      <w:pPr>
        <w:ind w:right="80" w:firstLine="518"/>
        <w:spacing w:after="0" w:line="288"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In addition, the laws of non-U.S. countries may not protect our rights to the same extent as the laws of the United States. For example, European patent law restricts the patentability of methods of treatment of the human body more than United States law does. Publications of discoveries in the scientific literature often lag behind the actual discoveries, and patent applications in the United States and other jurisdictions are typically not published until 18 months after filing, and in some cases not at all. Therefore, we cannot know with certainty whether we were the first to make the inventions claimed in our owned or licensed patents or pending patent applications, or that we or our licensors or licensees were the first to file for patent protection of such inventions. As a result, the issuance, scope, validity, enforceability and commercial value of our patent rights are highly uncertain. Our pending and future patent applications may not issue as patents that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spacing w:after="0" w:line="169"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Patent reform legislation could increase the uncertainties and costs surrounding the prosecution of our patent applications and the enforcement or defense of our owned or licensed issued patents. On September 16, 2011, the Leahy-Smith America Invents Act, or the Leahy-Smith Act, was signed into law. The Leahy-Smith Act includes a number of significant changes to United States patent law. The Leahy-Smith Act includes provisions that affect the way patent applications are prosecuted and affect patent litigation. The United States Patent and Trademark Office, or USPTO, recently developed new regulations and procedures to govern administration of the Leahy-Smith Act. However, many of the substantive changes to patent law associated with the Leahy-Smith Act, and in particular, the first to file provisions, only became effective on March 16, 2013. Accordingly, it is not clear what, if any, impact the Leahy-Smith Act will ultimately have on the operation of our business. However, the Leahy-Smith Act and its implementation could increase the uncertainties and costs surrounding the prosecution of our owned or licensed patent applications and the enforcement or defense of our owned or licensed issued patents, all of which could have a material adverse effect on our business and financial condition.</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5" w:name="page46"/>
    <w:bookmarkEnd w:id="45"/>
    <w:p>
      <w:pPr>
        <w:ind w:firstLine="518"/>
        <w:spacing w:after="0" w:line="293" w:lineRule="auto"/>
        <w:rPr>
          <w:sz w:val="20"/>
          <w:szCs w:val="20"/>
          <w:color w:val="auto"/>
        </w:rPr>
      </w:pPr>
      <w:r>
        <w:rPr>
          <w:rFonts w:ascii="Arial" w:cs="Arial" w:eastAsia="Arial" w:hAnsi="Arial"/>
          <w:sz w:val="16"/>
          <w:szCs w:val="16"/>
          <w:color w:val="auto"/>
        </w:rPr>
        <w:t>Moreover, we may be subject to third party preissuance submissions of prior art to the USPTO, or become involved in opposition, derivation, reexamination, inter partes review, post-grant review or interference proceedings challenging our owned or licensed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 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65" w:lineRule="exact"/>
        <w:rPr>
          <w:sz w:val="20"/>
          <w:szCs w:val="20"/>
          <w:color w:val="auto"/>
        </w:rPr>
      </w:pPr>
    </w:p>
    <w:p>
      <w:pPr>
        <w:jc w:val="both"/>
        <w:ind w:right="60" w:firstLine="518"/>
        <w:spacing w:after="0" w:line="286" w:lineRule="auto"/>
        <w:rPr>
          <w:sz w:val="20"/>
          <w:szCs w:val="20"/>
          <w:color w:val="auto"/>
        </w:rPr>
      </w:pPr>
      <w:r>
        <w:rPr>
          <w:rFonts w:ascii="Arial" w:cs="Arial" w:eastAsia="Arial" w:hAnsi="Arial"/>
          <w:sz w:val="17"/>
          <w:szCs w:val="17"/>
          <w:color w:val="auto"/>
        </w:rPr>
        <w:t>Even if our owned and licensed patent applications issue as patents, they may not issue in a form that will provide us with any meaningful protection, prevent competitors from competing with us, or otherwise provide us with any competitive advantage. Our competitors may be able to circumvent our owned or licensed patents by developing similar or alternative technologies or products in a non-infringing manner.</w:t>
      </w:r>
    </w:p>
    <w:p>
      <w:pPr>
        <w:spacing w:after="0" w:line="166"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The issuance of a patent is not conclusive as to its inventorship, scope, validity or enforceability, and our owned and licensed patents may be challenged in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189"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170"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Competitors may infringe our owned or licensed patents or other intellectual property. To counter infringement or unauthorized use, we may be required to file or participate in infringement proceedings, which can be expensive and time consuming. Any claims we or our licensors assert against perceived infringers could provoke these parties to assert counterclaims against us alleging that we infringe their patents. In addition, in a patent infringement proceeding, a court may decide that a patent of ours or our licensor is invalid or unenforceable, in whole or in part, construe the patent’s claims narrowly or refuse to stop the other party from using the technology at issue on the grounds that our patents do not cover the technology in question. An adverse result in any litigation proceeding could put one or more of our owned or licensed patents at risk of being invalidated or interpreted narrowly.</w:t>
      </w:r>
    </w:p>
    <w:p>
      <w:pPr>
        <w:spacing w:after="0" w:line="165" w:lineRule="exact"/>
        <w:rPr>
          <w:sz w:val="20"/>
          <w:szCs w:val="20"/>
          <w:color w:val="auto"/>
        </w:rPr>
      </w:pPr>
    </w:p>
    <w:p>
      <w:pPr>
        <w:ind w:right="220" w:firstLine="518"/>
        <w:spacing w:after="0" w:line="259" w:lineRule="auto"/>
        <w:rPr>
          <w:sz w:val="20"/>
          <w:szCs w:val="20"/>
          <w:color w:val="auto"/>
        </w:rPr>
      </w:pPr>
      <w:r>
        <w:rPr>
          <w:rFonts w:ascii="Arial" w:cs="Arial" w:eastAsia="Arial" w:hAnsi="Arial"/>
          <w:sz w:val="18"/>
          <w:szCs w:val="18"/>
          <w:b w:val="1"/>
          <w:bCs w:val="1"/>
          <w:i w:val="1"/>
          <w:iCs w:val="1"/>
          <w:color w:val="auto"/>
        </w:rPr>
        <w:t>CRLX101, CRLX301 and certain aspects of our platform technology are protected in whole or in part by patents assigned by or exclusively licensed from other companies or institutions. If these third parties terminate their agreements with us or fail to maintain or enforce the underlying patents, or we otherwise lose our rights to these patents, our competitive position and our market share in the markets for any of our approved products will be harmed.</w:t>
      </w:r>
    </w:p>
    <w:p>
      <w:pPr>
        <w:spacing w:after="0" w:line="187"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We are a party to several license agreements and certain aspects of our business depend on patents and/or patent applications owned by others. In particular, we hold exclusive licenses from Calando Pharmaceuticals, Inc., or Calando, and California Institute of Technology, or Caltech, and have been assigned certain patents from Calando for CRLX101, CRLX301 and CDP-based product candidates. We also hold an exclusive license from the State University of New York, or SUNY, related to taxane-containing NDCs, such as CRLX301. We are likely to enter into additional license agreements as part of the development of our business in the future. If we are unable to maintain these patent rights for any reason, our ability to develop and commercialize our product candidates could be materially harmed.</w:t>
      </w:r>
    </w:p>
    <w:p>
      <w:pPr>
        <w:spacing w:after="0" w:line="193" w:lineRule="exact"/>
        <w:rPr>
          <w:sz w:val="20"/>
          <w:szCs w:val="20"/>
          <w:color w:val="auto"/>
        </w:rPr>
      </w:pPr>
    </w:p>
    <w:p>
      <w:pPr>
        <w:ind w:right="80" w:firstLine="518"/>
        <w:spacing w:after="0" w:line="286" w:lineRule="auto"/>
        <w:rPr>
          <w:sz w:val="20"/>
          <w:szCs w:val="20"/>
          <w:color w:val="auto"/>
        </w:rPr>
      </w:pPr>
      <w:r>
        <w:rPr>
          <w:rFonts w:ascii="Arial" w:cs="Arial" w:eastAsia="Arial" w:hAnsi="Arial"/>
          <w:sz w:val="17"/>
          <w:szCs w:val="17"/>
          <w:color w:val="auto"/>
        </w:rPr>
        <w:t>Our licensors or licensees may not successfully prosecute certain patent applications under which we are licensed and on which our business depends. Even if patents issue from these applications, our licensors or licensees may fail to maintain these patents, may decide not to pursue litigation against third party infringers, may fail to prove infringement, or may fail to defend against counterclaims of patent invalidity or unenforceability.</w:t>
      </w:r>
    </w:p>
    <w:p>
      <w:pPr>
        <w:spacing w:after="0" w:line="166"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Risks with respect to parties from whom we have obtained intellectual property rights may also arise out of circumstances beyond our control. For example, in March 2014, Calando entered Chapter 7 bankruptcy and, as a result, the intellectual property rights we have obtained from Calando are subject to potential risks that may arise in connection with bankruptcy. For instance, while our ability to develop and/or commercialize our current product candidates and our ability to utilize our platform are not dependent on the rights that we license from Calando, our license agreements with Calando could be rejected in connection with Calando’s bankruptcy, in which case, we could, subject to elections and other rights and defenses that may be available to us, lose certain rights granted to us under such licenses. In March 2015, the bankruptcy court granted Calando’s bankruptcy trustee’s application to retain a broker to help sell Calando’s rights in certain assets including its rights in the license agreements with Cerulean. We reserved our rights with respect to any such sale. The bankruptcy trustee has obtained numerous extensions to the deadline to reject, assume or assume and assign executory contracts including our license agreements. The trustee’s next deadline is February 7, 2017.</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6" w:name="page47"/>
    <w:bookmarkEnd w:id="46"/>
    <w:p>
      <w:pPr>
        <w:ind w:right="100" w:firstLine="518"/>
        <w:spacing w:after="0" w:line="269" w:lineRule="auto"/>
        <w:rPr>
          <w:sz w:val="20"/>
          <w:szCs w:val="20"/>
          <w:color w:val="auto"/>
        </w:rPr>
      </w:pPr>
      <w:r>
        <w:rPr>
          <w:rFonts w:ascii="Arial" w:cs="Arial" w:eastAsia="Arial" w:hAnsi="Arial"/>
          <w:sz w:val="17"/>
          <w:szCs w:val="17"/>
          <w:color w:val="auto"/>
        </w:rPr>
        <w:t>In addition, in spite of our best efforts, our licensors might conclude that we have materially breached our intellectual property agreements and might therefore terminate the intellectual property agreements, thereby removing our ability to obtain regulatory approval and to market products covered by these intellectual property agreements. If our intellectual property agreements are terminated, or if the underlying patents fail to provide the intended market exclusivity, competitors may have the freedom to seek regulatory approval of, and to market, products similar or identical to ours. Moreover, if our intellectual property agreements are terminated, our former licensors and/or assignors may be able to prevent us from utilizing the technology covered by the licensed or assigned patents and patent applications. For example, under our agreements with Calando, which relate to CRLX101 and our platform, if we fail to meet our payment obligations and do not adequately cure such failure, or if we terminate one or both of these agreements, other than for specified safety concerns, we are required to grant Calando an exclusive (even as to Cerulean), royalty-free license under the patent rights assigned pursuant to such terminated agreement and to assign the related IND to Calando. Moreover, if we fail to meet our diligence obligations under one or both of our agreements with Calando, Calando may convert the license to a non-exclusive license, and we will be required to grant Calando a non-exclusive license under the patent rights assigned to us pursuant to such terminated agreement. This could have a material adverse effect on our competitive business position and our business prospects.</w:t>
      </w:r>
    </w:p>
    <w:p>
      <w:pPr>
        <w:spacing w:after="0" w:line="180"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b w:val="1"/>
          <w:bCs w:val="1"/>
          <w:i w:val="1"/>
          <w:iCs w:val="1"/>
          <w:color w:val="auto"/>
        </w:rPr>
        <w:t>If we fail to comply with our obligations in our intellectual property agreements with third parties, we could lose rights that are important to our business.</w:t>
      </w:r>
    </w:p>
    <w:p>
      <w:pPr>
        <w:spacing w:after="0" w:line="170"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We are party to multiple intellectual property agreements that impose, and we may enter into additional intellectual property agreements that may impose, various diligence, milestone payment, royalty and other obligations on us. Under our existing intellectual property agreements, we are obligated to pay royalties on the net sales of product candidates or related technologies to the extent they are covered by the agreement. We also have diligence and development obligations under those agreements. If we fail to comply with our obligations under current or future intellectual property agreements, our counterparties may have the right to terminate these agreements, in which event we might not be able to develop, manufacture or market any product that is covered by the agreement or face other penalties under the agreement. Such an occurrence could materially adversely affect the value of the product candidate being developed under any such agreement.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w:t>
      </w:r>
    </w:p>
    <w:p>
      <w:pPr>
        <w:spacing w:after="0" w:line="182"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b w:val="1"/>
          <w:bCs w:val="1"/>
          <w:i w:val="1"/>
          <w:iCs w:val="1"/>
          <w:color w:val="auto"/>
        </w:rPr>
        <w:t>Some intellectual property which we have licensed may have been discovered through government funded programs and thus may be subject to federal regulations such as “march-in” rights, certain reporting requirements, and a preference for United States industry. Compliance with such regulations may limit our exclusive rights, subject us to expenditure of resources with respect to reporting requirements, and limit our ability to contract with non-U.S. manufacturers.</w:t>
      </w:r>
    </w:p>
    <w:p>
      <w:pPr>
        <w:spacing w:after="0" w:line="187" w:lineRule="exact"/>
        <w:rPr>
          <w:sz w:val="20"/>
          <w:szCs w:val="20"/>
          <w:color w:val="auto"/>
        </w:rPr>
      </w:pPr>
    </w:p>
    <w:p>
      <w:pPr>
        <w:ind w:firstLine="518"/>
        <w:spacing w:after="0" w:line="285" w:lineRule="auto"/>
        <w:rPr>
          <w:sz w:val="20"/>
          <w:szCs w:val="20"/>
          <w:color w:val="auto"/>
        </w:rPr>
      </w:pPr>
      <w:r>
        <w:rPr>
          <w:rFonts w:ascii="Arial" w:cs="Arial" w:eastAsia="Arial" w:hAnsi="Arial"/>
          <w:sz w:val="16"/>
          <w:szCs w:val="16"/>
          <w:color w:val="auto"/>
        </w:rPr>
        <w:t>Some of the intellectual property rights we have licensed may have been generated through the use of United States government funding and may therefore be subject to certain federal regulations. For example, intellectual property rights generated under our agreement with the NCI for the conduct of a Phase 1/2 clinical trial of the combination of Lynparza and CRLX101 in patients with small cell lung cancer is subject, among other things, to United States government rights pursuant to the Bayh-Dole Act of 1980. These United States government rights in certain inventions developed under a government-funded program include a non-exclusive, non-transferable, irrevocable worldwide license to use the inventions for any governmental purpose. In addition, the United States government would have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United States government would also have the right to take title to these inventions if we fail to disclose the invention to the government and fail to file an application to register the intellectual property within specified time limits. In addition, the United States government would be permitted to acquire title to these inventions in any country in which a patent application is not filed within specified time limits. Intellectual property generated under a government funded program is also subject to certain reporting requirements, compliance with which may require us to expend substantial resources. In addition, the United States government requires that any products embodying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United States manufacturers may limit our ability to contract with non-U.S. product manufacturers for products covered by such intellectual property.</w:t>
      </w:r>
    </w:p>
    <w:p>
      <w:pPr>
        <w:spacing w:after="0" w:line="175" w:lineRule="exact"/>
        <w:rPr>
          <w:sz w:val="20"/>
          <w:szCs w:val="20"/>
          <w:color w:val="auto"/>
        </w:rPr>
      </w:pPr>
    </w:p>
    <w:p>
      <w:pPr>
        <w:ind w:right="540" w:firstLine="518"/>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70" w:lineRule="exact"/>
        <w:rPr>
          <w:sz w:val="20"/>
          <w:szCs w:val="20"/>
          <w:color w:val="auto"/>
        </w:rPr>
      </w:pPr>
    </w:p>
    <w:p>
      <w:pPr>
        <w:ind w:right="820" w:firstLine="518"/>
        <w:spacing w:after="0" w:line="286" w:lineRule="auto"/>
        <w:rPr>
          <w:sz w:val="20"/>
          <w:szCs w:val="20"/>
          <w:color w:val="auto"/>
        </w:rPr>
      </w:pPr>
      <w:r>
        <w:rPr>
          <w:rFonts w:ascii="Arial" w:cs="Arial" w:eastAsia="Arial" w:hAnsi="Arial"/>
          <w:sz w:val="17"/>
          <w:szCs w:val="17"/>
          <w:color w:val="auto"/>
        </w:rPr>
        <w:t>Our commercial success depends upon our ability to develop, manufacture, market and sell our product candidates and use our proprietary technologies without infringing the proprietary rights of third parties. There is considerable intellectual property litigation in the biotechnology and pharmaceutical industries. We may become party to, or be threatened with, future adversarial proceedings or</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7" w:name="page48"/>
    <w:bookmarkEnd w:id="47"/>
    <w:p>
      <w:pPr>
        <w:ind w:right="520"/>
        <w:spacing w:after="0" w:line="342" w:lineRule="auto"/>
        <w:rPr>
          <w:sz w:val="20"/>
          <w:szCs w:val="20"/>
          <w:color w:val="auto"/>
        </w:rPr>
      </w:pPr>
      <w:r>
        <w:rPr>
          <w:rFonts w:ascii="Arial" w:cs="Arial" w:eastAsia="Arial" w:hAnsi="Arial"/>
          <w:sz w:val="16"/>
          <w:szCs w:val="16"/>
          <w:color w:val="auto"/>
        </w:rPr>
        <w:t>litigation regarding intellectual property rights with respect to our products and technology, including interference or derivation proceedings before the USPTO. Third parties may assert infringement claims against us based on existing patents or patents that may be granted in the future.</w:t>
      </w:r>
    </w:p>
    <w:p>
      <w:pPr>
        <w:spacing w:after="0" w:line="124"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If we are found to infringe a third party’s intellectual property rights, we could be required to obtain a license from such third party to continue developing and marketing our products and technology.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167"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have misappropriated their intellectual property, or claiming ownership of what we regard as our own intellectual property.</w:t>
      </w:r>
    </w:p>
    <w:p>
      <w:pPr>
        <w:spacing w:after="0" w:line="170" w:lineRule="exact"/>
        <w:rPr>
          <w:sz w:val="20"/>
          <w:szCs w:val="20"/>
          <w:color w:val="auto"/>
        </w:rPr>
      </w:pPr>
    </w:p>
    <w:p>
      <w:pPr>
        <w:ind w:right="140" w:firstLine="518"/>
        <w:spacing w:after="0" w:line="279" w:lineRule="auto"/>
        <w:rPr>
          <w:sz w:val="20"/>
          <w:szCs w:val="20"/>
          <w:color w:val="auto"/>
        </w:rPr>
      </w:pPr>
      <w:r>
        <w:rPr>
          <w:rFonts w:ascii="Arial" w:cs="Arial" w:eastAsia="Arial" w:hAnsi="Arial"/>
          <w:sz w:val="17"/>
          <w:szCs w:val="17"/>
          <w:color w:val="auto"/>
        </w:rPr>
        <w:t>Many of our employees were previously employed at universities or other biotechnology or pharmaceutical companies, including our competitors or potential competitors.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employee’s former employer. Litigation may be necessary to defend against these claims.</w:t>
      </w:r>
    </w:p>
    <w:p>
      <w:pPr>
        <w:spacing w:after="0" w:line="171"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In addition, while it is our policy to require our employees and contractors who may be involved in the development of intellectual property to execute agreements assigning such intellectual property to us, we may be unsuccessful in timely obtaining such an agreement with each party who in fact develops intellectual property that we regard as our own. Even if timely obtained, such agreements may be breached, and we may be forced to bring claims against third parties, or defend claims they may bring against us, to determine the ownership of what we regard as our intellectual property.</w:t>
      </w:r>
    </w:p>
    <w:p>
      <w:pPr>
        <w:spacing w:after="0" w:line="154"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If we fail in prosecuting or defending any such claims, we may lose valuable intellectual property rights or personnel, in addition to paying monetary damages. Even if we are successful in prosecuting or defending against such claims, litigation could result in substantial costs and be a distraction to management.</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Intellectual property litigation could cause us to spend substantial resources and distract our personnel from their normal responsibilities.</w:t>
      </w:r>
    </w:p>
    <w:p>
      <w:pPr>
        <w:spacing w:after="0" w:line="248"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225"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In addition to seeking patents for some of our technology and product candidates,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In addition, we face the risk of cybercrime. For instance, someone could hack our information networks and gain illicit access to our proprietary information including our trade secrets. Enforcing a claim that a party illegally disclosed or misappropriated a trade secret is difficult, expensive and time-consuming, and the outcome is unpredictable. Even if we are successful in prosecuting such claims, any remedy awarded may be insufficient to fully compensate us for the improper disclosure or misappropriation. In addition, some courts inside and outside the United States are less willing or unwilling to protect trade secrets. If any of our trade secrets were to be lawfully obtained or independently developed by a competitor,</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8" w:name="page49"/>
    <w:bookmarkEnd w:id="48"/>
    <w:p>
      <w:pPr>
        <w:ind w:right="120"/>
        <w:spacing w:after="0" w:line="277" w:lineRule="auto"/>
        <w:rPr>
          <w:sz w:val="20"/>
          <w:szCs w:val="20"/>
          <w:color w:val="auto"/>
        </w:rPr>
      </w:pPr>
      <w:r>
        <w:rPr>
          <w:rFonts w:ascii="Arial" w:cs="Arial" w:eastAsia="Arial" w:hAnsi="Arial"/>
          <w:sz w:val="18"/>
          <w:szCs w:val="18"/>
          <w:color w:val="auto"/>
        </w:rPr>
        <w:t>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and Marketing of Our Product Candidates and Other Legal Compliance Matters</w:t>
      </w:r>
    </w:p>
    <w:p>
      <w:pPr>
        <w:spacing w:after="0" w:line="229"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b w:val="1"/>
          <w:bCs w:val="1"/>
          <w:i w:val="1"/>
          <w:iCs w:val="1"/>
          <w:color w:val="auto"/>
        </w:rPr>
        <w:t>Even if we complete the necessary clinical trials, the marketing approval process is expensive, time consuming and uncertain and may prevent us from obtaining approvals for the commercialization of some or all of our product candidates. If we are not able to obtain, or if there are delays in obtaining, required regulatory approvals, we will not be able to commercialize our product candidates, and our ability to generate revenue will be materially impaired.</w:t>
      </w:r>
    </w:p>
    <w:p>
      <w:pPr>
        <w:spacing w:after="0" w:line="187"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Our product candidates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agencies in the United States and by the EMA and other similar regulatory authorities outside the United States. Failure to obtain marketing approval for a product candidate will prevent us from commercializing the product candidate. Our product candidates are in the early stages of development and are subject to the risks of failure inherent in drug development. We have not received approval to market any of our product candidates from regulatory authorities in any jurisdiction. We have only limited experience in conducting and managing the clinical trials, and in filing and supporting the applications necessary to gain marketing approvals and expect to rely on third party CROs to assist us in this process.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our obtaining marketing approval or prevent or limit commercial use. New cancer drugs frequently are indicated only for patient populations that have not responded to an existing therapy or have relapsed. If any of our product candidates receives marketing approval, the accompanying label may limit the approved use of our drug in this way, which could limit sales of the product.</w:t>
      </w:r>
    </w:p>
    <w:p>
      <w:pPr>
        <w:spacing w:after="0" w:line="185"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179"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If we experience delays in obtaining approval or if we fail to obtain approval of our product candidates, the commercial prospects for our product candidates may be harmed and our ability to generate revenues will be materially impaired. For example, if the regulatory landscape in the United States, Europe or Asia shifts unexpectedly, it may adversely affect the feasibility of study arms, standards of care or statistical assumptions currently reflected in our clinical development plans for CRLX101, potentially delaying the development of CRLX101 in a particular indication and increasing the time required to obtain marketing approval for CRLX101.</w:t>
      </w:r>
    </w:p>
    <w:p>
      <w:pPr>
        <w:spacing w:after="0" w:line="188"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b w:val="1"/>
          <w:bCs w:val="1"/>
          <w:i w:val="1"/>
          <w:iCs w:val="1"/>
          <w:color w:val="auto"/>
        </w:rPr>
        <w:t>Even if we successfully complete the necessary clinical trials for a marketing registration in the U.S., the FDA may convene an advisory committee meeting that could influence their approval decision.</w:t>
      </w:r>
    </w:p>
    <w:p>
      <w:pPr>
        <w:spacing w:after="0" w:line="170" w:lineRule="exact"/>
        <w:rPr>
          <w:sz w:val="20"/>
          <w:szCs w:val="20"/>
          <w:color w:val="auto"/>
        </w:rPr>
      </w:pPr>
    </w:p>
    <w:p>
      <w:pPr>
        <w:ind w:right="60" w:firstLine="518"/>
        <w:spacing w:after="0" w:line="269" w:lineRule="auto"/>
        <w:rPr>
          <w:sz w:val="20"/>
          <w:szCs w:val="20"/>
          <w:color w:val="auto"/>
        </w:rPr>
      </w:pPr>
      <w:r>
        <w:rPr>
          <w:rFonts w:ascii="Arial" w:cs="Arial" w:eastAsia="Arial" w:hAnsi="Arial"/>
          <w:sz w:val="17"/>
          <w:szCs w:val="17"/>
          <w:color w:val="auto"/>
        </w:rPr>
        <w:t>Upon submission of an application for marketing approval in the United States, the FDA may convene an advisory committee (public or closed) to provide the FDA with independent advice from outside experts with specific questions regarding a pending review matter. The opinions or advice expressed by the advisory committee, or any voting decision, are not binding and the FDA retains the ultimate approval power over an application. Regardless of the committee meeting outcome or the FDA’s final approval decision, public presentation of our data may shed positive or negative light on our application. A negative advisory committee meeting could signal a lower likelihood of approval, although the FDA may still end up approving our application. Conversely, an oncologic drugs advisory committee, or ODAC, could vote in favor of approval and the FDA may still not approve our application. For an expedited review such as priority review, where the FDA’s oncology office has moved focus to how quickly a drug might be approved and has commonly completed their review and approved products well before the PDUFA goal date, preparations for an ODAC could slow down approval. For us as the applicant, preparation time for an ODAC could take six months or more of dedicated effort by the program team, management, and consultants, in addition to supporting the FDA’s review queries or any other activities in the same timeframe, reducing resource efficiency. It should not be assumed that an application brought in front of the ODAC means that a negative decision is pending. The FDA determines whether or not to have an ODAC meeting depending on the quality of the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9" w:name="page50"/>
    <w:bookmarkEnd w:id="49"/>
    <w:p>
      <w:pPr>
        <w:spacing w:after="0" w:line="255" w:lineRule="auto"/>
        <w:rPr>
          <w:sz w:val="20"/>
          <w:szCs w:val="20"/>
          <w:color w:val="auto"/>
        </w:rPr>
      </w:pPr>
      <w:r>
        <w:rPr>
          <w:rFonts w:ascii="Arial" w:cs="Arial" w:eastAsia="Arial" w:hAnsi="Arial"/>
          <w:sz w:val="18"/>
          <w:szCs w:val="18"/>
          <w:color w:val="auto"/>
        </w:rPr>
        <w:t>application, the results of the clinical trials, and whether similar issues, such as endpoints or trial designs, have been previously discussed at these meetings. The FDA has generally taken more problematic or complicated applications to an ODAC, which allows for presentation of their findings and a public discussion of issues at hand. On occasion, the FDA will convene an ODAC to have the public clearly understand their viewpoint on the particular application and its supporting evidence, or if there is a first in class or first in indication compound under review. Development of an NDC such as CRLX101 or CRLX301 may qualify for such a review, although if intended to address an unmet medical need and the data are supportive, the chances of an ODAC are lower.</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Failure to obtain marketing approval in foreign jurisdictions would prevent our product candidates from being marketed abroad.</w:t>
      </w:r>
    </w:p>
    <w:p>
      <w:pPr>
        <w:spacing w:after="0" w:line="237"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In order to market and sell our products in the European Union and many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file for marketing approvals and may not receive necessary approvals to commercialize our products in any market.</w:t>
      </w:r>
    </w:p>
    <w:p>
      <w:pPr>
        <w:spacing w:after="0" w:line="166"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On June 23, 2016, a referendum held in the United Kingdom resulted in a majority of U.K. voters electing to leave the European Union. While the impact of this non-binding referendum is still not clear, at this point the vote creates additional uncertainty with respect to obtaining marketing approval for the sale of any product in the U.K.</w:t>
      </w:r>
    </w:p>
    <w:p>
      <w:pPr>
        <w:spacing w:after="0" w:line="18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b w:val="1"/>
          <w:bCs w:val="1"/>
          <w:i w:val="1"/>
          <w:iCs w:val="1"/>
          <w:color w:val="auto"/>
        </w:rPr>
        <w:t>Even if we obtain marketing approval for our product candidates, the terms of approvals and ongoing regulation of our products may limit how we manufacture and market our products, which could materially impair our ability to generate revenue.</w:t>
      </w:r>
    </w:p>
    <w:p>
      <w:pPr>
        <w:spacing w:after="0" w:line="170" w:lineRule="exact"/>
        <w:rPr>
          <w:sz w:val="20"/>
          <w:szCs w:val="20"/>
          <w:color w:val="auto"/>
        </w:rPr>
      </w:pPr>
    </w:p>
    <w:p>
      <w:pPr>
        <w:jc w:val="both"/>
        <w:ind w:right="500" w:firstLine="518"/>
        <w:spacing w:after="0" w:line="264" w:lineRule="auto"/>
        <w:rPr>
          <w:sz w:val="20"/>
          <w:szCs w:val="20"/>
          <w:color w:val="auto"/>
        </w:rPr>
      </w:pPr>
      <w:r>
        <w:rPr>
          <w:rFonts w:ascii="Arial" w:cs="Arial" w:eastAsia="Arial" w:hAnsi="Arial"/>
          <w:sz w:val="18"/>
          <w:szCs w:val="18"/>
          <w:color w:val="auto"/>
        </w:rPr>
        <w:t>Once marketing approval has been granted, an approved product and its manufacturer and marketer are subject to ongoing review and extensive regulation governing the labeling, packaging, storage and promotion of the product and record keeping and submission of safety and other post-market information.</w:t>
      </w:r>
    </w:p>
    <w:p>
      <w:pPr>
        <w:spacing w:after="0" w:line="181"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We must comply with requirements concerning advertising and promotion for any of our product candidates for which we obtain marketing approval. Promotional communications with respect to prescription drugs are subject to a variety of legal and regulatory restrictions and must be consistent with the information in the product’s approved labeling. Thus, we will not be able to promote any products we develop for indications or uses for which they are not approved.</w:t>
      </w:r>
    </w:p>
    <w:p>
      <w:pPr>
        <w:spacing w:after="0" w:line="187" w:lineRule="exact"/>
        <w:rPr>
          <w:sz w:val="20"/>
          <w:szCs w:val="20"/>
          <w:color w:val="auto"/>
        </w:rPr>
      </w:pPr>
    </w:p>
    <w:p>
      <w:pPr>
        <w:ind w:right="160" w:firstLine="518"/>
        <w:spacing w:after="0" w:line="302" w:lineRule="auto"/>
        <w:rPr>
          <w:sz w:val="20"/>
          <w:szCs w:val="20"/>
          <w:color w:val="auto"/>
        </w:rPr>
      </w:pPr>
      <w:r>
        <w:rPr>
          <w:rFonts w:ascii="Arial" w:cs="Arial" w:eastAsia="Arial" w:hAnsi="Arial"/>
          <w:sz w:val="16"/>
          <w:szCs w:val="16"/>
          <w:color w:val="auto"/>
        </w:rPr>
        <w:t>In addition, manufacturers of approved products and those manufacturers’ facilities are required to comply with extensive regulatory requirements, including ensuring that quality control and manufacturing procedures conform to cGMPs, which include requirements relating to quality control and quality assurance as well as the corresponding maintenance of records and documentation and reporting requirements. We and our contract manufacturers could be subject to periodic unannounced inspections by the FDA and other regulatory authorities to monitor and ensure compliance with cGMPs.</w:t>
      </w:r>
    </w:p>
    <w:p>
      <w:pPr>
        <w:spacing w:after="0" w:line="154" w:lineRule="exact"/>
        <w:rPr>
          <w:sz w:val="20"/>
          <w:szCs w:val="20"/>
          <w:color w:val="auto"/>
        </w:rPr>
      </w:pPr>
    </w:p>
    <w:p>
      <w:pPr>
        <w:ind w:right="140" w:firstLine="518"/>
        <w:spacing w:after="0" w:line="342" w:lineRule="auto"/>
        <w:rPr>
          <w:sz w:val="20"/>
          <w:szCs w:val="20"/>
          <w:color w:val="auto"/>
        </w:rPr>
      </w:pPr>
      <w:r>
        <w:rPr>
          <w:rFonts w:ascii="Arial" w:cs="Arial" w:eastAsia="Arial" w:hAnsi="Arial"/>
          <w:sz w:val="16"/>
          <w:szCs w:val="16"/>
          <w:color w:val="auto"/>
        </w:rPr>
        <w:t>Accordingly, assuming we receive marketing approval for one or more of our product candidates, we and our contract manufacturers will continue to expend time, money and effort in all areas of regulatory compliance, including manufacturing, production, product surveillance and quality control.</w:t>
      </w:r>
    </w:p>
    <w:p>
      <w:pPr>
        <w:spacing w:after="0" w:line="124" w:lineRule="exact"/>
        <w:rPr>
          <w:sz w:val="20"/>
          <w:szCs w:val="20"/>
          <w:color w:val="auto"/>
        </w:rPr>
      </w:pPr>
    </w:p>
    <w:p>
      <w:pPr>
        <w:ind w:right="500" w:firstLine="518"/>
        <w:spacing w:after="0" w:line="312" w:lineRule="auto"/>
        <w:rPr>
          <w:sz w:val="20"/>
          <w:szCs w:val="20"/>
          <w:color w:val="auto"/>
        </w:rPr>
      </w:pPr>
      <w:r>
        <w:rPr>
          <w:rFonts w:ascii="Arial" w:cs="Arial" w:eastAsia="Arial" w:hAnsi="Arial"/>
          <w:sz w:val="16"/>
          <w:szCs w:val="16"/>
          <w:color w:val="auto"/>
        </w:rPr>
        <w:t>If we are not able to comply with post-approval regulatory requirements, we could have the marketing approvals for our products withdrawn by regulatory authorities and our ability to market any future products could be limited, which could adversely affect our ability to achieve or sustain profitability. Further, the cost of compliance with post-approval regulations may have a negative effect on our operating results and financial condition.</w:t>
      </w:r>
    </w:p>
    <w:p>
      <w:pPr>
        <w:spacing w:after="0" w:line="147"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b w:val="1"/>
          <w:bCs w:val="1"/>
          <w:i w:val="1"/>
          <w:iCs w:val="1"/>
          <w:color w:val="auto"/>
        </w:rPr>
        <w:t>Any product candidate for which we obtain marketing approval could be subject to post-marketing restrictions or withdrawal from the market and we may be subject to substantial penalties if we fail to comply with regulatory requirements or if we experience unanticipated problems with our products, when and if any of them are approved.</w:t>
      </w:r>
    </w:p>
    <w:p>
      <w:pPr>
        <w:spacing w:after="0" w:line="181"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Any product candidate for which we obtain marketing approval, along with the manufacturing processes, post-approval clinical data, labeling, advertising and promotional activities for such product, will be subject to continual requirements of and review by the FDA and other regulatory authorities. These requirements include submissions of safety and other post-marketing information and reports, registration and listing requirements, cGMP requirements relating to manufacturing, quality control, quality assurance and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0" w:name="page51"/>
    <w:bookmarkEnd w:id="50"/>
    <w:p>
      <w:pPr>
        <w:ind w:right="20"/>
        <w:spacing w:after="0" w:line="276" w:lineRule="auto"/>
        <w:rPr>
          <w:sz w:val="20"/>
          <w:szCs w:val="20"/>
          <w:color w:val="auto"/>
        </w:rPr>
      </w:pPr>
      <w:r>
        <w:rPr>
          <w:rFonts w:ascii="Arial" w:cs="Arial" w:eastAsia="Arial" w:hAnsi="Arial"/>
          <w:sz w:val="17"/>
          <w:szCs w:val="17"/>
          <w:color w:val="auto"/>
        </w:rPr>
        <w:t>corresponding maintenance of records and documents, requirements regarding the distribution of samples to physicians and recordkeeping. Even if marketing approval of a product candidate is granted, the approval may be subject to limitations on the indicated uses for which the product may be marketed or to the conditions of approval, including the requirement to implement a risk evaluation and mitigation strategy. New cancer drugs frequently are indicated only for patient populations that have not responded to an existing therapy or have relapsed. If any of our product candidates receives marketing approval, the accompanying label may limit the approved use of our drug in this way, which could limit sales of the product.</w:t>
      </w:r>
    </w:p>
    <w:p>
      <w:pPr>
        <w:spacing w:after="0" w:line="173"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Regulatory authorities may also impose requirements for costly post-marketing studies or clinical trials and surveillance to monitor the safety or efficacy of the product. The FDA and other agencies, including the Department of Justice, closely regulate the post-approval marketing and promotion of drugs to ensure drugs are marketed only for the approved indications and in accordance with the provisions of the approved labeling. The FDA imposes stringent restrictions on manufacturers’ communications regarding off-label use and if we market our products for unapproved indications, we may be subject to enforcement action for off-label marketing. Violations of the FDA and other statutes, including the False Claims Act, relating to the promotion and advertising of prescription drugs may lead to investigations alleging violations of federal and state health care fraud and abuse laws, as well as state consumer protection laws.</w:t>
      </w:r>
    </w:p>
    <w:p>
      <w:pPr>
        <w:spacing w:after="0" w:line="165"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In addition, later discovery of previously unknown adverse events or other problems with our products, manufacturers or manufacturing processes, or failure to comply with regulatory requirements, may yield various results, including:</w:t>
      </w:r>
    </w:p>
    <w:p>
      <w:pPr>
        <w:ind w:left="1040" w:hanging="519"/>
        <w:spacing w:after="0" w:line="210" w:lineRule="auto"/>
        <w:tabs>
          <w:tab w:leader="none" w:pos="1040" w:val="left"/>
        </w:tabs>
        <w:numPr>
          <w:ilvl w:val="0"/>
          <w:numId w:val="35"/>
        </w:numPr>
        <w:rPr>
          <w:rFonts w:ascii="Arial" w:cs="Arial" w:eastAsia="Arial" w:hAnsi="Arial"/>
          <w:sz w:val="29"/>
          <w:szCs w:val="29"/>
          <w:color w:val="auto"/>
          <w:vertAlign w:val="superscript"/>
        </w:rPr>
      </w:pPr>
      <w:r>
        <w:rPr>
          <w:rFonts w:ascii="Arial" w:cs="Arial" w:eastAsia="Arial" w:hAnsi="Arial"/>
          <w:sz w:val="18"/>
          <w:szCs w:val="18"/>
          <w:color w:val="auto"/>
        </w:rPr>
        <w:t>litigation involving patients taking our products;</w:t>
      </w:r>
    </w:p>
    <w:p>
      <w:pPr>
        <w:spacing w:after="0" w:line="110" w:lineRule="exact"/>
        <w:rPr>
          <w:rFonts w:ascii="Arial" w:cs="Arial" w:eastAsia="Arial" w:hAnsi="Arial"/>
          <w:sz w:val="29"/>
          <w:szCs w:val="29"/>
          <w:color w:val="auto"/>
          <w:vertAlign w:val="superscript"/>
        </w:rPr>
      </w:pPr>
    </w:p>
    <w:p>
      <w:pPr>
        <w:ind w:left="1040" w:hanging="519"/>
        <w:spacing w:after="0" w:line="186" w:lineRule="auto"/>
        <w:tabs>
          <w:tab w:leader="none" w:pos="1040" w:val="left"/>
        </w:tabs>
        <w:numPr>
          <w:ilvl w:val="0"/>
          <w:numId w:val="35"/>
        </w:numPr>
        <w:rPr>
          <w:rFonts w:ascii="Arial" w:cs="Arial" w:eastAsia="Arial" w:hAnsi="Arial"/>
          <w:sz w:val="24"/>
          <w:szCs w:val="24"/>
          <w:color w:val="auto"/>
          <w:vertAlign w:val="superscript"/>
        </w:rPr>
      </w:pPr>
      <w:r>
        <w:rPr>
          <w:rFonts w:ascii="Arial" w:cs="Arial" w:eastAsia="Arial" w:hAnsi="Arial"/>
          <w:sz w:val="15"/>
          <w:szCs w:val="15"/>
          <w:color w:val="auto"/>
        </w:rPr>
        <w:t>restrictions on such products, manufacturers or manufacturing processes;</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35"/>
        </w:numPr>
        <w:rPr>
          <w:rFonts w:ascii="Arial" w:cs="Arial" w:eastAsia="Arial" w:hAnsi="Arial"/>
          <w:sz w:val="24"/>
          <w:szCs w:val="24"/>
          <w:color w:val="auto"/>
          <w:vertAlign w:val="superscript"/>
        </w:rPr>
      </w:pPr>
      <w:r>
        <w:rPr>
          <w:rFonts w:ascii="Arial" w:cs="Arial" w:eastAsia="Arial" w:hAnsi="Arial"/>
          <w:sz w:val="15"/>
          <w:szCs w:val="15"/>
          <w:color w:val="auto"/>
        </w:rPr>
        <w:t>restrictions on the labeling or marketing of a product;</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35"/>
        </w:numPr>
        <w:rPr>
          <w:rFonts w:ascii="Arial" w:cs="Arial" w:eastAsia="Arial" w:hAnsi="Arial"/>
          <w:sz w:val="24"/>
          <w:szCs w:val="24"/>
          <w:color w:val="auto"/>
          <w:vertAlign w:val="superscript"/>
        </w:rPr>
      </w:pPr>
      <w:r>
        <w:rPr>
          <w:rFonts w:ascii="Arial" w:cs="Arial" w:eastAsia="Arial" w:hAnsi="Arial"/>
          <w:sz w:val="15"/>
          <w:szCs w:val="15"/>
          <w:color w:val="auto"/>
        </w:rPr>
        <w:t>restrictions on product distribution or use;</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35"/>
        </w:numPr>
        <w:rPr>
          <w:rFonts w:ascii="Arial" w:cs="Arial" w:eastAsia="Arial" w:hAnsi="Arial"/>
          <w:sz w:val="24"/>
          <w:szCs w:val="24"/>
          <w:color w:val="auto"/>
          <w:vertAlign w:val="superscript"/>
        </w:rPr>
      </w:pPr>
      <w:r>
        <w:rPr>
          <w:rFonts w:ascii="Arial" w:cs="Arial" w:eastAsia="Arial" w:hAnsi="Arial"/>
          <w:sz w:val="15"/>
          <w:szCs w:val="15"/>
          <w:color w:val="auto"/>
        </w:rPr>
        <w:t>requirements to conduct post-marketing studies or clinical trials;</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35"/>
        </w:numPr>
        <w:rPr>
          <w:rFonts w:ascii="Arial" w:cs="Arial" w:eastAsia="Arial" w:hAnsi="Arial"/>
          <w:sz w:val="24"/>
          <w:szCs w:val="24"/>
          <w:color w:val="auto"/>
          <w:vertAlign w:val="superscript"/>
        </w:rPr>
      </w:pPr>
      <w:r>
        <w:rPr>
          <w:rFonts w:ascii="Arial" w:cs="Arial" w:eastAsia="Arial" w:hAnsi="Arial"/>
          <w:sz w:val="15"/>
          <w:szCs w:val="15"/>
          <w:color w:val="auto"/>
        </w:rPr>
        <w:t>warning or untitled letters;</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35"/>
        </w:numPr>
        <w:rPr>
          <w:rFonts w:ascii="Arial" w:cs="Arial" w:eastAsia="Arial" w:hAnsi="Arial"/>
          <w:sz w:val="24"/>
          <w:szCs w:val="24"/>
          <w:color w:val="auto"/>
          <w:vertAlign w:val="superscript"/>
        </w:rPr>
      </w:pPr>
      <w:r>
        <w:rPr>
          <w:rFonts w:ascii="Arial" w:cs="Arial" w:eastAsia="Arial" w:hAnsi="Arial"/>
          <w:sz w:val="15"/>
          <w:szCs w:val="15"/>
          <w:color w:val="auto"/>
        </w:rPr>
        <w:t>withdrawal of the products from the market;</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35"/>
        </w:numPr>
        <w:rPr>
          <w:rFonts w:ascii="Arial" w:cs="Arial" w:eastAsia="Arial" w:hAnsi="Arial"/>
          <w:sz w:val="24"/>
          <w:szCs w:val="24"/>
          <w:color w:val="auto"/>
          <w:vertAlign w:val="superscript"/>
        </w:rPr>
      </w:pPr>
      <w:r>
        <w:rPr>
          <w:rFonts w:ascii="Arial" w:cs="Arial" w:eastAsia="Arial" w:hAnsi="Arial"/>
          <w:sz w:val="15"/>
          <w:szCs w:val="15"/>
          <w:color w:val="auto"/>
        </w:rPr>
        <w:t>suspension of any ongoing clinical trials;</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35"/>
        </w:numPr>
        <w:rPr>
          <w:rFonts w:ascii="Arial" w:cs="Arial" w:eastAsia="Arial" w:hAnsi="Arial"/>
          <w:sz w:val="24"/>
          <w:szCs w:val="24"/>
          <w:color w:val="auto"/>
          <w:vertAlign w:val="superscript"/>
        </w:rPr>
      </w:pPr>
      <w:r>
        <w:rPr>
          <w:rFonts w:ascii="Arial" w:cs="Arial" w:eastAsia="Arial" w:hAnsi="Arial"/>
          <w:sz w:val="15"/>
          <w:szCs w:val="15"/>
          <w:color w:val="auto"/>
        </w:rPr>
        <w:t>refusal to approve pending applications or supplements to approved applications that we submit;</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35"/>
        </w:numPr>
        <w:rPr>
          <w:rFonts w:ascii="Arial" w:cs="Arial" w:eastAsia="Arial" w:hAnsi="Arial"/>
          <w:sz w:val="24"/>
          <w:szCs w:val="24"/>
          <w:color w:val="auto"/>
          <w:vertAlign w:val="superscript"/>
        </w:rPr>
      </w:pPr>
      <w:r>
        <w:rPr>
          <w:rFonts w:ascii="Arial" w:cs="Arial" w:eastAsia="Arial" w:hAnsi="Arial"/>
          <w:sz w:val="15"/>
          <w:szCs w:val="15"/>
          <w:color w:val="auto"/>
        </w:rPr>
        <w:t>recall of products;</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35"/>
        </w:numPr>
        <w:rPr>
          <w:rFonts w:ascii="Arial" w:cs="Arial" w:eastAsia="Arial" w:hAnsi="Arial"/>
          <w:sz w:val="24"/>
          <w:szCs w:val="24"/>
          <w:color w:val="auto"/>
          <w:vertAlign w:val="superscript"/>
        </w:rPr>
      </w:pPr>
      <w:r>
        <w:rPr>
          <w:rFonts w:ascii="Arial" w:cs="Arial" w:eastAsia="Arial" w:hAnsi="Arial"/>
          <w:sz w:val="15"/>
          <w:szCs w:val="15"/>
          <w:color w:val="auto"/>
        </w:rPr>
        <w:t>fines, restitution or disgorgement of profits or revenues;</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35"/>
        </w:numPr>
        <w:rPr>
          <w:rFonts w:ascii="Arial" w:cs="Arial" w:eastAsia="Arial" w:hAnsi="Arial"/>
          <w:sz w:val="24"/>
          <w:szCs w:val="24"/>
          <w:color w:val="auto"/>
          <w:vertAlign w:val="superscript"/>
        </w:rPr>
      </w:pPr>
      <w:r>
        <w:rPr>
          <w:rFonts w:ascii="Arial" w:cs="Arial" w:eastAsia="Arial" w:hAnsi="Arial"/>
          <w:sz w:val="15"/>
          <w:szCs w:val="15"/>
          <w:color w:val="auto"/>
        </w:rPr>
        <w:t>suspension or withdrawal of marketing approvals;</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35"/>
        </w:numPr>
        <w:rPr>
          <w:rFonts w:ascii="Arial" w:cs="Arial" w:eastAsia="Arial" w:hAnsi="Arial"/>
          <w:sz w:val="24"/>
          <w:szCs w:val="24"/>
          <w:color w:val="auto"/>
          <w:vertAlign w:val="superscript"/>
        </w:rPr>
      </w:pPr>
      <w:r>
        <w:rPr>
          <w:rFonts w:ascii="Arial" w:cs="Arial" w:eastAsia="Arial" w:hAnsi="Arial"/>
          <w:sz w:val="15"/>
          <w:szCs w:val="15"/>
          <w:color w:val="auto"/>
        </w:rPr>
        <w:t>damage to relationships with any potential collaborators;</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35"/>
        </w:numPr>
        <w:rPr>
          <w:rFonts w:ascii="Arial" w:cs="Arial" w:eastAsia="Arial" w:hAnsi="Arial"/>
          <w:sz w:val="24"/>
          <w:szCs w:val="24"/>
          <w:color w:val="auto"/>
          <w:vertAlign w:val="superscript"/>
        </w:rPr>
      </w:pPr>
      <w:r>
        <w:rPr>
          <w:rFonts w:ascii="Arial" w:cs="Arial" w:eastAsia="Arial" w:hAnsi="Arial"/>
          <w:sz w:val="15"/>
          <w:szCs w:val="15"/>
          <w:color w:val="auto"/>
        </w:rPr>
        <w:t>unfavorable press coverage and damage to our reputation;</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35"/>
        </w:numPr>
        <w:rPr>
          <w:rFonts w:ascii="Arial" w:cs="Arial" w:eastAsia="Arial" w:hAnsi="Arial"/>
          <w:sz w:val="24"/>
          <w:szCs w:val="24"/>
          <w:color w:val="auto"/>
          <w:vertAlign w:val="superscript"/>
        </w:rPr>
      </w:pPr>
      <w:r>
        <w:rPr>
          <w:rFonts w:ascii="Arial" w:cs="Arial" w:eastAsia="Arial" w:hAnsi="Arial"/>
          <w:sz w:val="15"/>
          <w:szCs w:val="15"/>
          <w:color w:val="auto"/>
        </w:rPr>
        <w:t>refusal to permit the import or export of our products;</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35"/>
        </w:numPr>
        <w:rPr>
          <w:rFonts w:ascii="Arial" w:cs="Arial" w:eastAsia="Arial" w:hAnsi="Arial"/>
          <w:sz w:val="24"/>
          <w:szCs w:val="24"/>
          <w:color w:val="auto"/>
          <w:vertAlign w:val="superscript"/>
        </w:rPr>
      </w:pPr>
      <w:r>
        <w:rPr>
          <w:rFonts w:ascii="Arial" w:cs="Arial" w:eastAsia="Arial" w:hAnsi="Arial"/>
          <w:sz w:val="15"/>
          <w:szCs w:val="15"/>
          <w:color w:val="auto"/>
        </w:rPr>
        <w:t>product seizure; or</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35"/>
        </w:numPr>
        <w:rPr>
          <w:rFonts w:ascii="Arial" w:cs="Arial" w:eastAsia="Arial" w:hAnsi="Arial"/>
          <w:sz w:val="24"/>
          <w:szCs w:val="24"/>
          <w:color w:val="auto"/>
          <w:vertAlign w:val="superscript"/>
        </w:rPr>
      </w:pPr>
      <w:r>
        <w:rPr>
          <w:rFonts w:ascii="Arial" w:cs="Arial" w:eastAsia="Arial" w:hAnsi="Arial"/>
          <w:sz w:val="15"/>
          <w:szCs w:val="15"/>
          <w:color w:val="auto"/>
        </w:rPr>
        <w:t>injunctions or the imposition of civil or criminal penalties.</w:t>
      </w:r>
    </w:p>
    <w:p>
      <w:pPr>
        <w:spacing w:after="0" w:line="202" w:lineRule="exact"/>
        <w:rPr>
          <w:sz w:val="20"/>
          <w:szCs w:val="20"/>
          <w:color w:val="auto"/>
        </w:rPr>
      </w:pPr>
    </w:p>
    <w:p>
      <w:pPr>
        <w:ind w:right="80" w:firstLine="518"/>
        <w:spacing w:after="0" w:line="286" w:lineRule="auto"/>
        <w:rPr>
          <w:sz w:val="20"/>
          <w:szCs w:val="20"/>
          <w:color w:val="auto"/>
        </w:rPr>
      </w:pPr>
      <w:r>
        <w:rPr>
          <w:rFonts w:ascii="Arial" w:cs="Arial" w:eastAsia="Arial" w:hAnsi="Arial"/>
          <w:sz w:val="17"/>
          <w:szCs w:val="17"/>
          <w:color w:val="auto"/>
        </w:rPr>
        <w:t>Non-compliance by us or any future collaborator with regulatory requirements regarding safety monitoring or pharmacovigilance, and with requirements related to the development of products for the pediatric population, can also result in significant financial penalties. Similarly, failure to comply with regulatory requirements regarding the protection of personal information can also lead to significant penalties and sanctions.</w:t>
      </w:r>
    </w:p>
    <w:p>
      <w:pPr>
        <w:spacing w:after="0" w:line="166" w:lineRule="exact"/>
        <w:rPr>
          <w:sz w:val="20"/>
          <w:szCs w:val="20"/>
          <w:color w:val="auto"/>
        </w:rPr>
      </w:pPr>
    </w:p>
    <w:p>
      <w:pPr>
        <w:ind w:right="260" w:firstLine="518"/>
        <w:spacing w:after="0" w:line="264" w:lineRule="auto"/>
        <w:rPr>
          <w:sz w:val="20"/>
          <w:szCs w:val="20"/>
          <w:color w:val="auto"/>
        </w:rPr>
      </w:pPr>
      <w:r>
        <w:rPr>
          <w:rFonts w:ascii="Arial" w:cs="Arial" w:eastAsia="Arial" w:hAnsi="Arial"/>
          <w:sz w:val="18"/>
          <w:szCs w:val="18"/>
          <w:b w:val="1"/>
          <w:bCs w:val="1"/>
          <w:i w:val="1"/>
          <w:iCs w:val="1"/>
          <w:color w:val="auto"/>
        </w:rPr>
        <w:t>Our relationships with healthcare providers, physicians, and third party payors will be subject to applicable anti-kickback, fraud and abuse and other healthcare laws and regulations, which, in the event of a violation, could expose us to criminal sanctions, civil penalties, contractual damages, reputational harm and diminished profits and future earnings.</w:t>
      </w:r>
    </w:p>
    <w:p>
      <w:pPr>
        <w:spacing w:after="0" w:line="18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Healthcare providers, physicians and third party payors will play a primary role in the recommendation and prescription of any product candidates for which we obtain marketing approval. Our future arrangements with healthcare providers, physicians, and third party payors may expose us to broadly applicable fraud and abuse and other healthcare laws and regulations that may constrain the business or financial arrangements and relationships through which we market, sell and distribute any products for which we obtain marketing approval. Restrictions under applicable federal and state healthcare laws and regulations, include the following:</w:t>
      </w:r>
    </w:p>
    <w:p>
      <w:pPr>
        <w:spacing w:after="0" w:line="80" w:lineRule="exact"/>
        <w:rPr>
          <w:sz w:val="20"/>
          <w:szCs w:val="20"/>
          <w:color w:val="auto"/>
        </w:rPr>
      </w:pPr>
    </w:p>
    <w:p>
      <w:pPr>
        <w:ind w:left="1040" w:right="620" w:hanging="519"/>
        <w:spacing w:after="0" w:line="198" w:lineRule="auto"/>
        <w:tabs>
          <w:tab w:leader="none" w:pos="1040" w:val="left"/>
        </w:tabs>
        <w:numPr>
          <w:ilvl w:val="0"/>
          <w:numId w:val="36"/>
        </w:numPr>
        <w:rPr>
          <w:rFonts w:ascii="Arial" w:cs="Arial" w:eastAsia="Arial" w:hAnsi="Arial"/>
          <w:sz w:val="29"/>
          <w:szCs w:val="29"/>
          <w:color w:val="auto"/>
          <w:vertAlign w:val="superscript"/>
        </w:rPr>
      </w:pPr>
      <w:r>
        <w:rPr>
          <w:rFonts w:ascii="Arial" w:cs="Arial" w:eastAsia="Arial" w:hAnsi="Arial"/>
          <w:sz w:val="18"/>
          <w:szCs w:val="18"/>
          <w:color w:val="auto"/>
        </w:rPr>
        <w:t>the federal Anti-Kickback Statute prohibits, among other things, persons from knowingly and willfully soliciting, offering, receiving or providing remuneration, directly or indirectly, in cash or in kind, to induce or reward, or in return</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1" w:name="page52"/>
    <w:bookmarkEnd w:id="51"/>
    <w:p>
      <w:pPr>
        <w:ind w:left="1040" w:right="220"/>
        <w:spacing w:after="0" w:line="277" w:lineRule="auto"/>
        <w:rPr>
          <w:sz w:val="20"/>
          <w:szCs w:val="20"/>
          <w:color w:val="auto"/>
        </w:rPr>
      </w:pPr>
      <w:r>
        <w:rPr>
          <w:rFonts w:ascii="Arial" w:cs="Arial" w:eastAsia="Arial" w:hAnsi="Arial"/>
          <w:sz w:val="18"/>
          <w:szCs w:val="18"/>
          <w:color w:val="auto"/>
        </w:rPr>
        <w:t>for, either the referral of an individual for, or the purchase, order or recommendation or arranging of, any good or service, for which payment may be made under a federal healthcare program such as Medicare and Medicaid;</w:t>
      </w:r>
    </w:p>
    <w:p>
      <w:pPr>
        <w:spacing w:after="0" w:line="62" w:lineRule="exact"/>
        <w:rPr>
          <w:sz w:val="20"/>
          <w:szCs w:val="20"/>
          <w:color w:val="auto"/>
        </w:rPr>
      </w:pPr>
    </w:p>
    <w:p>
      <w:pPr>
        <w:ind w:left="1040" w:right="120" w:hanging="519"/>
        <w:spacing w:after="0" w:line="226" w:lineRule="auto"/>
        <w:tabs>
          <w:tab w:leader="none" w:pos="1040" w:val="left"/>
        </w:tabs>
        <w:numPr>
          <w:ilvl w:val="0"/>
          <w:numId w:val="37"/>
        </w:numPr>
        <w:rPr>
          <w:rFonts w:ascii="Arial" w:cs="Arial" w:eastAsia="Arial" w:hAnsi="Arial"/>
          <w:sz w:val="29"/>
          <w:szCs w:val="29"/>
          <w:color w:val="auto"/>
          <w:vertAlign w:val="superscript"/>
        </w:rPr>
      </w:pPr>
      <w:r>
        <w:rPr>
          <w:rFonts w:ascii="Arial" w:cs="Arial" w:eastAsia="Arial" w:hAnsi="Arial"/>
          <w:sz w:val="18"/>
          <w:szCs w:val="18"/>
          <w:color w:val="auto"/>
        </w:rPr>
        <w:t>the federal False Claims Act imposes criminal and civil penalties, including through civil whistleblower or qui tam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 currently set at $5,500 to $11,000 per false claim;</w:t>
      </w:r>
    </w:p>
    <w:p>
      <w:pPr>
        <w:spacing w:after="0" w:line="94" w:lineRule="exact"/>
        <w:rPr>
          <w:rFonts w:ascii="Arial" w:cs="Arial" w:eastAsia="Arial" w:hAnsi="Arial"/>
          <w:sz w:val="29"/>
          <w:szCs w:val="29"/>
          <w:color w:val="auto"/>
          <w:vertAlign w:val="superscript"/>
        </w:rPr>
      </w:pPr>
    </w:p>
    <w:p>
      <w:pPr>
        <w:ind w:left="1040" w:right="100" w:hanging="519"/>
        <w:spacing w:after="0" w:line="198" w:lineRule="auto"/>
        <w:tabs>
          <w:tab w:leader="none" w:pos="1040" w:val="left"/>
        </w:tabs>
        <w:numPr>
          <w:ilvl w:val="0"/>
          <w:numId w:val="37"/>
        </w:numPr>
        <w:rPr>
          <w:rFonts w:ascii="Arial" w:cs="Arial" w:eastAsia="Arial" w:hAnsi="Arial"/>
          <w:sz w:val="29"/>
          <w:szCs w:val="29"/>
          <w:color w:val="auto"/>
          <w:vertAlign w:val="superscript"/>
        </w:rPr>
      </w:pPr>
      <w:r>
        <w:rPr>
          <w:rFonts w:ascii="Arial" w:cs="Arial" w:eastAsia="Arial" w:hAnsi="Arial"/>
          <w:sz w:val="18"/>
          <w:szCs w:val="18"/>
          <w:color w:val="auto"/>
        </w:rPr>
        <w:t>the federal Health Insurance Portability and Accountability Act of 1996, or HIPAA, imposes criminal and civil liability for executing a scheme to defraud any healthcare benefit program or making false statements relating to healthcare matters;</w:t>
      </w:r>
    </w:p>
    <w:p>
      <w:pPr>
        <w:spacing w:after="0" w:line="94" w:lineRule="exact"/>
        <w:rPr>
          <w:rFonts w:ascii="Arial" w:cs="Arial" w:eastAsia="Arial" w:hAnsi="Arial"/>
          <w:sz w:val="29"/>
          <w:szCs w:val="29"/>
          <w:color w:val="auto"/>
          <w:vertAlign w:val="superscript"/>
        </w:rPr>
      </w:pPr>
    </w:p>
    <w:p>
      <w:pPr>
        <w:ind w:left="1040" w:right="80" w:hanging="519"/>
        <w:spacing w:after="0" w:line="212" w:lineRule="auto"/>
        <w:tabs>
          <w:tab w:leader="none" w:pos="1040" w:val="left"/>
        </w:tabs>
        <w:numPr>
          <w:ilvl w:val="0"/>
          <w:numId w:val="37"/>
        </w:numPr>
        <w:rPr>
          <w:rFonts w:ascii="Arial" w:cs="Arial" w:eastAsia="Arial" w:hAnsi="Arial"/>
          <w:sz w:val="29"/>
          <w:szCs w:val="29"/>
          <w:color w:val="auto"/>
          <w:vertAlign w:val="superscript"/>
        </w:rPr>
      </w:pPr>
      <w:r>
        <w:rPr>
          <w:rFonts w:ascii="Arial" w:cs="Arial" w:eastAsia="Arial" w:hAnsi="Arial"/>
          <w:sz w:val="18"/>
          <w:szCs w:val="18"/>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spacing w:after="0" w:line="96" w:lineRule="exact"/>
        <w:rPr>
          <w:rFonts w:ascii="Arial" w:cs="Arial" w:eastAsia="Arial" w:hAnsi="Arial"/>
          <w:sz w:val="29"/>
          <w:szCs w:val="29"/>
          <w:color w:val="auto"/>
          <w:vertAlign w:val="superscript"/>
        </w:rPr>
      </w:pPr>
    </w:p>
    <w:p>
      <w:pPr>
        <w:ind w:left="1040" w:hanging="519"/>
        <w:spacing w:after="0" w:line="198" w:lineRule="auto"/>
        <w:tabs>
          <w:tab w:leader="none" w:pos="1040" w:val="left"/>
        </w:tabs>
        <w:numPr>
          <w:ilvl w:val="0"/>
          <w:numId w:val="37"/>
        </w:numPr>
        <w:rPr>
          <w:rFonts w:ascii="Arial" w:cs="Arial" w:eastAsia="Arial" w:hAnsi="Arial"/>
          <w:sz w:val="29"/>
          <w:szCs w:val="29"/>
          <w:color w:val="auto"/>
          <w:vertAlign w:val="superscript"/>
        </w:rPr>
      </w:pPr>
      <w:r>
        <w:rPr>
          <w:rFonts w:ascii="Arial" w:cs="Arial" w:eastAsia="Arial" w:hAnsi="Arial"/>
          <w:sz w:val="18"/>
          <w:szCs w:val="18"/>
          <w:color w:val="auto"/>
        </w:rPr>
        <w:t>the federal Physician Payments Sunshine Act requires applicable manufacturers of covered drug products to report payments and other transfers of value to physicians and teaching hospitals with data collection beginning in August 2013; and</w:t>
      </w:r>
    </w:p>
    <w:p>
      <w:pPr>
        <w:spacing w:after="0" w:line="94" w:lineRule="exact"/>
        <w:rPr>
          <w:rFonts w:ascii="Arial" w:cs="Arial" w:eastAsia="Arial" w:hAnsi="Arial"/>
          <w:sz w:val="29"/>
          <w:szCs w:val="29"/>
          <w:color w:val="auto"/>
          <w:vertAlign w:val="superscript"/>
        </w:rPr>
      </w:pPr>
    </w:p>
    <w:p>
      <w:pPr>
        <w:ind w:left="1040" w:right="60" w:hanging="519"/>
        <w:spacing w:after="0" w:line="212" w:lineRule="auto"/>
        <w:tabs>
          <w:tab w:leader="none" w:pos="1040" w:val="left"/>
        </w:tabs>
        <w:numPr>
          <w:ilvl w:val="0"/>
          <w:numId w:val="37"/>
        </w:numPr>
        <w:rPr>
          <w:rFonts w:ascii="Arial" w:cs="Arial" w:eastAsia="Arial" w:hAnsi="Arial"/>
          <w:sz w:val="29"/>
          <w:szCs w:val="29"/>
          <w:color w:val="auto"/>
          <w:vertAlign w:val="superscript"/>
        </w:rPr>
      </w:pPr>
      <w:r>
        <w:rPr>
          <w:rFonts w:ascii="Arial" w:cs="Arial" w:eastAsia="Arial" w:hAnsi="Arial"/>
          <w:sz w:val="18"/>
          <w:szCs w:val="18"/>
          <w:color w:val="auto"/>
        </w:rPr>
        <w:t>analogous state and foreign laws and regulations such as state anti-kickback and false claims laws and transparency statutes, may apply to sales or marketing arrangements and claims involving healthcare items or services reimbursed by non-governmental payors, including private insurers.</w:t>
      </w:r>
    </w:p>
    <w:p>
      <w:pPr>
        <w:spacing w:after="0" w:line="204"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Some state laws require pharmaceutical companies to comply with the pharmaceutical industry’s voluntary compliance guidelines and the relevant compliance guidance promulgated by the federal government and may require drug product manufacturers to report information related to payments and other transfers of value to physicians and other healthcare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188"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If our operations are found to be in violation of any of the laws described above or any governmental regulations that apply to us, we may be subject to penalties, including civil and criminal penalties, damages, fines and the curtailment or restructuring of our operations. Any penalties, damages, fines, curtailment or restructuring of our operations could adversely affect our financial results.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88" w:lineRule="exact"/>
        <w:rPr>
          <w:sz w:val="20"/>
          <w:szCs w:val="20"/>
          <w:color w:val="auto"/>
        </w:rPr>
      </w:pPr>
    </w:p>
    <w:p>
      <w:pPr>
        <w:ind w:right="60" w:firstLine="518"/>
        <w:spacing w:after="0" w:line="291"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products from government funded healthcare programs, such as Medicare and Medicaid,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167" w:lineRule="exact"/>
        <w:rPr>
          <w:sz w:val="20"/>
          <w:szCs w:val="20"/>
          <w:color w:val="auto"/>
        </w:rPr>
      </w:pPr>
    </w:p>
    <w:p>
      <w:pPr>
        <w:ind w:right="760" w:firstLine="518"/>
        <w:spacing w:after="0" w:line="277" w:lineRule="auto"/>
        <w:rPr>
          <w:sz w:val="20"/>
          <w:szCs w:val="20"/>
          <w:color w:val="auto"/>
        </w:rPr>
      </w:pPr>
      <w:r>
        <w:rPr>
          <w:rFonts w:ascii="Arial" w:cs="Arial" w:eastAsia="Arial" w:hAnsi="Arial"/>
          <w:sz w:val="18"/>
          <w:szCs w:val="18"/>
          <w:b w:val="1"/>
          <w:bCs w:val="1"/>
          <w:i w:val="1"/>
          <w:iCs w:val="1"/>
          <w:color w:val="auto"/>
        </w:rPr>
        <w:t>Current and future legislation may increase the difficulty and cost for us to obtain marketing approval of and commercialize our product candidates and affect the prices we may obtain.</w:t>
      </w:r>
    </w:p>
    <w:p>
      <w:pPr>
        <w:spacing w:after="0" w:line="170"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In the United States and some non-U.S.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Third-party payors are increasingly challenging the prices charged for medical products and services and examining the medical necessity and cost-effectiveness of medical products and services, in addition to their safety and efficacy. If these third-party payors do not consider our products, if approved, to be cost-effective compared to other available therapies, they may not cover our product after approval as a benefit under their plans or, if they do, the level of payment may not be sufficient to allow us to realize a meaningful return on our investment. The United States government, state legislatures and non-U.S. governments have shown significant interest in implementing cost containment programs to limit the growth of government-paid health care costs, including price controls, restrictions on reimbursement and requirements for substitution of generic products for branded prescription drugs. Adoption of such controls and measures, and tightening of restrictive policies in jurisdictions with existing controls and measures, could limit payments for our products, if approved.</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2" w:name="page53"/>
    <w:bookmarkEnd w:id="52"/>
    <w:p>
      <w:pPr>
        <w:ind w:firstLine="518"/>
        <w:spacing w:after="0" w:line="257" w:lineRule="auto"/>
        <w:rPr>
          <w:sz w:val="20"/>
          <w:szCs w:val="20"/>
          <w:color w:val="auto"/>
        </w:rPr>
      </w:pPr>
      <w:r>
        <w:rPr>
          <w:rFonts w:ascii="Arial" w:cs="Arial" w:eastAsia="Arial" w:hAnsi="Arial"/>
          <w:sz w:val="18"/>
          <w:szCs w:val="18"/>
          <w:color w:val="auto"/>
        </w:rPr>
        <w:t>As a result, the marketability of our products, if approved, could suffer if the government and third-party payors fail to provide adequate coverage and reimbursement. In addition, an increasing emphasis on managed care in the United States has increased and will continue to increase the pressure on drug pricing. Coverage policies, third-party reimbursement rates and drug pricing regulation may change at any time. Even if favorable coverage and reimbursement status is attained for one or more of our products that receive regulatory approval, less favorable coverage policies and reimbursement rates may be implemented in the future.</w:t>
      </w:r>
    </w:p>
    <w:p>
      <w:pPr>
        <w:spacing w:after="0" w:line="188"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In the United States, the Medicare Prescription Drug, Improvement, and Modernization Act of 2003, or the MMA, changed the way Medicare covers and pays for pharmaceutical products. The legislation expanded Medicare coverage for drug purchases by the elderly and introduced a new reimbursement methodology based on average sales prices for physician-administered drugs. In addition, this legislation provided authority for limiting the number of drugs that will be covered in any therapeutic class. Cost reduction initiatives and other provisions of this legislation could decrease the coverage and price that we receive for any approved products. While the MMA applies only to drug benefits for Medicare beneficiaries, private payors often follow Medicare coverage policy and payment limitations in setting their own reimbursement rates. Therefore, any reduction in reimbursement that results from the MMA may result in a similar reduction in payments from private payors.</w:t>
      </w:r>
    </w:p>
    <w:p>
      <w:pPr>
        <w:spacing w:after="0" w:line="178"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In March 2010, President Obama signed into law the Patient Protection and Affordable Care Act, as amended by the Health Care and Education Affordability Reconciliation Act, or collectively the PPACA. Among the provisions of the PPACA of potential importance to our business and our product candidates are the following.</w:t>
      </w:r>
    </w:p>
    <w:p>
      <w:pPr>
        <w:ind w:left="1040" w:hanging="519"/>
        <w:spacing w:after="0" w:line="226" w:lineRule="auto"/>
        <w:tabs>
          <w:tab w:leader="none" w:pos="1040" w:val="left"/>
        </w:tabs>
        <w:numPr>
          <w:ilvl w:val="0"/>
          <w:numId w:val="38"/>
        </w:numPr>
        <w:rPr>
          <w:rFonts w:ascii="Arial" w:cs="Arial" w:eastAsia="Arial" w:hAnsi="Arial"/>
          <w:sz w:val="28"/>
          <w:szCs w:val="28"/>
          <w:color w:val="auto"/>
          <w:vertAlign w:val="superscript"/>
        </w:rPr>
      </w:pPr>
      <w:r>
        <w:rPr>
          <w:rFonts w:ascii="Arial" w:cs="Arial" w:eastAsia="Arial" w:hAnsi="Arial"/>
          <w:sz w:val="17"/>
          <w:szCs w:val="17"/>
          <w:color w:val="auto"/>
        </w:rPr>
        <w:t>an annual, non-deductible fee on any entity that manufactures or imports specified branded prescription products and biologic agents;</w:t>
      </w:r>
    </w:p>
    <w:p>
      <w:pPr>
        <w:spacing w:after="0" w:line="110" w:lineRule="exact"/>
        <w:rPr>
          <w:rFonts w:ascii="Arial" w:cs="Arial" w:eastAsia="Arial" w:hAnsi="Arial"/>
          <w:sz w:val="28"/>
          <w:szCs w:val="28"/>
          <w:color w:val="auto"/>
          <w:vertAlign w:val="superscript"/>
        </w:rPr>
      </w:pPr>
    </w:p>
    <w:p>
      <w:pPr>
        <w:ind w:left="1040" w:hanging="519"/>
        <w:spacing w:after="0" w:line="186" w:lineRule="auto"/>
        <w:tabs>
          <w:tab w:leader="none" w:pos="1040" w:val="left"/>
        </w:tabs>
        <w:numPr>
          <w:ilvl w:val="0"/>
          <w:numId w:val="38"/>
        </w:numPr>
        <w:rPr>
          <w:rFonts w:ascii="Arial" w:cs="Arial" w:eastAsia="Arial" w:hAnsi="Arial"/>
          <w:sz w:val="24"/>
          <w:szCs w:val="24"/>
          <w:color w:val="auto"/>
          <w:vertAlign w:val="superscript"/>
        </w:rPr>
      </w:pPr>
      <w:r>
        <w:rPr>
          <w:rFonts w:ascii="Arial" w:cs="Arial" w:eastAsia="Arial" w:hAnsi="Arial"/>
          <w:sz w:val="15"/>
          <w:szCs w:val="15"/>
          <w:color w:val="auto"/>
        </w:rPr>
        <w:t>an increase in the statutory minimum rebates a manufacturer must pay under the Medicaid Drug Rebate Program;</w:t>
      </w:r>
    </w:p>
    <w:p>
      <w:pPr>
        <w:spacing w:after="0" w:line="110" w:lineRule="exact"/>
        <w:rPr>
          <w:rFonts w:ascii="Arial" w:cs="Arial" w:eastAsia="Arial" w:hAnsi="Arial"/>
          <w:sz w:val="24"/>
          <w:szCs w:val="24"/>
          <w:color w:val="auto"/>
          <w:vertAlign w:val="superscript"/>
        </w:rPr>
      </w:pPr>
    </w:p>
    <w:p>
      <w:pPr>
        <w:ind w:left="1040" w:right="280" w:hanging="519"/>
        <w:spacing w:after="0" w:line="191" w:lineRule="auto"/>
        <w:tabs>
          <w:tab w:leader="none" w:pos="1040" w:val="left"/>
        </w:tabs>
        <w:numPr>
          <w:ilvl w:val="0"/>
          <w:numId w:val="38"/>
        </w:numPr>
        <w:rPr>
          <w:rFonts w:ascii="Arial" w:cs="Arial" w:eastAsia="Arial" w:hAnsi="Arial"/>
          <w:sz w:val="29"/>
          <w:szCs w:val="29"/>
          <w:color w:val="auto"/>
          <w:vertAlign w:val="superscript"/>
        </w:rPr>
      </w:pPr>
      <w:r>
        <w:rPr>
          <w:rFonts w:ascii="Arial" w:cs="Arial" w:eastAsia="Arial" w:hAnsi="Arial"/>
          <w:sz w:val="18"/>
          <w:szCs w:val="18"/>
          <w:color w:val="auto"/>
        </w:rPr>
        <w:t>a new methodology by which rebates owed by manufacturers under the Medicaid Drug Rebate Program are calculated for products that are inhaled, infused, instilled, implanted or injected;</w:t>
      </w:r>
    </w:p>
    <w:p>
      <w:pPr>
        <w:spacing w:after="0" w:line="94" w:lineRule="exact"/>
        <w:rPr>
          <w:rFonts w:ascii="Arial" w:cs="Arial" w:eastAsia="Arial" w:hAnsi="Arial"/>
          <w:sz w:val="29"/>
          <w:szCs w:val="29"/>
          <w:color w:val="auto"/>
          <w:vertAlign w:val="superscript"/>
        </w:rPr>
      </w:pPr>
    </w:p>
    <w:p>
      <w:pPr>
        <w:ind w:left="1040" w:right="280" w:hanging="519"/>
        <w:spacing w:after="0" w:line="198" w:lineRule="auto"/>
        <w:tabs>
          <w:tab w:leader="none" w:pos="1040" w:val="left"/>
        </w:tabs>
        <w:numPr>
          <w:ilvl w:val="0"/>
          <w:numId w:val="38"/>
        </w:numPr>
        <w:rPr>
          <w:rFonts w:ascii="Arial" w:cs="Arial" w:eastAsia="Arial" w:hAnsi="Arial"/>
          <w:sz w:val="29"/>
          <w:szCs w:val="29"/>
          <w:color w:val="auto"/>
          <w:vertAlign w:val="superscript"/>
        </w:rPr>
      </w:pPr>
      <w:r>
        <w:rPr>
          <w:rFonts w:ascii="Arial" w:cs="Arial" w:eastAsia="Arial" w:hAnsi="Arial"/>
          <w:sz w:val="18"/>
          <w:szCs w:val="18"/>
          <w:color w:val="auto"/>
        </w:rPr>
        <w:t>expansion of healthcare fraud and abuse laws, including the civil False Claims Act and the federal Anti-Kickback Statute, new government investigative powers and enhanced penalties for noncompliance;</w:t>
      </w:r>
    </w:p>
    <w:p>
      <w:pPr>
        <w:spacing w:after="0" w:line="94" w:lineRule="exact"/>
        <w:rPr>
          <w:rFonts w:ascii="Arial" w:cs="Arial" w:eastAsia="Arial" w:hAnsi="Arial"/>
          <w:sz w:val="29"/>
          <w:szCs w:val="29"/>
          <w:color w:val="auto"/>
          <w:vertAlign w:val="superscript"/>
        </w:rPr>
      </w:pPr>
    </w:p>
    <w:p>
      <w:pPr>
        <w:ind w:left="1040" w:right="40" w:hanging="519"/>
        <w:spacing w:after="0" w:line="212" w:lineRule="auto"/>
        <w:tabs>
          <w:tab w:leader="none" w:pos="1040" w:val="left"/>
        </w:tabs>
        <w:numPr>
          <w:ilvl w:val="0"/>
          <w:numId w:val="38"/>
        </w:numPr>
        <w:rPr>
          <w:rFonts w:ascii="Arial" w:cs="Arial" w:eastAsia="Arial" w:hAnsi="Arial"/>
          <w:sz w:val="29"/>
          <w:szCs w:val="29"/>
          <w:color w:val="auto"/>
          <w:vertAlign w:val="superscript"/>
        </w:rPr>
      </w:pPr>
      <w:r>
        <w:rPr>
          <w:rFonts w:ascii="Arial" w:cs="Arial" w:eastAsia="Arial" w:hAnsi="Arial"/>
          <w:sz w:val="18"/>
          <w:szCs w:val="18"/>
          <w:color w:val="auto"/>
        </w:rPr>
        <w:t>a new Medicare Part D coverage gap discount program, in which manufacturers must agree to offer 50% point-of-sale discounts off negotiated prices of applicable brand products to eligible beneficiaries during their coverage gap period, as a condition for the manufacturer’s outpatient products to be covered under Medicare Part D;;</w:t>
      </w:r>
    </w:p>
    <w:p>
      <w:pPr>
        <w:spacing w:after="0" w:line="2" w:lineRule="exact"/>
        <w:rPr>
          <w:rFonts w:ascii="Arial" w:cs="Arial" w:eastAsia="Arial" w:hAnsi="Arial"/>
          <w:sz w:val="29"/>
          <w:szCs w:val="29"/>
          <w:color w:val="auto"/>
          <w:vertAlign w:val="superscript"/>
        </w:rPr>
      </w:pPr>
    </w:p>
    <w:p>
      <w:pPr>
        <w:ind w:left="1040" w:hanging="519"/>
        <w:spacing w:after="0" w:line="233" w:lineRule="auto"/>
        <w:tabs>
          <w:tab w:leader="none" w:pos="1040" w:val="left"/>
        </w:tabs>
        <w:numPr>
          <w:ilvl w:val="0"/>
          <w:numId w:val="38"/>
        </w:numPr>
        <w:rPr>
          <w:rFonts w:ascii="Arial" w:cs="Arial" w:eastAsia="Arial" w:hAnsi="Arial"/>
          <w:sz w:val="29"/>
          <w:szCs w:val="29"/>
          <w:color w:val="auto"/>
          <w:vertAlign w:val="superscript"/>
        </w:rPr>
      </w:pPr>
      <w:r>
        <w:rPr>
          <w:rFonts w:ascii="Arial" w:cs="Arial" w:eastAsia="Arial" w:hAnsi="Arial"/>
          <w:sz w:val="18"/>
          <w:szCs w:val="18"/>
          <w:color w:val="auto"/>
        </w:rPr>
        <w:t>extension of manufacturers’ Medicaid rebate liability to individuals enrolled in Medicaid managed care organizations;</w:t>
      </w:r>
    </w:p>
    <w:p>
      <w:pPr>
        <w:spacing w:after="0" w:line="110" w:lineRule="exact"/>
        <w:rPr>
          <w:rFonts w:ascii="Arial" w:cs="Arial" w:eastAsia="Arial" w:hAnsi="Arial"/>
          <w:sz w:val="29"/>
          <w:szCs w:val="29"/>
          <w:color w:val="auto"/>
          <w:vertAlign w:val="superscript"/>
        </w:rPr>
      </w:pPr>
    </w:p>
    <w:p>
      <w:pPr>
        <w:ind w:left="1040" w:hanging="519"/>
        <w:spacing w:after="0" w:line="186" w:lineRule="auto"/>
        <w:tabs>
          <w:tab w:leader="none" w:pos="1040" w:val="left"/>
        </w:tabs>
        <w:numPr>
          <w:ilvl w:val="0"/>
          <w:numId w:val="38"/>
        </w:numPr>
        <w:rPr>
          <w:rFonts w:ascii="Arial" w:cs="Arial" w:eastAsia="Arial" w:hAnsi="Arial"/>
          <w:sz w:val="24"/>
          <w:szCs w:val="24"/>
          <w:color w:val="auto"/>
          <w:vertAlign w:val="superscript"/>
        </w:rPr>
      </w:pPr>
      <w:r>
        <w:rPr>
          <w:rFonts w:ascii="Arial" w:cs="Arial" w:eastAsia="Arial" w:hAnsi="Arial"/>
          <w:sz w:val="15"/>
          <w:szCs w:val="15"/>
          <w:color w:val="auto"/>
        </w:rPr>
        <w:t>expansion of eligibility criteria for Medicaid programs;</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38"/>
        </w:numPr>
        <w:rPr>
          <w:rFonts w:ascii="Arial" w:cs="Arial" w:eastAsia="Arial" w:hAnsi="Arial"/>
          <w:sz w:val="24"/>
          <w:szCs w:val="24"/>
          <w:color w:val="auto"/>
          <w:vertAlign w:val="superscript"/>
        </w:rPr>
      </w:pPr>
      <w:r>
        <w:rPr>
          <w:rFonts w:ascii="Arial" w:cs="Arial" w:eastAsia="Arial" w:hAnsi="Arial"/>
          <w:sz w:val="15"/>
          <w:szCs w:val="15"/>
          <w:color w:val="auto"/>
        </w:rPr>
        <w:t>expansion of the entities eligible for discounts under the Public Health Service pharmaceutical pricing program;</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38"/>
        </w:numPr>
        <w:rPr>
          <w:rFonts w:ascii="Arial" w:cs="Arial" w:eastAsia="Arial" w:hAnsi="Arial"/>
          <w:sz w:val="24"/>
          <w:szCs w:val="24"/>
          <w:color w:val="auto"/>
          <w:vertAlign w:val="superscript"/>
        </w:rPr>
      </w:pPr>
      <w:r>
        <w:rPr>
          <w:rFonts w:ascii="Arial" w:cs="Arial" w:eastAsia="Arial" w:hAnsi="Arial"/>
          <w:sz w:val="15"/>
          <w:szCs w:val="15"/>
          <w:color w:val="auto"/>
        </w:rPr>
        <w:t>new requirements to report certain financial arrangements with physicians and teaching hospitals;</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38"/>
        </w:numPr>
        <w:rPr>
          <w:rFonts w:ascii="Arial" w:cs="Arial" w:eastAsia="Arial" w:hAnsi="Arial"/>
          <w:sz w:val="24"/>
          <w:szCs w:val="24"/>
          <w:color w:val="auto"/>
          <w:vertAlign w:val="superscript"/>
        </w:rPr>
      </w:pPr>
      <w:r>
        <w:rPr>
          <w:rFonts w:ascii="Arial" w:cs="Arial" w:eastAsia="Arial" w:hAnsi="Arial"/>
          <w:sz w:val="15"/>
          <w:szCs w:val="15"/>
          <w:color w:val="auto"/>
        </w:rPr>
        <w:t>a new requirement to annually report product samples that manufacturers and distributors provide to physicians;</w:t>
      </w:r>
    </w:p>
    <w:p>
      <w:pPr>
        <w:spacing w:after="0" w:line="110" w:lineRule="exact"/>
        <w:rPr>
          <w:rFonts w:ascii="Arial" w:cs="Arial" w:eastAsia="Arial" w:hAnsi="Arial"/>
          <w:sz w:val="24"/>
          <w:szCs w:val="24"/>
          <w:color w:val="auto"/>
          <w:vertAlign w:val="superscript"/>
        </w:rPr>
      </w:pPr>
    </w:p>
    <w:p>
      <w:pPr>
        <w:ind w:left="1040" w:right="60" w:hanging="519"/>
        <w:spacing w:after="0" w:line="191" w:lineRule="auto"/>
        <w:tabs>
          <w:tab w:leader="none" w:pos="1040" w:val="left"/>
        </w:tabs>
        <w:numPr>
          <w:ilvl w:val="0"/>
          <w:numId w:val="38"/>
        </w:numPr>
        <w:rPr>
          <w:rFonts w:ascii="Arial" w:cs="Arial" w:eastAsia="Arial" w:hAnsi="Arial"/>
          <w:sz w:val="29"/>
          <w:szCs w:val="29"/>
          <w:color w:val="auto"/>
          <w:vertAlign w:val="superscript"/>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94" w:lineRule="exact"/>
        <w:rPr>
          <w:rFonts w:ascii="Arial" w:cs="Arial" w:eastAsia="Arial" w:hAnsi="Arial"/>
          <w:sz w:val="29"/>
          <w:szCs w:val="29"/>
          <w:color w:val="auto"/>
          <w:vertAlign w:val="superscript"/>
        </w:rPr>
      </w:pPr>
    </w:p>
    <w:p>
      <w:pPr>
        <w:ind w:left="1040" w:right="780" w:hanging="519"/>
        <w:spacing w:after="0" w:line="198" w:lineRule="auto"/>
        <w:tabs>
          <w:tab w:leader="none" w:pos="1040" w:val="left"/>
        </w:tabs>
        <w:numPr>
          <w:ilvl w:val="0"/>
          <w:numId w:val="38"/>
        </w:numPr>
        <w:rPr>
          <w:rFonts w:ascii="Arial" w:cs="Arial" w:eastAsia="Arial" w:hAnsi="Arial"/>
          <w:sz w:val="29"/>
          <w:szCs w:val="29"/>
          <w:color w:val="auto"/>
          <w:vertAlign w:val="superscript"/>
        </w:rPr>
      </w:pPr>
      <w:r>
        <w:rPr>
          <w:rFonts w:ascii="Arial" w:cs="Arial" w:eastAsia="Arial" w:hAnsi="Arial"/>
          <w:sz w:val="18"/>
          <w:szCs w:val="18"/>
          <w:color w:val="auto"/>
        </w:rPr>
        <w:t>a new Independent Payment Advisory Board, which has authority to recommend certain changes to the Medicare program to reduce expenditures by the program that could result in reduced payments for prescription products; and</w:t>
      </w:r>
    </w:p>
    <w:p>
      <w:pPr>
        <w:ind w:left="1040" w:hanging="519"/>
        <w:spacing w:after="0" w:line="233" w:lineRule="auto"/>
        <w:tabs>
          <w:tab w:leader="none" w:pos="1040" w:val="left"/>
        </w:tabs>
        <w:numPr>
          <w:ilvl w:val="0"/>
          <w:numId w:val="38"/>
        </w:numPr>
        <w:rPr>
          <w:rFonts w:ascii="Arial" w:cs="Arial" w:eastAsia="Arial" w:hAnsi="Arial"/>
          <w:sz w:val="29"/>
          <w:szCs w:val="29"/>
          <w:color w:val="auto"/>
          <w:vertAlign w:val="superscript"/>
        </w:rPr>
      </w:pPr>
      <w:r>
        <w:rPr>
          <w:rFonts w:ascii="Arial" w:cs="Arial" w:eastAsia="Arial" w:hAnsi="Arial"/>
          <w:sz w:val="18"/>
          <w:szCs w:val="18"/>
          <w:color w:val="auto"/>
        </w:rPr>
        <w:t>established the Center for Medicare and Medicaid Innovation within CMS to test innovative payment and service delivery models.</w:t>
      </w:r>
    </w:p>
    <w:p>
      <w:pPr>
        <w:spacing w:after="0" w:line="202"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In addition, other legislative changes have been proposed and adopted since the PPACA was enacted. These changes included aggregate reductions to Medicare payments to providers of up to 2% per fiscal year, starting in 2013.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w:t>
      </w:r>
    </w:p>
    <w:p>
      <w:pPr>
        <w:spacing w:after="0" w:line="188"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color w:val="auto"/>
        </w:rPr>
        <w:t>We expect that the PPACA,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71" w:lineRule="exact"/>
        <w:rPr>
          <w:sz w:val="20"/>
          <w:szCs w:val="20"/>
          <w:color w:val="auto"/>
        </w:rPr>
      </w:pPr>
    </w:p>
    <w:p>
      <w:pPr>
        <w:ind w:right="800" w:firstLine="518"/>
        <w:spacing w:after="0" w:line="286" w:lineRule="auto"/>
        <w:rPr>
          <w:sz w:val="20"/>
          <w:szCs w:val="20"/>
          <w:color w:val="auto"/>
        </w:rPr>
      </w:pPr>
      <w:r>
        <w:rPr>
          <w:rFonts w:ascii="Arial" w:cs="Arial" w:eastAsia="Arial" w:hAnsi="Arial"/>
          <w:sz w:val="17"/>
          <w:szCs w:val="17"/>
          <w:color w:val="auto"/>
        </w:rPr>
        <w:t>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w:t>
      </w: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53" w:name="page54"/>
    <w:bookmarkEnd w:id="53"/>
    <w:p>
      <w:pPr>
        <w:ind w:right="300"/>
        <w:spacing w:after="0" w:line="308" w:lineRule="auto"/>
        <w:rPr>
          <w:sz w:val="20"/>
          <w:szCs w:val="20"/>
          <w:color w:val="auto"/>
        </w:rPr>
      </w:pPr>
      <w:r>
        <w:rPr>
          <w:rFonts w:ascii="Arial" w:cs="Arial" w:eastAsia="Arial" w:hAnsi="Arial"/>
          <w:sz w:val="17"/>
          <w:szCs w:val="17"/>
          <w:color w:val="auto"/>
        </w:rPr>
        <w:t>candidates, if any, may be. In addition, increased scrutiny by the United States Congress of the FDA’s approval process may significantly delay or prevent marketing approval, as well as subject us to more stringent product labeling and post-marketing testing and other requirements.</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Governments outside the United States tend to impose strict price controls, which may adversely affect our revenues from the sales of our products,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any.</w:t>
      </w:r>
    </w:p>
    <w:p>
      <w:pPr>
        <w:spacing w:after="0" w:line="211"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In some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 possibly materially.</w:t>
      </w:r>
    </w:p>
    <w:p>
      <w:pPr>
        <w:spacing w:after="0" w:line="188"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b w:val="1"/>
          <w:bCs w:val="1"/>
          <w:i w:val="1"/>
          <w:iCs w:val="1"/>
          <w:color w:val="auto"/>
        </w:rPr>
        <w:t>Our employees and consultants may engage in misconduct or other improper activities, including non-compliance with regulatory standards and requirements, which could cause significant liability for us and harm our reputation.</w:t>
      </w:r>
    </w:p>
    <w:p>
      <w:pPr>
        <w:spacing w:after="0" w:line="170"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We are exposed to the risk of fraud or other misconduct by our employees or consultants, including intentional failures to comply with FDA regulations or similar regulations of comparable non-U.S. regulatory authorities, provide accurate information to the FDA or comparable non-U.S. regulatory authorities, comply with manufacturing standards we have established, comply with federal and state healthcare fraud and abuse laws and regulations and similar laws and regulations established and enforced by comparable non-U.S. regulatory authorities, report financial information or data accurately or disclose unauthorized activities to us. Misconduct by employees or consultants could also involve the improper use of information obtained in the course of clinical trials,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178"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170"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65"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Managing Growth</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225" w:lineRule="exact"/>
        <w:rPr>
          <w:sz w:val="20"/>
          <w:szCs w:val="20"/>
          <w:color w:val="auto"/>
        </w:rPr>
      </w:pPr>
    </w:p>
    <w:p>
      <w:pPr>
        <w:ind w:right="220" w:firstLine="518"/>
        <w:spacing w:after="0" w:line="259" w:lineRule="auto"/>
        <w:rPr>
          <w:sz w:val="20"/>
          <w:szCs w:val="20"/>
          <w:color w:val="auto"/>
        </w:rPr>
      </w:pPr>
      <w:r>
        <w:rPr>
          <w:rFonts w:ascii="Arial" w:cs="Arial" w:eastAsia="Arial" w:hAnsi="Arial"/>
          <w:sz w:val="18"/>
          <w:szCs w:val="18"/>
          <w:color w:val="auto"/>
        </w:rPr>
        <w:t>We are highly dependent on Christopher Guiffre, our President and Chief Executive Officer, as well as the other members of our executive and scientific teams. The loss of any of these persons could impede the achievement of our goals. Although we have formal employment agreements with Mr. Guiffre and other officers of the company, these agreements do not prevent any one of them from terminating their employment with us at any time. We do not maintain “key person” insurance for any of our executives or other employees.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4" w:name="page55"/>
    <w:bookmarkEnd w:id="54"/>
    <w:p>
      <w:pPr>
        <w:ind w:firstLine="518"/>
        <w:spacing w:after="0" w:line="270" w:lineRule="auto"/>
        <w:rPr>
          <w:sz w:val="20"/>
          <w:szCs w:val="20"/>
          <w:color w:val="auto"/>
        </w:rPr>
      </w:pPr>
      <w:r>
        <w:rPr>
          <w:rFonts w:ascii="Arial" w:cs="Arial" w:eastAsia="Arial" w:hAnsi="Arial"/>
          <w:sz w:val="17"/>
          <w:szCs w:val="17"/>
          <w:color w:val="auto"/>
        </w:rPr>
        <w:t>Recruiting and retaining qualified scientific, clinical, manufacturing, finance and sales and marketing personnel will also be critical to our success. The loss of the services of key employees could impede the achievement of our research, development and commercialization objectives and seriously harm our ability to successfully implement our business strategy. Furthermore, replacing executive officers and key employees, including, for example, finance and clinical personnel,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w:t>
      </w:r>
    </w:p>
    <w:p>
      <w:pPr>
        <w:spacing w:after="0" w:line="178"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b w:val="1"/>
          <w:bCs w:val="1"/>
          <w:i w:val="1"/>
          <w:iCs w:val="1"/>
          <w:color w:val="auto"/>
        </w:rPr>
        <w:t>We have recently reduced the size of our organization, and we may encounter difficulties in managing our business as a result of this reduction, or the attrition that may occur following this reduction, which could disrupt our operations. In addition, we may not achieve anticipated benefits and savings from the reduction.</w:t>
      </w:r>
    </w:p>
    <w:p>
      <w:pPr>
        <w:spacing w:after="0" w:line="181" w:lineRule="exact"/>
        <w:rPr>
          <w:sz w:val="20"/>
          <w:szCs w:val="20"/>
          <w:color w:val="auto"/>
        </w:rPr>
      </w:pPr>
    </w:p>
    <w:p>
      <w:pPr>
        <w:ind w:right="60" w:firstLine="761"/>
        <w:spacing w:after="0" w:line="257" w:lineRule="auto"/>
        <w:rPr>
          <w:sz w:val="20"/>
          <w:szCs w:val="20"/>
          <w:color w:val="auto"/>
        </w:rPr>
      </w:pPr>
      <w:r>
        <w:rPr>
          <w:rFonts w:ascii="Arial" w:cs="Arial" w:eastAsia="Arial" w:hAnsi="Arial"/>
          <w:sz w:val="18"/>
          <w:szCs w:val="18"/>
          <w:color w:val="auto"/>
        </w:rPr>
        <w:t>In August 2016, we implemented a reduction in force that reduced the number of our employees by approximately 48% and included departures of members of our management. The reduction in force resulted in the loss of employees across all functions, the loss of institutional knowledge and expertise and the reallocation and combination of certain of roles and responsibilities across our organization, all of which could adversely affect our operations. In addition, as with any reduction in force, there is a risk of reduced employee morale and we may face difficulties retaining employees that we have asked to stay, which could result in further attrition.</w:t>
      </w:r>
    </w:p>
    <w:p>
      <w:pPr>
        <w:spacing w:after="0" w:line="188" w:lineRule="exact"/>
        <w:rPr>
          <w:sz w:val="20"/>
          <w:szCs w:val="20"/>
          <w:color w:val="auto"/>
        </w:rPr>
      </w:pPr>
    </w:p>
    <w:p>
      <w:pPr>
        <w:ind w:right="20" w:firstLine="761"/>
        <w:spacing w:after="0" w:line="270" w:lineRule="auto"/>
        <w:rPr>
          <w:sz w:val="20"/>
          <w:szCs w:val="20"/>
          <w:color w:val="auto"/>
        </w:rPr>
      </w:pPr>
      <w:r>
        <w:rPr>
          <w:rFonts w:ascii="Arial" w:cs="Arial" w:eastAsia="Arial" w:hAnsi="Arial"/>
          <w:sz w:val="17"/>
          <w:szCs w:val="17"/>
          <w:color w:val="auto"/>
        </w:rPr>
        <w:t>We must continue to manage our operations and retain qualified personnel, each of which will be made more challenging by the reduction in force. As a result, our management may need to divert a disproportionate amount of its attention away from our day-to-day strategic and operational activities, and devote a substantial amount of time to managing the organizational changes brought about by the reduction in force. Due to our limited resources, we may not be able to effectively manage the changes in our business operations resulting from the reduction in force, which may result in weaknesses in our operations, risks that we may not be able to comply with legal and regulatory requirements, loss of business opportunities, loss of employees and reduced productivity among remaining employees. If our management is unable to effectively manage this transition, our expenses may be higher than expected, and we may not be able to implement our business strategy or achieve the anticipated benefits and savings from the reduction in force. We may also determine to take additional measures to reduce costs, which could result in further disruptions to our operations and present additional challenges to the effective management of our company.</w:t>
      </w:r>
    </w:p>
    <w:p>
      <w:pPr>
        <w:spacing w:after="0" w:line="182"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b w:val="1"/>
          <w:bCs w:val="1"/>
          <w:i w:val="1"/>
          <w:iCs w:val="1"/>
          <w:color w:val="auto"/>
        </w:rPr>
        <w:t>Should we expand our development and regulatory capabilities and potentially implement sales, marketing and distribution capabilities, then as a result, we may encounter difficulties in managing our growth, which could disrupt our operations.</w:t>
      </w:r>
    </w:p>
    <w:p>
      <w:pPr>
        <w:spacing w:after="0" w:line="170" w:lineRule="exact"/>
        <w:rPr>
          <w:sz w:val="20"/>
          <w:szCs w:val="20"/>
          <w:color w:val="auto"/>
        </w:rPr>
      </w:pPr>
    </w:p>
    <w:p>
      <w:pPr>
        <w:ind w:right="220" w:firstLine="518"/>
        <w:spacing w:after="0" w:line="255" w:lineRule="auto"/>
        <w:rPr>
          <w:sz w:val="20"/>
          <w:szCs w:val="20"/>
          <w:color w:val="auto"/>
        </w:rPr>
      </w:pPr>
      <w:r>
        <w:rPr>
          <w:rFonts w:ascii="Arial" w:cs="Arial" w:eastAsia="Arial" w:hAnsi="Arial"/>
          <w:sz w:val="18"/>
          <w:szCs w:val="18"/>
          <w:color w:val="auto"/>
        </w:rPr>
        <w:t>Should we experience significant growth in the number of our employees and the scope of our operations, particularly in the areas of drug development, regulatory affairs and, if any of our product candidates receives marketing approval, sales, marketing and distribution, then to manage such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potential growth, we may not be able to do so effectively. The potential expansion of our operations may lead to significant costs and may divert our management and business development resources. Any inability to manage growth could delay the execution of our business plans or disrupt our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market price of our common stock has been and may in the future be volatile and fluctuate substantially.</w:t>
      </w:r>
    </w:p>
    <w:p>
      <w:pPr>
        <w:spacing w:after="0" w:line="225" w:lineRule="exact"/>
        <w:rPr>
          <w:sz w:val="20"/>
          <w:szCs w:val="20"/>
          <w:color w:val="auto"/>
        </w:rPr>
      </w:pPr>
    </w:p>
    <w:p>
      <w:pPr>
        <w:ind w:right="140" w:firstLine="518"/>
        <w:spacing w:after="0" w:line="279" w:lineRule="auto"/>
        <w:rPr>
          <w:sz w:val="20"/>
          <w:szCs w:val="20"/>
          <w:color w:val="auto"/>
        </w:rPr>
      </w:pPr>
      <w:r>
        <w:rPr>
          <w:rFonts w:ascii="Arial" w:cs="Arial" w:eastAsia="Arial" w:hAnsi="Arial"/>
          <w:sz w:val="17"/>
          <w:szCs w:val="17"/>
          <w:color w:val="auto"/>
        </w:rPr>
        <w:t>Our stock price has been and may in the future be volatile. From April 10, 2014 to September 30, 2016, the closing price of our common stock as reported by the NASDAQ Global Market ranged from a high of $10.66 per share to a low of $0.94 per share. The stock market in general and the market for biopharmaceutical companies in particular have experienced extreme volatility that has often been unrelated to the operating performance of particular companies. The market price for our common stock may be influenced by many factors, including:</w:t>
      </w:r>
    </w:p>
    <w:p>
      <w:pPr>
        <w:spacing w:after="0" w:line="63" w:lineRule="exact"/>
        <w:rPr>
          <w:sz w:val="20"/>
          <w:szCs w:val="20"/>
          <w:color w:val="auto"/>
        </w:rPr>
      </w:pPr>
    </w:p>
    <w:p>
      <w:pPr>
        <w:ind w:left="1040" w:right="500" w:hanging="519"/>
        <w:spacing w:after="0" w:line="198" w:lineRule="auto"/>
        <w:tabs>
          <w:tab w:leader="none" w:pos="1040" w:val="left"/>
        </w:tabs>
        <w:numPr>
          <w:ilvl w:val="0"/>
          <w:numId w:val="39"/>
        </w:numPr>
        <w:rPr>
          <w:rFonts w:ascii="Arial" w:cs="Arial" w:eastAsia="Arial" w:hAnsi="Arial"/>
          <w:sz w:val="29"/>
          <w:szCs w:val="29"/>
          <w:color w:val="auto"/>
          <w:vertAlign w:val="superscript"/>
        </w:rPr>
      </w:pPr>
      <w:r>
        <w:rPr>
          <w:rFonts w:ascii="Arial" w:cs="Arial" w:eastAsia="Arial" w:hAnsi="Arial"/>
          <w:sz w:val="18"/>
          <w:szCs w:val="18"/>
          <w:color w:val="auto"/>
        </w:rPr>
        <w:t>actual or anticipated results from, and any delays in, our clinical trials of CRLX101 or CRLX301, as well as results of regulatory reviews relating to the approval of our product candidates;</w:t>
      </w:r>
    </w:p>
    <w:p>
      <w:pPr>
        <w:ind w:left="1040" w:hanging="519"/>
        <w:spacing w:after="0" w:line="233" w:lineRule="auto"/>
        <w:tabs>
          <w:tab w:leader="none" w:pos="1040" w:val="left"/>
        </w:tabs>
        <w:numPr>
          <w:ilvl w:val="0"/>
          <w:numId w:val="39"/>
        </w:numPr>
        <w:rPr>
          <w:rFonts w:ascii="Arial" w:cs="Arial" w:eastAsia="Arial" w:hAnsi="Arial"/>
          <w:sz w:val="29"/>
          <w:szCs w:val="29"/>
          <w:color w:val="auto"/>
          <w:vertAlign w:val="superscript"/>
        </w:rPr>
      </w:pPr>
      <w:r>
        <w:rPr>
          <w:rFonts w:ascii="Arial" w:cs="Arial" w:eastAsia="Arial" w:hAnsi="Arial"/>
          <w:sz w:val="18"/>
          <w:szCs w:val="18"/>
          <w:color w:val="auto"/>
        </w:rPr>
        <w:t>the results of our efforts to discover, develop, acquire or in-license additional product candidates or products;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5" w:name="page56"/>
    <w:bookmarkEnd w:id="55"/>
    <w:p>
      <w:pPr>
        <w:ind w:left="1040" w:hanging="519"/>
        <w:spacing w:after="0"/>
        <w:tabs>
          <w:tab w:leader="none" w:pos="1040" w:val="left"/>
        </w:tabs>
        <w:numPr>
          <w:ilvl w:val="0"/>
          <w:numId w:val="40"/>
        </w:numPr>
        <w:rPr>
          <w:rFonts w:ascii="Arial" w:cs="Arial" w:eastAsia="Arial" w:hAnsi="Arial"/>
          <w:sz w:val="29"/>
          <w:szCs w:val="29"/>
          <w:color w:val="auto"/>
          <w:vertAlign w:val="superscript"/>
        </w:rPr>
      </w:pPr>
      <w:r>
        <w:rPr>
          <w:rFonts w:ascii="Arial" w:cs="Arial" w:eastAsia="Arial" w:hAnsi="Arial"/>
          <w:sz w:val="18"/>
          <w:szCs w:val="18"/>
          <w:color w:val="auto"/>
        </w:rPr>
        <w:t>failure or discontinuation of any of our development programs;</w:t>
      </w:r>
    </w:p>
    <w:p>
      <w:pPr>
        <w:spacing w:after="0" w:line="109" w:lineRule="exact"/>
        <w:rPr>
          <w:rFonts w:ascii="Arial" w:cs="Arial" w:eastAsia="Arial" w:hAnsi="Arial"/>
          <w:sz w:val="29"/>
          <w:szCs w:val="29"/>
          <w:color w:val="auto"/>
          <w:vertAlign w:val="superscript"/>
        </w:rPr>
      </w:pPr>
    </w:p>
    <w:p>
      <w:pPr>
        <w:ind w:left="1040" w:hanging="519"/>
        <w:spacing w:after="0" w:line="186" w:lineRule="auto"/>
        <w:tabs>
          <w:tab w:leader="none" w:pos="1040" w:val="left"/>
        </w:tabs>
        <w:numPr>
          <w:ilvl w:val="0"/>
          <w:numId w:val="40"/>
        </w:numPr>
        <w:rPr>
          <w:rFonts w:ascii="Arial" w:cs="Arial" w:eastAsia="Arial" w:hAnsi="Arial"/>
          <w:sz w:val="24"/>
          <w:szCs w:val="24"/>
          <w:color w:val="auto"/>
          <w:vertAlign w:val="superscript"/>
        </w:rPr>
      </w:pPr>
      <w:r>
        <w:rPr>
          <w:rFonts w:ascii="Arial" w:cs="Arial" w:eastAsia="Arial" w:hAnsi="Arial"/>
          <w:sz w:val="15"/>
          <w:szCs w:val="15"/>
          <w:color w:val="auto"/>
        </w:rPr>
        <w:t>the level of expenses related to any of our product candidates or clinical development programs;</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40"/>
        </w:numPr>
        <w:rPr>
          <w:rFonts w:ascii="Arial" w:cs="Arial" w:eastAsia="Arial" w:hAnsi="Arial"/>
          <w:sz w:val="24"/>
          <w:szCs w:val="24"/>
          <w:color w:val="auto"/>
          <w:vertAlign w:val="superscript"/>
        </w:rPr>
      </w:pPr>
      <w:r>
        <w:rPr>
          <w:rFonts w:ascii="Arial" w:cs="Arial" w:eastAsia="Arial" w:hAnsi="Arial"/>
          <w:sz w:val="15"/>
          <w:szCs w:val="15"/>
          <w:color w:val="auto"/>
        </w:rPr>
        <w:t>commencement or termination of any collaboration or licensing arrangement;</w:t>
      </w:r>
    </w:p>
    <w:p>
      <w:pPr>
        <w:spacing w:after="0" w:line="110" w:lineRule="exact"/>
        <w:rPr>
          <w:rFonts w:ascii="Arial" w:cs="Arial" w:eastAsia="Arial" w:hAnsi="Arial"/>
          <w:sz w:val="24"/>
          <w:szCs w:val="24"/>
          <w:color w:val="auto"/>
          <w:vertAlign w:val="superscript"/>
        </w:rPr>
      </w:pPr>
    </w:p>
    <w:p>
      <w:pPr>
        <w:ind w:left="1040" w:right="120" w:hanging="519"/>
        <w:spacing w:after="0" w:line="191" w:lineRule="auto"/>
        <w:tabs>
          <w:tab w:leader="none" w:pos="1040" w:val="left"/>
        </w:tabs>
        <w:numPr>
          <w:ilvl w:val="0"/>
          <w:numId w:val="40"/>
        </w:numPr>
        <w:rPr>
          <w:rFonts w:ascii="Arial" w:cs="Arial" w:eastAsia="Arial" w:hAnsi="Arial"/>
          <w:sz w:val="29"/>
          <w:szCs w:val="29"/>
          <w:color w:val="auto"/>
          <w:vertAlign w:val="superscript"/>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2" w:lineRule="exact"/>
        <w:rPr>
          <w:rFonts w:ascii="Arial" w:cs="Arial" w:eastAsia="Arial" w:hAnsi="Arial"/>
          <w:sz w:val="29"/>
          <w:szCs w:val="29"/>
          <w:color w:val="auto"/>
          <w:vertAlign w:val="superscript"/>
        </w:rPr>
      </w:pPr>
    </w:p>
    <w:p>
      <w:pPr>
        <w:ind w:left="1040" w:hanging="519"/>
        <w:spacing w:after="0"/>
        <w:tabs>
          <w:tab w:leader="none" w:pos="1040" w:val="left"/>
        </w:tabs>
        <w:numPr>
          <w:ilvl w:val="0"/>
          <w:numId w:val="40"/>
        </w:numPr>
        <w:rPr>
          <w:rFonts w:ascii="Arial" w:cs="Arial" w:eastAsia="Arial" w:hAnsi="Arial"/>
          <w:sz w:val="28"/>
          <w:szCs w:val="28"/>
          <w:color w:val="auto"/>
          <w:vertAlign w:val="superscript"/>
        </w:rPr>
      </w:pPr>
      <w:r>
        <w:rPr>
          <w:rFonts w:ascii="Arial" w:cs="Arial" w:eastAsia="Arial" w:hAnsi="Arial"/>
          <w:sz w:val="17"/>
          <w:szCs w:val="17"/>
          <w:color w:val="auto"/>
        </w:rPr>
        <w:t>announcements by us or our competitors of significant acquisitions, strategic partnerships, joint ventures and capital commitments;</w:t>
      </w:r>
    </w:p>
    <w:p>
      <w:pPr>
        <w:spacing w:after="0" w:line="109" w:lineRule="exact"/>
        <w:rPr>
          <w:rFonts w:ascii="Arial" w:cs="Arial" w:eastAsia="Arial" w:hAnsi="Arial"/>
          <w:sz w:val="28"/>
          <w:szCs w:val="28"/>
          <w:color w:val="auto"/>
          <w:vertAlign w:val="superscript"/>
        </w:rPr>
      </w:pPr>
    </w:p>
    <w:p>
      <w:pPr>
        <w:ind w:left="1040" w:hanging="519"/>
        <w:spacing w:after="0" w:line="186" w:lineRule="auto"/>
        <w:tabs>
          <w:tab w:leader="none" w:pos="1040" w:val="left"/>
        </w:tabs>
        <w:numPr>
          <w:ilvl w:val="0"/>
          <w:numId w:val="40"/>
        </w:numPr>
        <w:rPr>
          <w:rFonts w:ascii="Arial" w:cs="Arial" w:eastAsia="Arial" w:hAnsi="Arial"/>
          <w:sz w:val="24"/>
          <w:szCs w:val="24"/>
          <w:color w:val="auto"/>
          <w:vertAlign w:val="superscript"/>
        </w:rPr>
      </w:pPr>
      <w:r>
        <w:rPr>
          <w:rFonts w:ascii="Arial" w:cs="Arial" w:eastAsia="Arial" w:hAnsi="Arial"/>
          <w:sz w:val="15"/>
          <w:szCs w:val="15"/>
          <w:color w:val="auto"/>
        </w:rPr>
        <w:t>additions or departures of key scientific or management personnel;</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40"/>
        </w:numPr>
        <w:rPr>
          <w:rFonts w:ascii="Arial" w:cs="Arial" w:eastAsia="Arial" w:hAnsi="Arial"/>
          <w:sz w:val="24"/>
          <w:szCs w:val="24"/>
          <w:color w:val="auto"/>
          <w:vertAlign w:val="superscript"/>
        </w:rPr>
      </w:pPr>
      <w:r>
        <w:rPr>
          <w:rFonts w:ascii="Arial" w:cs="Arial" w:eastAsia="Arial" w:hAnsi="Arial"/>
          <w:sz w:val="15"/>
          <w:szCs w:val="15"/>
          <w:color w:val="auto"/>
        </w:rPr>
        <w:t>variations in our financial results or those of companies that are perceived to be similar to us;</w:t>
      </w:r>
    </w:p>
    <w:p>
      <w:pPr>
        <w:spacing w:after="0" w:line="110" w:lineRule="exact"/>
        <w:rPr>
          <w:rFonts w:ascii="Arial" w:cs="Arial" w:eastAsia="Arial" w:hAnsi="Arial"/>
          <w:sz w:val="24"/>
          <w:szCs w:val="24"/>
          <w:color w:val="auto"/>
          <w:vertAlign w:val="superscript"/>
        </w:rPr>
      </w:pPr>
    </w:p>
    <w:p>
      <w:pPr>
        <w:ind w:left="1040" w:right="540" w:hanging="519"/>
        <w:spacing w:after="0" w:line="191" w:lineRule="auto"/>
        <w:tabs>
          <w:tab w:leader="none" w:pos="1040" w:val="left"/>
        </w:tabs>
        <w:numPr>
          <w:ilvl w:val="0"/>
          <w:numId w:val="40"/>
        </w:numPr>
        <w:rPr>
          <w:rFonts w:ascii="Arial" w:cs="Arial" w:eastAsia="Arial" w:hAnsi="Arial"/>
          <w:sz w:val="29"/>
          <w:szCs w:val="29"/>
          <w:color w:val="auto"/>
          <w:vertAlign w:val="superscript"/>
        </w:rPr>
      </w:pPr>
      <w:r>
        <w:rPr>
          <w:rFonts w:ascii="Arial" w:cs="Arial" w:eastAsia="Arial" w:hAnsi="Arial"/>
          <w:sz w:val="18"/>
          <w:szCs w:val="18"/>
          <w:color w:val="auto"/>
        </w:rPr>
        <w:t>new products, product candidates or new uses for existing products introduced or announced by our competitors, and the timing of these introductions or announcements;</w:t>
      </w:r>
    </w:p>
    <w:p>
      <w:pPr>
        <w:ind w:left="1040" w:hanging="519"/>
        <w:spacing w:after="0" w:line="233" w:lineRule="auto"/>
        <w:tabs>
          <w:tab w:leader="none" w:pos="1040" w:val="left"/>
        </w:tabs>
        <w:numPr>
          <w:ilvl w:val="0"/>
          <w:numId w:val="40"/>
        </w:numPr>
        <w:rPr>
          <w:rFonts w:ascii="Arial" w:cs="Arial" w:eastAsia="Arial" w:hAnsi="Arial"/>
          <w:sz w:val="29"/>
          <w:szCs w:val="29"/>
          <w:color w:val="auto"/>
          <w:vertAlign w:val="superscript"/>
        </w:rPr>
      </w:pPr>
      <w:r>
        <w:rPr>
          <w:rFonts w:ascii="Arial" w:cs="Arial" w:eastAsia="Arial" w:hAnsi="Arial"/>
          <w:sz w:val="18"/>
          <w:szCs w:val="18"/>
          <w:color w:val="auto"/>
        </w:rPr>
        <w:t>results of clinical trials of product candidates of our competitors;</w:t>
      </w:r>
    </w:p>
    <w:p>
      <w:pPr>
        <w:spacing w:after="0" w:line="110" w:lineRule="exact"/>
        <w:rPr>
          <w:rFonts w:ascii="Arial" w:cs="Arial" w:eastAsia="Arial" w:hAnsi="Arial"/>
          <w:sz w:val="29"/>
          <w:szCs w:val="29"/>
          <w:color w:val="auto"/>
          <w:vertAlign w:val="superscript"/>
        </w:rPr>
      </w:pPr>
    </w:p>
    <w:p>
      <w:pPr>
        <w:ind w:left="1040" w:right="100" w:hanging="519"/>
        <w:spacing w:after="0" w:line="191" w:lineRule="auto"/>
        <w:tabs>
          <w:tab w:leader="none" w:pos="1040" w:val="left"/>
        </w:tabs>
        <w:numPr>
          <w:ilvl w:val="0"/>
          <w:numId w:val="40"/>
        </w:numPr>
        <w:rPr>
          <w:rFonts w:ascii="Arial" w:cs="Arial" w:eastAsia="Arial" w:hAnsi="Arial"/>
          <w:sz w:val="29"/>
          <w:szCs w:val="29"/>
          <w:color w:val="auto"/>
          <w:vertAlign w:val="superscript"/>
        </w:rPr>
      </w:pPr>
      <w:r>
        <w:rPr>
          <w:rFonts w:ascii="Arial" w:cs="Arial" w:eastAsia="Arial" w:hAnsi="Arial"/>
          <w:sz w:val="18"/>
          <w:szCs w:val="18"/>
          <w:color w:val="auto"/>
        </w:rPr>
        <w:t>general economic and market conditions and other factors that may be unrelated to our operating performance or the operating performance of our competitors, including changes in market valuations of similar companies;</w:t>
      </w:r>
    </w:p>
    <w:p>
      <w:pPr>
        <w:ind w:left="1040" w:hanging="519"/>
        <w:spacing w:after="0" w:line="233" w:lineRule="auto"/>
        <w:tabs>
          <w:tab w:leader="none" w:pos="1040" w:val="left"/>
        </w:tabs>
        <w:numPr>
          <w:ilvl w:val="0"/>
          <w:numId w:val="40"/>
        </w:numPr>
        <w:rPr>
          <w:rFonts w:ascii="Arial" w:cs="Arial" w:eastAsia="Arial" w:hAnsi="Arial"/>
          <w:sz w:val="29"/>
          <w:szCs w:val="29"/>
          <w:color w:val="auto"/>
          <w:vertAlign w:val="superscript"/>
        </w:rPr>
      </w:pPr>
      <w:r>
        <w:rPr>
          <w:rFonts w:ascii="Arial" w:cs="Arial" w:eastAsia="Arial" w:hAnsi="Arial"/>
          <w:sz w:val="18"/>
          <w:szCs w:val="18"/>
          <w:color w:val="auto"/>
        </w:rPr>
        <w:t>regulatory or legal developments in the United States and other countries;</w:t>
      </w:r>
    </w:p>
    <w:p>
      <w:pPr>
        <w:spacing w:after="0" w:line="110" w:lineRule="exact"/>
        <w:rPr>
          <w:rFonts w:ascii="Arial" w:cs="Arial" w:eastAsia="Arial" w:hAnsi="Arial"/>
          <w:sz w:val="29"/>
          <w:szCs w:val="29"/>
          <w:color w:val="auto"/>
          <w:vertAlign w:val="superscript"/>
        </w:rPr>
      </w:pPr>
    </w:p>
    <w:p>
      <w:pPr>
        <w:ind w:left="1040" w:hanging="519"/>
        <w:spacing w:after="0" w:line="186" w:lineRule="auto"/>
        <w:tabs>
          <w:tab w:leader="none" w:pos="1040" w:val="left"/>
        </w:tabs>
        <w:numPr>
          <w:ilvl w:val="0"/>
          <w:numId w:val="40"/>
        </w:numPr>
        <w:rPr>
          <w:rFonts w:ascii="Arial" w:cs="Arial" w:eastAsia="Arial" w:hAnsi="Arial"/>
          <w:sz w:val="24"/>
          <w:szCs w:val="24"/>
          <w:color w:val="auto"/>
          <w:vertAlign w:val="superscript"/>
        </w:rPr>
      </w:pPr>
      <w:r>
        <w:rPr>
          <w:rFonts w:ascii="Arial" w:cs="Arial" w:eastAsia="Arial" w:hAnsi="Arial"/>
          <w:sz w:val="15"/>
          <w:szCs w:val="15"/>
          <w:color w:val="auto"/>
        </w:rPr>
        <w:t>changes in the structure of healthcare payment systems;</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40"/>
        </w:numPr>
        <w:rPr>
          <w:rFonts w:ascii="Arial" w:cs="Arial" w:eastAsia="Arial" w:hAnsi="Arial"/>
          <w:sz w:val="24"/>
          <w:szCs w:val="24"/>
          <w:color w:val="auto"/>
          <w:vertAlign w:val="superscript"/>
        </w:rPr>
      </w:pPr>
      <w:r>
        <w:rPr>
          <w:rFonts w:ascii="Arial" w:cs="Arial" w:eastAsia="Arial" w:hAnsi="Arial"/>
          <w:sz w:val="15"/>
          <w:szCs w:val="15"/>
          <w:color w:val="auto"/>
        </w:rPr>
        <w:t>conditions or trends in the biotechnology and biopharmaceutical industries;</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40"/>
        </w:numPr>
        <w:rPr>
          <w:rFonts w:ascii="Arial" w:cs="Arial" w:eastAsia="Arial" w:hAnsi="Arial"/>
          <w:sz w:val="24"/>
          <w:szCs w:val="24"/>
          <w:color w:val="auto"/>
          <w:vertAlign w:val="superscript"/>
        </w:rPr>
      </w:pPr>
      <w:r>
        <w:rPr>
          <w:rFonts w:ascii="Arial" w:cs="Arial" w:eastAsia="Arial" w:hAnsi="Arial"/>
          <w:sz w:val="15"/>
          <w:szCs w:val="15"/>
          <w:color w:val="auto"/>
        </w:rPr>
        <w:t>actual or anticipated changes in earnings estimates, development timelines or recommendations by securities analysts;</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40"/>
        </w:numPr>
        <w:rPr>
          <w:rFonts w:ascii="Arial" w:cs="Arial" w:eastAsia="Arial" w:hAnsi="Arial"/>
          <w:sz w:val="24"/>
          <w:szCs w:val="24"/>
          <w:color w:val="auto"/>
          <w:vertAlign w:val="superscript"/>
        </w:rPr>
      </w:pPr>
      <w:r>
        <w:rPr>
          <w:rFonts w:ascii="Arial" w:cs="Arial" w:eastAsia="Arial" w:hAnsi="Arial"/>
          <w:sz w:val="15"/>
          <w:szCs w:val="15"/>
          <w:color w:val="auto"/>
        </w:rPr>
        <w:t>announcement or expectation of additional financing efforts;</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40"/>
        </w:numPr>
        <w:rPr>
          <w:rFonts w:ascii="Arial" w:cs="Arial" w:eastAsia="Arial" w:hAnsi="Arial"/>
          <w:sz w:val="24"/>
          <w:szCs w:val="24"/>
          <w:color w:val="auto"/>
          <w:vertAlign w:val="superscript"/>
        </w:rPr>
      </w:pPr>
      <w:r>
        <w:rPr>
          <w:rFonts w:ascii="Arial" w:cs="Arial" w:eastAsia="Arial" w:hAnsi="Arial"/>
          <w:sz w:val="15"/>
          <w:szCs w:val="15"/>
          <w:color w:val="auto"/>
        </w:rPr>
        <w:t>sales of common stock by us or our stockholders in the future, as well as the overall trading volume of our common stock; and</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40"/>
        </w:numPr>
        <w:rPr>
          <w:rFonts w:ascii="Arial" w:cs="Arial" w:eastAsia="Arial" w:hAnsi="Arial"/>
          <w:sz w:val="24"/>
          <w:szCs w:val="24"/>
          <w:color w:val="auto"/>
          <w:vertAlign w:val="superscript"/>
        </w:rPr>
      </w:pPr>
      <w:r>
        <w:rPr>
          <w:rFonts w:ascii="Arial" w:cs="Arial" w:eastAsia="Arial" w:hAnsi="Arial"/>
          <w:sz w:val="15"/>
          <w:szCs w:val="15"/>
          <w:color w:val="auto"/>
        </w:rPr>
        <w:t>the other factors described in this “Risk Factors” section.</w:t>
      </w:r>
    </w:p>
    <w:p>
      <w:pPr>
        <w:spacing w:after="0" w:line="202"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In addition, the stock market in general and the market for biotechnology and biopharmaceutical companies in particular have experienced extreme price and volume fluctuations that have often been unrelated or disproportionate to the operating performance of those companies. These broad market and industry factors may seriously harm the market price of our common stock, regardless of our operating performance. In the past, following periods of volatility in companies’ stock prices, securities class-action litigation has often been instituted against such companies. Such litigation, if instituted against us, could result in substantial costs and diversion of management’s attention and resources, which could materially and adversely affect our business and financial condition.</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225" w:lineRule="exact"/>
        <w:rPr>
          <w:sz w:val="20"/>
          <w:szCs w:val="20"/>
          <w:color w:val="auto"/>
        </w:rPr>
      </w:pPr>
    </w:p>
    <w:p>
      <w:pPr>
        <w:ind w:right="100" w:firstLine="518"/>
        <w:spacing w:after="0" w:line="276" w:lineRule="auto"/>
        <w:rPr>
          <w:sz w:val="20"/>
          <w:szCs w:val="20"/>
          <w:color w:val="auto"/>
        </w:rPr>
      </w:pPr>
      <w:r>
        <w:rPr>
          <w:rFonts w:ascii="Arial" w:cs="Arial" w:eastAsia="Arial" w:hAnsi="Arial"/>
          <w:sz w:val="17"/>
          <w:szCs w:val="17"/>
          <w:color w:val="auto"/>
        </w:rPr>
        <w:t>Although we have listed our common stock on The NASDAQ Global Market, an active trading market for our shares may not be sustained. In the absence of an active trading market for our common stock, it may be difficult for our stockholders to sell their shares without depressing the market price for the shares or sell their shares at or above the prices at which they acquired their shares or sell their shares at the times they would like to sell. An inactive trading market for our common stock may also impair our ability to raise capital to continue to fund our operations by selling shares and may impair our ability to acquire other companies or technologies by using our shares as consideration.</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If we were to be delisted from The NASDAQ Global Market, it could reduce the visibility, liquidity and price of our common stock.</w:t>
      </w:r>
    </w:p>
    <w:p>
      <w:pPr>
        <w:spacing w:after="0" w:line="237"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There are various quantitative listing requirements for a company to remain listed on The NASDAQ Global Market, including maintaining a minimum bid price of $1.00 per share. The closing price per share of our common stock from September 1, 2016 to November 1, 2016 ranged from a high of $1.08 to a low of $0.68. If the minimum bid price of our common stock were to fall below $1.00 per share for 30 consecutive business days, we would likely receive notification from The NASDAQ Global Market that we were not in compliance with the $1.00 minimum bid price rule, in which case we could be subject to delisting from The NASDAQ Global Market if we were unable to regain compliance within a period of 180 calendar days. Delisting from the NASDAQ Global Market could reduce the visibility, liquidity and price of our common stock.</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2" w:right="259" w:bottom="1440" w:gutter="0" w:footer="0" w:header="0"/>
        </w:sectPr>
      </w:pPr>
    </w:p>
    <w:bookmarkStart w:id="56" w:name="page57"/>
    <w:bookmarkEnd w:id="56"/>
    <w:p>
      <w:pPr>
        <w:ind w:right="100" w:firstLine="518"/>
        <w:spacing w:after="0" w:line="277" w:lineRule="auto"/>
        <w:rPr>
          <w:sz w:val="20"/>
          <w:szCs w:val="20"/>
          <w:color w:val="auto"/>
        </w:rPr>
      </w:pPr>
      <w:r>
        <w:rPr>
          <w:rFonts w:ascii="Arial" w:cs="Arial" w:eastAsia="Arial" w:hAnsi="Arial"/>
          <w:sz w:val="18"/>
          <w:szCs w:val="18"/>
          <w:b w:val="1"/>
          <w:bCs w:val="1"/>
          <w:i w:val="1"/>
          <w:iCs w:val="1"/>
          <w:color w:val="auto"/>
        </w:rPr>
        <w:t>Our executive officers and directors and their affiliates own a significant percentage of our stock and will be able to exercise significant influence over matters submitted to stockholders for approval.</w:t>
      </w:r>
    </w:p>
    <w:p>
      <w:pPr>
        <w:spacing w:after="0" w:line="170" w:lineRule="exact"/>
        <w:rPr>
          <w:sz w:val="20"/>
          <w:szCs w:val="20"/>
          <w:color w:val="auto"/>
        </w:rPr>
      </w:pPr>
    </w:p>
    <w:p>
      <w:pPr>
        <w:ind w:right="380" w:firstLine="518"/>
        <w:spacing w:after="0" w:line="302" w:lineRule="auto"/>
        <w:rPr>
          <w:sz w:val="20"/>
          <w:szCs w:val="20"/>
          <w:color w:val="auto"/>
        </w:rPr>
      </w:pPr>
      <w:r>
        <w:rPr>
          <w:rFonts w:ascii="Arial" w:cs="Arial" w:eastAsia="Arial" w:hAnsi="Arial"/>
          <w:sz w:val="16"/>
          <w:szCs w:val="16"/>
          <w:color w:val="auto"/>
        </w:rPr>
        <w:t>We believe that as of September 30, 2016, our executive officers and directors and their affiliates beneficially owned 22.7% of our outstanding common stock. As a result, if these stockholders were to choose to act together, they would be able to exert a significant degree of influence over matters submitted to our stockholders for approval, as well as our management and affairs. For example, these persons, if they choose to act together, would substantially influence the election of directors and approval of any merger, consolidation or sale of all or substantially all of our assets.</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This concentration of ownership could:</w:t>
      </w:r>
    </w:p>
    <w:p>
      <w:pPr>
        <w:spacing w:after="0" w:line="14" w:lineRule="exact"/>
        <w:rPr>
          <w:sz w:val="20"/>
          <w:szCs w:val="20"/>
          <w:color w:val="auto"/>
        </w:rPr>
      </w:pPr>
    </w:p>
    <w:p>
      <w:pPr>
        <w:ind w:left="1040" w:hanging="519"/>
        <w:spacing w:after="0"/>
        <w:tabs>
          <w:tab w:leader="none" w:pos="1040" w:val="left"/>
        </w:tabs>
        <w:numPr>
          <w:ilvl w:val="0"/>
          <w:numId w:val="41"/>
        </w:numPr>
        <w:rPr>
          <w:rFonts w:ascii="Arial" w:cs="Arial" w:eastAsia="Arial" w:hAnsi="Arial"/>
          <w:sz w:val="29"/>
          <w:szCs w:val="29"/>
          <w:color w:val="auto"/>
          <w:vertAlign w:val="superscript"/>
        </w:rPr>
      </w:pPr>
      <w:r>
        <w:rPr>
          <w:rFonts w:ascii="Arial" w:cs="Arial" w:eastAsia="Arial" w:hAnsi="Arial"/>
          <w:sz w:val="18"/>
          <w:szCs w:val="18"/>
          <w:color w:val="auto"/>
        </w:rPr>
        <w:t>delay, defer or prevent a change in control;</w:t>
      </w:r>
    </w:p>
    <w:p>
      <w:pPr>
        <w:spacing w:after="0" w:line="109" w:lineRule="exact"/>
        <w:rPr>
          <w:rFonts w:ascii="Arial" w:cs="Arial" w:eastAsia="Arial" w:hAnsi="Arial"/>
          <w:sz w:val="29"/>
          <w:szCs w:val="29"/>
          <w:color w:val="auto"/>
          <w:vertAlign w:val="superscript"/>
        </w:rPr>
      </w:pPr>
    </w:p>
    <w:p>
      <w:pPr>
        <w:ind w:left="1040" w:hanging="519"/>
        <w:spacing w:after="0" w:line="186" w:lineRule="auto"/>
        <w:tabs>
          <w:tab w:leader="none" w:pos="1040" w:val="left"/>
        </w:tabs>
        <w:numPr>
          <w:ilvl w:val="0"/>
          <w:numId w:val="41"/>
        </w:numPr>
        <w:rPr>
          <w:rFonts w:ascii="Arial" w:cs="Arial" w:eastAsia="Arial" w:hAnsi="Arial"/>
          <w:sz w:val="24"/>
          <w:szCs w:val="24"/>
          <w:color w:val="auto"/>
          <w:vertAlign w:val="superscript"/>
        </w:rPr>
      </w:pPr>
      <w:r>
        <w:rPr>
          <w:rFonts w:ascii="Arial" w:cs="Arial" w:eastAsia="Arial" w:hAnsi="Arial"/>
          <w:sz w:val="15"/>
          <w:szCs w:val="15"/>
          <w:color w:val="auto"/>
        </w:rPr>
        <w:t>entrench our management or board of directors; or</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41"/>
        </w:numPr>
        <w:rPr>
          <w:rFonts w:ascii="Arial" w:cs="Arial" w:eastAsia="Arial" w:hAnsi="Arial"/>
          <w:sz w:val="24"/>
          <w:szCs w:val="24"/>
          <w:color w:val="auto"/>
          <w:vertAlign w:val="superscript"/>
        </w:rPr>
      </w:pPr>
      <w:r>
        <w:rPr>
          <w:rFonts w:ascii="Arial" w:cs="Arial" w:eastAsia="Arial" w:hAnsi="Arial"/>
          <w:sz w:val="15"/>
          <w:szCs w:val="15"/>
          <w:color w:val="auto"/>
        </w:rPr>
        <w:t>impede a merger, consolidation, takeover or other business combination involving us that other stockholders may desire.</w:t>
      </w:r>
    </w:p>
    <w:p>
      <w:pPr>
        <w:spacing w:after="0" w:line="202"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may be sold into the public market at any point, which could cause the market price of our common stock to drop significantly, even if our business is doing well.</w:t>
      </w:r>
    </w:p>
    <w:p>
      <w:pPr>
        <w:spacing w:after="0" w:line="170" w:lineRule="exact"/>
        <w:rPr>
          <w:sz w:val="20"/>
          <w:szCs w:val="20"/>
          <w:color w:val="auto"/>
        </w:rPr>
      </w:pPr>
    </w:p>
    <w:p>
      <w:pPr>
        <w:ind w:right="80" w:firstLine="518"/>
        <w:spacing w:after="0" w:line="302"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in the market that holders of a large number of shares intend to sell shares, could reduce the market price of our common stock. Our outstanding shares of common stock may be freely sold in the public market at any time to the extent permitted by Rules 144 and 701 under the Securities Act of 1933, as amended, which we refer to as the Securities Act, or to the extent such shares have already been registered under the Securities Act and are held by non-affiliates of ours.</w:t>
      </w:r>
    </w:p>
    <w:p>
      <w:pPr>
        <w:spacing w:after="0" w:line="154"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As of September 30, 2016, there were 4,554,153 shares subject to outstanding options. All of these shares under the Securities Act have been registered on a registration statement on Form S-8. These shares can be freely sold in the public market upon exercise, as permitted by any applicable vesting requirements, except to the extent they are held by our affiliates, in which case such shares will become eligible for sale in the public market as permitted by Rule 144 under the Securities Act. Furthermore, as of September 30, 2016, there were 300,564 shares subject to outstanding warrants to purchase common stock. These shares will become eligible for sale in the public market, to the extent such warrants are exercised, as permitted by Rule 144 under the Securities Act. Moreover, holders of approximately 6.3 million shares of our common stock have rights, subject to conditions, to require us to file registration statements covering their shares or to include their shares in registration statements that we may file for ourselves or other stockholders.</w:t>
      </w:r>
    </w:p>
    <w:p>
      <w:pPr>
        <w:spacing w:after="0" w:line="167"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b w:val="1"/>
          <w:bCs w:val="1"/>
          <w:i w:val="1"/>
          <w:iCs w:val="1"/>
          <w:color w:val="auto"/>
        </w:rPr>
        <w:t>The sale of our common stock to Aspire may cause substantial dilution to our existing stockholders and the sale of shares of our common stock acquired by Aspire could cause the price of our common stock to decline.</w:t>
      </w:r>
    </w:p>
    <w:p>
      <w:pPr>
        <w:spacing w:after="0" w:line="170" w:lineRule="exact"/>
        <w:rPr>
          <w:sz w:val="20"/>
          <w:szCs w:val="20"/>
          <w:color w:val="auto"/>
        </w:rPr>
      </w:pPr>
    </w:p>
    <w:p>
      <w:pPr>
        <w:ind w:right="140" w:firstLine="518"/>
        <w:spacing w:after="0" w:line="272" w:lineRule="auto"/>
        <w:rPr>
          <w:sz w:val="20"/>
          <w:szCs w:val="20"/>
          <w:color w:val="auto"/>
        </w:rPr>
      </w:pPr>
      <w:r>
        <w:rPr>
          <w:rFonts w:ascii="Arial" w:cs="Arial" w:eastAsia="Arial" w:hAnsi="Arial"/>
          <w:sz w:val="17"/>
          <w:szCs w:val="17"/>
          <w:color w:val="auto"/>
        </w:rPr>
        <w:t>In October, 2016, we entered into a common stock purchase agreement with Aspire, pursuant to which we have the right to sell up to an aggregate of $20.0 million of our common stock over a 24-month period, at prices based on a formula linked to current market prices at the time of each sale. As of October 31, 2016, $19.0 million remained available for us to sell to Aspire under the facility, upon the terms and subject to the conditions and limitations set forth therein. We have the right to control the timing and amount of sales of our shares to Aspire under the facility. Our sales of shares to Aspire may result in substantial dilution to the interests of other holders of our common stock, and such sales, or the anticipation of such sales, may cause the trading price of our common stock to decline. In addition, Aspire may sell some or all of our shares that it has purchased or may in the future purchase from us under the facility and any such sales may cause the trading price of our common stock to decline.</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have broad discretion in the use of our cash reserves and may not use them effectively.</w:t>
      </w:r>
    </w:p>
    <w:p>
      <w:pPr>
        <w:spacing w:after="0" w:line="225"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color w:val="auto"/>
        </w:rPr>
        <w:t>Our management has broad discretion to use our cash reserves and could use our cash reserves in ways that do not improve our results of operations or enhance the value of our common stock. The failure by our management to apply these funds effectively could result in financial losses and these financial losses could have a material adverse effect on our business, cause the price of our common stock to decline and delay the development of our product candidates. Pending their use, we may invest our cash reserves in a manner that does not produce income or that loses value.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7" w:name="page58"/>
    <w:bookmarkEnd w:id="57"/>
    <w:p>
      <w:pPr>
        <w:ind w:right="600" w:firstLine="518"/>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170" w:lineRule="exact"/>
        <w:rPr>
          <w:sz w:val="20"/>
          <w:szCs w:val="20"/>
          <w:color w:val="auto"/>
        </w:rPr>
      </w:pPr>
    </w:p>
    <w:p>
      <w:pPr>
        <w:ind w:right="20" w:firstLine="518"/>
        <w:spacing w:after="0" w:line="286"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and may remain an emerging growth company through 2019. For so long as we remain an emerging growth company, we are permitted and intend to rely on exemptions from certain disclosure requirements that are applicable to other public companies that are not emerging growth companies. These exemptions include:</w:t>
      </w:r>
    </w:p>
    <w:p>
      <w:pPr>
        <w:ind w:left="1040" w:hanging="519"/>
        <w:spacing w:after="0" w:line="214" w:lineRule="auto"/>
        <w:tabs>
          <w:tab w:leader="none" w:pos="1040" w:val="left"/>
        </w:tabs>
        <w:numPr>
          <w:ilvl w:val="0"/>
          <w:numId w:val="42"/>
        </w:numPr>
        <w:rPr>
          <w:rFonts w:ascii="Arial" w:cs="Arial" w:eastAsia="Arial" w:hAnsi="Arial"/>
          <w:sz w:val="28"/>
          <w:szCs w:val="28"/>
          <w:color w:val="auto"/>
          <w:vertAlign w:val="superscript"/>
        </w:rPr>
      </w:pPr>
      <w:r>
        <w:rPr>
          <w:rFonts w:ascii="Arial" w:cs="Arial" w:eastAsia="Arial" w:hAnsi="Arial"/>
          <w:sz w:val="17"/>
          <w:szCs w:val="17"/>
          <w:color w:val="auto"/>
        </w:rPr>
        <w:t>not being required to comply with the auditor attestation requirements in the assessment of our internal control over financial reporting;</w:t>
      </w:r>
    </w:p>
    <w:p>
      <w:pPr>
        <w:spacing w:after="0" w:line="110" w:lineRule="exact"/>
        <w:rPr>
          <w:rFonts w:ascii="Arial" w:cs="Arial" w:eastAsia="Arial" w:hAnsi="Arial"/>
          <w:sz w:val="28"/>
          <w:szCs w:val="28"/>
          <w:color w:val="auto"/>
          <w:vertAlign w:val="superscript"/>
        </w:rPr>
      </w:pPr>
    </w:p>
    <w:p>
      <w:pPr>
        <w:ind w:left="1040" w:right="620" w:hanging="519"/>
        <w:spacing w:after="0" w:line="207" w:lineRule="auto"/>
        <w:tabs>
          <w:tab w:leader="none" w:pos="1040" w:val="left"/>
        </w:tabs>
        <w:numPr>
          <w:ilvl w:val="0"/>
          <w:numId w:val="42"/>
        </w:numPr>
        <w:rPr>
          <w:rFonts w:ascii="Arial" w:cs="Arial" w:eastAsia="Arial" w:hAnsi="Arial"/>
          <w:sz w:val="29"/>
          <w:szCs w:val="29"/>
          <w:color w:val="auto"/>
          <w:vertAlign w:val="superscript"/>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 w:lineRule="exact"/>
        <w:rPr>
          <w:rFonts w:ascii="Arial" w:cs="Arial" w:eastAsia="Arial" w:hAnsi="Arial"/>
          <w:sz w:val="29"/>
          <w:szCs w:val="29"/>
          <w:color w:val="auto"/>
          <w:vertAlign w:val="superscript"/>
        </w:rPr>
      </w:pPr>
    </w:p>
    <w:p>
      <w:pPr>
        <w:ind w:left="1040" w:hanging="519"/>
        <w:spacing w:after="0" w:line="233" w:lineRule="auto"/>
        <w:tabs>
          <w:tab w:leader="none" w:pos="1040" w:val="left"/>
        </w:tabs>
        <w:numPr>
          <w:ilvl w:val="0"/>
          <w:numId w:val="42"/>
        </w:numPr>
        <w:rPr>
          <w:rFonts w:ascii="Arial" w:cs="Arial" w:eastAsia="Arial" w:hAnsi="Arial"/>
          <w:sz w:val="29"/>
          <w:szCs w:val="29"/>
          <w:color w:val="auto"/>
          <w:vertAlign w:val="superscript"/>
        </w:rPr>
      </w:pPr>
      <w:r>
        <w:rPr>
          <w:rFonts w:ascii="Arial" w:cs="Arial" w:eastAsia="Arial" w:hAnsi="Arial"/>
          <w:sz w:val="18"/>
          <w:szCs w:val="18"/>
          <w:color w:val="auto"/>
        </w:rPr>
        <w:t>reduced disclosure obligations regarding executive compensation; and</w:t>
      </w:r>
    </w:p>
    <w:p>
      <w:pPr>
        <w:spacing w:after="0" w:line="110" w:lineRule="exact"/>
        <w:rPr>
          <w:rFonts w:ascii="Arial" w:cs="Arial" w:eastAsia="Arial" w:hAnsi="Arial"/>
          <w:sz w:val="29"/>
          <w:szCs w:val="29"/>
          <w:color w:val="auto"/>
          <w:vertAlign w:val="superscript"/>
        </w:rPr>
      </w:pPr>
    </w:p>
    <w:p>
      <w:pPr>
        <w:ind w:left="1040" w:right="200" w:hanging="519"/>
        <w:spacing w:after="0" w:line="191" w:lineRule="auto"/>
        <w:tabs>
          <w:tab w:leader="none" w:pos="1040" w:val="left"/>
        </w:tabs>
        <w:numPr>
          <w:ilvl w:val="0"/>
          <w:numId w:val="42"/>
        </w:numPr>
        <w:rPr>
          <w:rFonts w:ascii="Arial" w:cs="Arial" w:eastAsia="Arial" w:hAnsi="Arial"/>
          <w:sz w:val="29"/>
          <w:szCs w:val="29"/>
          <w:color w:val="auto"/>
          <w:vertAlign w:val="superscript"/>
        </w:rPr>
      </w:pPr>
      <w:r>
        <w:rPr>
          <w:rFonts w:ascii="Arial" w:cs="Arial" w:eastAsia="Arial" w:hAnsi="Arial"/>
          <w:sz w:val="18"/>
          <w:szCs w:val="18"/>
          <w:color w:val="auto"/>
        </w:rPr>
        <w:t>exemptions from the requirements of holding a nonbinding advisory vote on executive compensation and shareholder approval of any golden parachute payments not previously approved.</w:t>
      </w:r>
    </w:p>
    <w:p>
      <w:pPr>
        <w:spacing w:after="0" w:line="202"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We may choose to take advantage of some, but not all, of the available exemptions.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81" w:lineRule="exact"/>
        <w:rPr>
          <w:sz w:val="20"/>
          <w:szCs w:val="20"/>
          <w:color w:val="auto"/>
        </w:rPr>
      </w:pPr>
    </w:p>
    <w:p>
      <w:pPr>
        <w:ind w:right="160" w:firstLine="518"/>
        <w:spacing w:after="0" w:line="302" w:lineRule="auto"/>
        <w:rPr>
          <w:sz w:val="20"/>
          <w:szCs w:val="20"/>
          <w:color w:val="auto"/>
        </w:rPr>
      </w:pPr>
      <w:r>
        <w:rPr>
          <w:rFonts w:ascii="Arial" w:cs="Arial" w:eastAsia="Arial" w:hAnsi="Arial"/>
          <w:sz w:val="16"/>
          <w:szCs w:val="16"/>
          <w:color w:val="auto"/>
        </w:rPr>
        <w:t>In addition, the JOBS Act also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irrevocably elected not to avail ourselves of this exemption from new or revised accounting standards and, therefore, we are subject to the same new or revised accounting standards as other public companies that are not emerging growth companies.</w:t>
      </w:r>
    </w:p>
    <w:p>
      <w:pPr>
        <w:spacing w:after="0" w:line="154"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b w:val="1"/>
          <w:bCs w:val="1"/>
          <w:i w:val="1"/>
          <w:iCs w:val="1"/>
          <w:color w:val="auto"/>
        </w:rPr>
        <w:t>We are currently incurring and expect to continue to incur increased costs as a result of operating as a public company, and our management will be required to devote substantial time to new compliance initiatives and corporate governance practices.</w:t>
      </w:r>
    </w:p>
    <w:p>
      <w:pPr>
        <w:spacing w:after="0" w:line="170" w:lineRule="exact"/>
        <w:rPr>
          <w:sz w:val="20"/>
          <w:szCs w:val="20"/>
          <w:color w:val="auto"/>
        </w:rPr>
      </w:pPr>
    </w:p>
    <w:p>
      <w:pPr>
        <w:ind w:right="80" w:firstLine="518"/>
        <w:spacing w:after="0" w:line="290" w:lineRule="auto"/>
        <w:rPr>
          <w:sz w:val="20"/>
          <w:szCs w:val="20"/>
          <w:color w:val="auto"/>
        </w:rPr>
      </w:pPr>
      <w:r>
        <w:rPr>
          <w:rFonts w:ascii="Arial" w:cs="Arial" w:eastAsia="Arial" w:hAnsi="Arial"/>
          <w:sz w:val="16"/>
          <w:szCs w:val="16"/>
          <w:color w:val="auto"/>
        </w:rPr>
        <w:t>As a newly public company, we are incurring and expect to continue to incur additional significant legal, accounting and other expenses that we did not incur as a private company. We expect that these expenses will further increase after we are no longer an “emerging growth company.” We expect that we will need to hire additional accounting, finance and other personnel in connection with our continuing efforts to comply with the requirements of being a public company, and our management and other personnel will need to continue to devote a substantial amount of time towards maintaining compliance with these requirements. In addition, the Sarbanes-Oxley Act of 2002 and rules subsequently implemented by the Securities and Exchange Commission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w:t>
      </w:r>
    </w:p>
    <w:p>
      <w:pPr>
        <w:spacing w:after="0" w:line="166"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Pursuant to Section 404 of the Sarbanes-Oxley Act of 2002, or Section 404, we will be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If we identify one or more material weaknesses, it could result in an adverse reaction in the financial markets due to a loss of confidence in the reliability of our financial statements.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8" w:name="page59"/>
    <w:bookmarkEnd w:id="58"/>
    <w:p>
      <w:pPr>
        <w:ind w:right="20" w:firstLine="518"/>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170"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We have never declared or paid cash dividends on our capital stock. We currently plan to retain all of our future earnings, if any, to finance the growth and development of our business. Furthermore, the terms of the Hercules Loan Agreement prohibit us from paying any dividends without the prior written consent of Hercules, and any future debt agreements may also preclude us from paying dividends. Accordingly, capital appreciation, if any, of our common stock will be the sole source of gain for our stockholders for the foreseeable future.</w:t>
      </w:r>
    </w:p>
    <w:p>
      <w:pPr>
        <w:spacing w:after="0" w:line="187"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b w:val="1"/>
          <w:bCs w:val="1"/>
          <w:i w:val="1"/>
          <w:iCs w:val="1"/>
          <w:color w:val="auto"/>
        </w:rPr>
        <w:t>Provisions in our certificate of incorporation, our by-laws or Delaware law might discourage, delay or prevent a change in control of our company or changes in our management and, therefore, depress the trading price of our common stock.</w:t>
      </w:r>
    </w:p>
    <w:p>
      <w:pPr>
        <w:spacing w:after="0" w:line="170"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Provisions in our certificate of incorporation, our bylaws or Delaware law may discourage, delay or prevent a merger, acquisition or other change in control that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might frustrate or prevent any attempts by our stockholders to replace or remove our current management by making it more difficult for stockholders to replace members of our board of directors. Among other things, these provisions:</w:t>
      </w:r>
    </w:p>
    <w:p>
      <w:pPr>
        <w:ind w:left="1040" w:hanging="519"/>
        <w:spacing w:after="0" w:line="216" w:lineRule="auto"/>
        <w:tabs>
          <w:tab w:leader="none" w:pos="1040" w:val="left"/>
        </w:tabs>
        <w:numPr>
          <w:ilvl w:val="0"/>
          <w:numId w:val="43"/>
        </w:numPr>
        <w:rPr>
          <w:rFonts w:ascii="Arial" w:cs="Arial" w:eastAsia="Arial" w:hAnsi="Arial"/>
          <w:sz w:val="29"/>
          <w:szCs w:val="29"/>
          <w:color w:val="auto"/>
          <w:vertAlign w:val="superscript"/>
        </w:rPr>
      </w:pPr>
      <w:r>
        <w:rPr>
          <w:rFonts w:ascii="Arial" w:cs="Arial" w:eastAsia="Arial" w:hAnsi="Arial"/>
          <w:sz w:val="18"/>
          <w:szCs w:val="18"/>
          <w:color w:val="auto"/>
        </w:rPr>
        <w:t>establish a classified board of directors such that all members of the board are not elected at one time;</w:t>
      </w:r>
    </w:p>
    <w:p>
      <w:pPr>
        <w:spacing w:after="0" w:line="110" w:lineRule="exact"/>
        <w:rPr>
          <w:rFonts w:ascii="Arial" w:cs="Arial" w:eastAsia="Arial" w:hAnsi="Arial"/>
          <w:sz w:val="29"/>
          <w:szCs w:val="29"/>
          <w:color w:val="auto"/>
          <w:vertAlign w:val="superscript"/>
        </w:rPr>
      </w:pPr>
    </w:p>
    <w:p>
      <w:pPr>
        <w:ind w:left="1040" w:hanging="519"/>
        <w:spacing w:after="0" w:line="186" w:lineRule="auto"/>
        <w:tabs>
          <w:tab w:leader="none" w:pos="1040" w:val="left"/>
        </w:tabs>
        <w:numPr>
          <w:ilvl w:val="0"/>
          <w:numId w:val="43"/>
        </w:numPr>
        <w:rPr>
          <w:rFonts w:ascii="Arial" w:cs="Arial" w:eastAsia="Arial" w:hAnsi="Arial"/>
          <w:sz w:val="24"/>
          <w:szCs w:val="24"/>
          <w:color w:val="auto"/>
          <w:vertAlign w:val="superscript"/>
        </w:rPr>
      </w:pPr>
      <w:r>
        <w:rPr>
          <w:rFonts w:ascii="Arial" w:cs="Arial" w:eastAsia="Arial" w:hAnsi="Arial"/>
          <w:sz w:val="15"/>
          <w:szCs w:val="15"/>
          <w:color w:val="auto"/>
        </w:rPr>
        <w:t>allow the authorized number of our directors to be changed only by resolution of our board of directors;</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43"/>
        </w:numPr>
        <w:rPr>
          <w:rFonts w:ascii="Arial" w:cs="Arial" w:eastAsia="Arial" w:hAnsi="Arial"/>
          <w:sz w:val="24"/>
          <w:szCs w:val="24"/>
          <w:color w:val="auto"/>
          <w:vertAlign w:val="superscript"/>
        </w:rPr>
      </w:pPr>
      <w:r>
        <w:rPr>
          <w:rFonts w:ascii="Arial" w:cs="Arial" w:eastAsia="Arial" w:hAnsi="Arial"/>
          <w:sz w:val="15"/>
          <w:szCs w:val="15"/>
          <w:color w:val="auto"/>
        </w:rPr>
        <w:t>limit the manner in which stockholders can remove directors from the board;</w:t>
      </w:r>
    </w:p>
    <w:p>
      <w:pPr>
        <w:spacing w:after="0" w:line="110" w:lineRule="exact"/>
        <w:rPr>
          <w:rFonts w:ascii="Arial" w:cs="Arial" w:eastAsia="Arial" w:hAnsi="Arial"/>
          <w:sz w:val="24"/>
          <w:szCs w:val="24"/>
          <w:color w:val="auto"/>
          <w:vertAlign w:val="superscript"/>
        </w:rPr>
      </w:pPr>
    </w:p>
    <w:p>
      <w:pPr>
        <w:ind w:left="1040" w:right="360" w:hanging="519"/>
        <w:spacing w:after="0" w:line="191" w:lineRule="auto"/>
        <w:tabs>
          <w:tab w:leader="none" w:pos="1040" w:val="left"/>
        </w:tabs>
        <w:numPr>
          <w:ilvl w:val="0"/>
          <w:numId w:val="43"/>
        </w:numPr>
        <w:rPr>
          <w:rFonts w:ascii="Arial" w:cs="Arial" w:eastAsia="Arial" w:hAnsi="Arial"/>
          <w:sz w:val="29"/>
          <w:szCs w:val="29"/>
          <w:color w:val="auto"/>
          <w:vertAlign w:val="superscript"/>
        </w:rPr>
      </w:pPr>
      <w:r>
        <w:rPr>
          <w:rFonts w:ascii="Arial" w:cs="Arial" w:eastAsia="Arial" w:hAnsi="Arial"/>
          <w:sz w:val="18"/>
          <w:szCs w:val="18"/>
          <w:color w:val="auto"/>
        </w:rPr>
        <w:t>establish advance notice requirements for nominations for election to the board or for proposing matters that can be acted on at stockholder meetings;</w:t>
      </w:r>
    </w:p>
    <w:p>
      <w:pPr>
        <w:sectPr>
          <w:pgSz w:w="11900" w:h="16838" w:orient="portrait"/>
          <w:cols w:equalWidth="0" w:num="1">
            <w:col w:w="11420"/>
          </w:cols>
          <w:pgMar w:left="240" w:top="341" w:right="239" w:bottom="1440" w:gutter="0" w:footer="0" w:header="0"/>
        </w:sectPr>
      </w:pPr>
    </w:p>
    <w:p>
      <w:pPr>
        <w:spacing w:after="0" w:line="90" w:lineRule="exact"/>
        <w:rPr>
          <w:sz w:val="20"/>
          <w:szCs w:val="20"/>
          <w:color w:val="auto"/>
        </w:rPr>
      </w:pPr>
    </w:p>
    <w:p>
      <w:pPr>
        <w:jc w:val="center"/>
        <w:ind w:left="52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require that stockholder actions must be effected at a duly called stockholder meeting and prohibit actions by our consent;</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stockholders by written</w:t>
      </w:r>
    </w:p>
    <w:p>
      <w:pPr>
        <w:spacing w:after="0" w:line="294" w:lineRule="exact"/>
        <w:rPr>
          <w:sz w:val="20"/>
          <w:szCs w:val="20"/>
          <w:color w:val="auto"/>
        </w:rPr>
      </w:pPr>
    </w:p>
    <w:p>
      <w:pPr>
        <w:sectPr>
          <w:pgSz w:w="11900" w:h="16838" w:orient="portrait"/>
          <w:cols w:equalWidth="0" w:num="3">
            <w:col w:w="580" w:space="460"/>
            <w:col w:w="8120" w:space="140"/>
            <w:col w:w="2120"/>
          </w:cols>
          <w:pgMar w:left="240" w:top="341" w:right="239" w:bottom="1440" w:gutter="0" w:footer="0" w:header="0"/>
          <w:type w:val="continuous"/>
        </w:sectPr>
      </w:pPr>
    </w:p>
    <w:p>
      <w:pPr>
        <w:ind w:left="1040" w:hanging="519"/>
        <w:spacing w:after="0" w:line="210" w:lineRule="auto"/>
        <w:tabs>
          <w:tab w:leader="none" w:pos="1040" w:val="left"/>
        </w:tabs>
        <w:numPr>
          <w:ilvl w:val="0"/>
          <w:numId w:val="44"/>
        </w:numPr>
        <w:rPr>
          <w:rFonts w:ascii="Arial" w:cs="Arial" w:eastAsia="Arial" w:hAnsi="Arial"/>
          <w:sz w:val="29"/>
          <w:szCs w:val="29"/>
          <w:color w:val="auto"/>
          <w:vertAlign w:val="superscript"/>
        </w:rPr>
      </w:pPr>
      <w:r>
        <w:rPr>
          <w:rFonts w:ascii="Arial" w:cs="Arial" w:eastAsia="Arial" w:hAnsi="Arial"/>
          <w:sz w:val="18"/>
          <w:szCs w:val="18"/>
          <w:color w:val="auto"/>
        </w:rPr>
        <w:t>limit who may call a special meeting of stockholders;</w:t>
      </w:r>
    </w:p>
    <w:p>
      <w:pPr>
        <w:spacing w:after="0" w:line="110" w:lineRule="exact"/>
        <w:rPr>
          <w:rFonts w:ascii="Arial" w:cs="Arial" w:eastAsia="Arial" w:hAnsi="Arial"/>
          <w:sz w:val="29"/>
          <w:szCs w:val="29"/>
          <w:color w:val="auto"/>
          <w:vertAlign w:val="superscript"/>
        </w:rPr>
      </w:pPr>
    </w:p>
    <w:p>
      <w:pPr>
        <w:ind w:left="1040" w:right="220" w:hanging="519"/>
        <w:spacing w:after="0" w:line="213" w:lineRule="auto"/>
        <w:tabs>
          <w:tab w:leader="none" w:pos="1040" w:val="left"/>
        </w:tabs>
        <w:numPr>
          <w:ilvl w:val="0"/>
          <w:numId w:val="44"/>
        </w:numPr>
        <w:rPr>
          <w:rFonts w:ascii="Arial" w:cs="Arial" w:eastAsia="Arial" w:hAnsi="Arial"/>
          <w:sz w:val="26"/>
          <w:szCs w:val="26"/>
          <w:color w:val="auto"/>
          <w:vertAlign w:val="superscript"/>
        </w:rPr>
      </w:pPr>
      <w:r>
        <w:rPr>
          <w:rFonts w:ascii="Arial" w:cs="Arial" w:eastAsia="Arial" w:hAnsi="Arial"/>
          <w:sz w:val="16"/>
          <w:szCs w:val="16"/>
          <w:color w:val="auto"/>
        </w:rPr>
        <w:t>authorize our board to issue preferred stock without stockholder approval, which could be used to institute a “poison pill” that would work to dilute the stock ownership of a potential hostile acquirer, effectively preventing acquisitions that have not been approved by our board; and</w:t>
      </w:r>
    </w:p>
    <w:p>
      <w:pPr>
        <w:spacing w:after="0" w:line="95" w:lineRule="exact"/>
        <w:rPr>
          <w:rFonts w:ascii="Arial" w:cs="Arial" w:eastAsia="Arial" w:hAnsi="Arial"/>
          <w:sz w:val="26"/>
          <w:szCs w:val="26"/>
          <w:color w:val="auto"/>
          <w:vertAlign w:val="superscript"/>
        </w:rPr>
      </w:pPr>
    </w:p>
    <w:p>
      <w:pPr>
        <w:ind w:left="1040" w:right="380" w:hanging="519"/>
        <w:spacing w:after="0" w:line="198" w:lineRule="auto"/>
        <w:tabs>
          <w:tab w:leader="none" w:pos="1040" w:val="left"/>
        </w:tabs>
        <w:numPr>
          <w:ilvl w:val="0"/>
          <w:numId w:val="44"/>
        </w:numPr>
        <w:rPr>
          <w:rFonts w:ascii="Arial" w:cs="Arial" w:eastAsia="Arial" w:hAnsi="Arial"/>
          <w:sz w:val="29"/>
          <w:szCs w:val="29"/>
          <w:color w:val="auto"/>
          <w:vertAlign w:val="superscript"/>
        </w:rPr>
      </w:pPr>
      <w:r>
        <w:rPr>
          <w:rFonts w:ascii="Arial" w:cs="Arial" w:eastAsia="Arial" w:hAnsi="Arial"/>
          <w:sz w:val="18"/>
          <w:szCs w:val="18"/>
          <w:color w:val="auto"/>
        </w:rPr>
        <w:t>require the approval of the holders of at least 75% of the votes that all our stockholders would be entitled to cast to amend or repeal certain provisions of our charter or bylaws.</w:t>
      </w:r>
    </w:p>
    <w:p>
      <w:pPr>
        <w:spacing w:after="0" w:line="202"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In addition, we are governed by Section 203 of the Delaware General Corporation Law, which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This could discourage, delay or prevent someone from acquiring or merging with us, whether or not it is desired by, or beneficial to, our stockholders.</w:t>
      </w:r>
    </w:p>
    <w:p>
      <w:pPr>
        <w:spacing w:after="0" w:line="188"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170"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The trading market for our common stock relies in part on the research and reports that industry or financial analysts publish about us or our business. We do not have any control over these analysts. If one or more of the analysts covering our business downgrade their evaluations of our stock, the price of our stock could decline. In addition, if one or more of these analysts cease coverage of our company or fail to regularly publish reports on us, we could lose visibility in the financial markets, which in turn could cause our stock price or trading volume to decline.</w:t>
      </w:r>
    </w:p>
    <w:p>
      <w:pPr>
        <w:spacing w:after="0" w:line="37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229" w:lineRule="exact"/>
        <w:rPr>
          <w:sz w:val="20"/>
          <w:szCs w:val="20"/>
          <w:color w:val="auto"/>
        </w:rPr>
      </w:pPr>
    </w:p>
    <w:p>
      <w:pPr>
        <w:jc w:val="both"/>
        <w:ind w:right="420" w:firstLine="518"/>
        <w:spacing w:after="0" w:line="264" w:lineRule="auto"/>
        <w:rPr>
          <w:sz w:val="20"/>
          <w:szCs w:val="20"/>
          <w:color w:val="auto"/>
        </w:rPr>
      </w:pPr>
      <w:r>
        <w:rPr>
          <w:rFonts w:ascii="Arial" w:cs="Arial" w:eastAsia="Arial" w:hAnsi="Arial"/>
          <w:sz w:val="18"/>
          <w:szCs w:val="18"/>
          <w:color w:val="auto"/>
        </w:rPr>
        <w:t>On November 1, 2016, we entered into an amendment to the Consulting Agreement, dated as of May 27, 2015, by and between our company and Danforth, as amended, the Consulting Agreement, pursuant to which Danforth serves as an independent consultant to us, providing certain strategic and financial advice and support services, including the services provided by Gregg Beloff as our</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6"/>
          <w:szCs w:val="16"/>
          <w:color w:val="auto"/>
        </w:rPr>
        <w:t>Interim Chief Financial Officer and principal financial officer. The amendment extended the term of the Consulting Agreement to August 30,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exhibits listed in the Exhibit Index to this Quarterly Report on Form 10-Q are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680"/>
          </w:cols>
          <w:pgMar w:left="240" w:top="341" w:right="97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7460" w:type="dxa"/>
            <w:vAlign w:val="bottom"/>
            <w:gridSpan w:val="2"/>
          </w:tcPr>
          <w:p>
            <w:pPr>
              <w:ind w:left="2160"/>
              <w:spacing w:after="0"/>
              <w:rPr>
                <w:sz w:val="20"/>
                <w:szCs w:val="20"/>
                <w:color w:val="auto"/>
              </w:rPr>
            </w:pPr>
            <w:r>
              <w:rPr>
                <w:rFonts w:ascii="Arial" w:cs="Arial" w:eastAsia="Arial" w:hAnsi="Arial"/>
                <w:sz w:val="18"/>
                <w:szCs w:val="18"/>
                <w:b w:val="1"/>
                <w:bCs w:val="1"/>
                <w:color w:val="auto"/>
              </w:rPr>
              <w:t>CERULEAN PHARMA INC.</w:t>
            </w:r>
          </w:p>
        </w:tc>
      </w:tr>
      <w:tr>
        <w:trPr>
          <w:trHeight w:val="432"/>
        </w:trPr>
        <w:tc>
          <w:tcPr>
            <w:tcW w:w="3960" w:type="dxa"/>
            <w:vAlign w:val="bottom"/>
          </w:tcPr>
          <w:p>
            <w:pPr>
              <w:spacing w:after="0"/>
              <w:rPr>
                <w:sz w:val="20"/>
                <w:szCs w:val="20"/>
                <w:color w:val="auto"/>
              </w:rPr>
            </w:pPr>
            <w:r>
              <w:rPr>
                <w:rFonts w:ascii="Arial" w:cs="Arial" w:eastAsia="Arial" w:hAnsi="Arial"/>
                <w:sz w:val="18"/>
                <w:szCs w:val="18"/>
                <w:color w:val="auto"/>
              </w:rPr>
              <w:t>Date: November 3, 2016</w:t>
            </w:r>
          </w:p>
        </w:tc>
        <w:tc>
          <w:tcPr>
            <w:tcW w:w="2700" w:type="dxa"/>
            <w:vAlign w:val="bottom"/>
          </w:tcPr>
          <w:p>
            <w:pPr>
              <w:ind w:left="2160"/>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tcPr>
          <w:p>
            <w:pPr>
              <w:jc w:val="center"/>
              <w:ind w:right="305"/>
              <w:spacing w:after="0"/>
              <w:rPr>
                <w:sz w:val="20"/>
                <w:szCs w:val="20"/>
                <w:color w:val="auto"/>
              </w:rPr>
            </w:pPr>
            <w:r>
              <w:rPr>
                <w:rFonts w:ascii="Arial" w:cs="Arial" w:eastAsia="Arial" w:hAnsi="Arial"/>
                <w:sz w:val="18"/>
                <w:szCs w:val="18"/>
                <w:color w:val="auto"/>
                <w:w w:val="96"/>
              </w:rPr>
              <w:t>/</w:t>
            </w:r>
            <w:r>
              <w:rPr>
                <w:rFonts w:ascii="Arial" w:cs="Arial" w:eastAsia="Arial" w:hAnsi="Arial"/>
                <w:sz w:val="13"/>
                <w:szCs w:val="13"/>
                <w:color w:val="auto"/>
                <w:w w:val="96"/>
              </w:rPr>
              <w:t>S</w:t>
            </w:r>
            <w:r>
              <w:rPr>
                <w:rFonts w:ascii="Arial" w:cs="Arial" w:eastAsia="Arial" w:hAnsi="Arial"/>
                <w:sz w:val="18"/>
                <w:szCs w:val="18"/>
                <w:color w:val="auto"/>
                <w:w w:val="96"/>
              </w:rPr>
              <w:t>/   Christopher D.T. Guiffre</w:t>
            </w:r>
          </w:p>
        </w:tc>
      </w:tr>
      <w:tr>
        <w:trPr>
          <w:trHeight w:val="119"/>
        </w:trPr>
        <w:tc>
          <w:tcPr>
            <w:tcW w:w="396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4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Christopher D.T. Guiffre</w:t>
            </w:r>
          </w:p>
        </w:tc>
      </w:tr>
      <w:tr>
        <w:trPr>
          <w:trHeight w:val="149"/>
        </w:trPr>
        <w:tc>
          <w:tcPr>
            <w:tcW w:w="39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4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President and Chief Executive Officer</w:t>
            </w:r>
          </w:p>
        </w:tc>
      </w:tr>
      <w:tr>
        <w:trPr>
          <w:trHeight w:val="186"/>
        </w:trPr>
        <w:tc>
          <w:tcPr>
            <w:tcW w:w="39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4760" w:type="dxa"/>
            <w:vAlign w:val="bottom"/>
          </w:tcPr>
          <w:p>
            <w:pPr>
              <w:jc w:val="center"/>
              <w:spacing w:after="0"/>
              <w:rPr>
                <w:sz w:val="20"/>
                <w:szCs w:val="20"/>
                <w:color w:val="auto"/>
              </w:rPr>
            </w:pPr>
            <w:r>
              <w:rPr>
                <w:rFonts w:ascii="Arial" w:cs="Arial" w:eastAsia="Arial" w:hAnsi="Arial"/>
                <w:sz w:val="14"/>
                <w:szCs w:val="14"/>
                <w:b w:val="1"/>
                <w:bCs w:val="1"/>
                <w:color w:val="auto"/>
                <w:w w:val="93"/>
              </w:rPr>
              <w:t>(principal executive officer)</w:t>
            </w:r>
          </w:p>
        </w:tc>
      </w:tr>
      <w:tr>
        <w:trPr>
          <w:trHeight w:val="417"/>
        </w:trPr>
        <w:tc>
          <w:tcPr>
            <w:tcW w:w="3960" w:type="dxa"/>
            <w:vAlign w:val="bottom"/>
          </w:tcPr>
          <w:p>
            <w:pPr>
              <w:spacing w:after="0"/>
              <w:rPr>
                <w:sz w:val="20"/>
                <w:szCs w:val="20"/>
                <w:color w:val="auto"/>
              </w:rPr>
            </w:pPr>
            <w:r>
              <w:rPr>
                <w:rFonts w:ascii="Arial" w:cs="Arial" w:eastAsia="Arial" w:hAnsi="Arial"/>
                <w:sz w:val="18"/>
                <w:szCs w:val="18"/>
                <w:color w:val="auto"/>
              </w:rPr>
              <w:t>Date: November 3, 2016</w:t>
            </w:r>
          </w:p>
        </w:tc>
        <w:tc>
          <w:tcPr>
            <w:tcW w:w="2700" w:type="dxa"/>
            <w:vAlign w:val="bottom"/>
          </w:tcPr>
          <w:p>
            <w:pPr>
              <w:ind w:left="2160"/>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tcPr>
          <w:p>
            <w:pPr>
              <w:jc w:val="center"/>
              <w:ind w:right="345"/>
              <w:spacing w:after="0"/>
              <w:rPr>
                <w:sz w:val="20"/>
                <w:szCs w:val="20"/>
                <w:color w:val="auto"/>
              </w:rPr>
            </w:pPr>
            <w:r>
              <w:rPr>
                <w:rFonts w:ascii="Arial" w:cs="Arial" w:eastAsia="Arial" w:hAnsi="Arial"/>
                <w:sz w:val="18"/>
                <w:szCs w:val="18"/>
                <w:color w:val="auto"/>
                <w:w w:val="99"/>
              </w:rPr>
              <w:t>/</w:t>
            </w:r>
            <w:r>
              <w:rPr>
                <w:rFonts w:ascii="Arial" w:cs="Arial" w:eastAsia="Arial" w:hAnsi="Arial"/>
                <w:sz w:val="13"/>
                <w:szCs w:val="13"/>
                <w:color w:val="auto"/>
                <w:w w:val="99"/>
              </w:rPr>
              <w:t>S</w:t>
            </w:r>
            <w:r>
              <w:rPr>
                <w:rFonts w:ascii="Arial" w:cs="Arial" w:eastAsia="Arial" w:hAnsi="Arial"/>
                <w:sz w:val="18"/>
                <w:szCs w:val="18"/>
                <w:color w:val="auto"/>
                <w:w w:val="99"/>
              </w:rPr>
              <w:t>/   Gregg Beloff</w:t>
            </w:r>
          </w:p>
        </w:tc>
      </w:tr>
      <w:tr>
        <w:trPr>
          <w:trHeight w:val="119"/>
        </w:trPr>
        <w:tc>
          <w:tcPr>
            <w:tcW w:w="396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4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Gregg Beloff</w:t>
            </w:r>
          </w:p>
        </w:tc>
      </w:tr>
      <w:tr>
        <w:trPr>
          <w:trHeight w:val="149"/>
        </w:trPr>
        <w:tc>
          <w:tcPr>
            <w:tcW w:w="39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4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Interim Chief Financial Officer</w:t>
            </w:r>
          </w:p>
        </w:tc>
      </w:tr>
      <w:tr>
        <w:trPr>
          <w:trHeight w:val="186"/>
        </w:trPr>
        <w:tc>
          <w:tcPr>
            <w:tcW w:w="39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4760" w:type="dxa"/>
            <w:vAlign w:val="bottom"/>
          </w:tcPr>
          <w:p>
            <w:pPr>
              <w:jc w:val="center"/>
              <w:spacing w:after="0"/>
              <w:rPr>
                <w:sz w:val="20"/>
                <w:szCs w:val="20"/>
                <w:color w:val="auto"/>
              </w:rPr>
            </w:pPr>
            <w:r>
              <w:rPr>
                <w:rFonts w:ascii="Arial" w:cs="Arial" w:eastAsia="Arial" w:hAnsi="Arial"/>
                <w:sz w:val="14"/>
                <w:szCs w:val="14"/>
                <w:b w:val="1"/>
                <w:bCs w:val="1"/>
                <w:color w:val="auto"/>
                <w:w w:val="94"/>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1" w:name="page62"/>
    <w:bookmarkEnd w:id="61"/>
    <w:p>
      <w:pPr>
        <w:jc w:val="center"/>
        <w:ind w:right="-151"/>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tbl>
      <w:tblPr>
        <w:tblLayout w:type="fixed"/>
        <w:tblInd w:w="272" w:type="dxa"/>
        <w:tblCellMar>
          <w:top w:w="0" w:type="dxa"/>
          <w:left w:w="0" w:type="dxa"/>
          <w:bottom w:w="0" w:type="dxa"/>
          <w:right w:w="0" w:type="dxa"/>
        </w:tblCellMar>
      </w:tblPr>
      <w:tr>
        <w:trPr>
          <w:trHeight w:val="186"/>
        </w:trPr>
        <w:tc>
          <w:tcPr>
            <w:tcW w:w="1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Exhibit</w:t>
            </w:r>
          </w:p>
        </w:tc>
        <w:tc>
          <w:tcPr>
            <w:tcW w:w="3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00" w:type="dxa"/>
            <w:vAlign w:val="bottom"/>
            <w:gridSpan w:val="2"/>
          </w:tcPr>
          <w:p>
            <w:pPr>
              <w:ind w:left="80"/>
              <w:spacing w:after="0"/>
              <w:rPr>
                <w:sz w:val="20"/>
                <w:szCs w:val="20"/>
                <w:color w:val="auto"/>
              </w:rPr>
            </w:pPr>
            <w:r>
              <w:rPr>
                <w:rFonts w:ascii="Arial" w:cs="Arial" w:eastAsia="Arial" w:hAnsi="Arial"/>
                <w:sz w:val="14"/>
                <w:szCs w:val="14"/>
                <w:b w:val="1"/>
                <w:bCs w:val="1"/>
                <w:color w:val="auto"/>
              </w:rPr>
              <w:t>Incorporated by Reference</w:t>
            </w: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900" w:type="dxa"/>
            <w:vAlign w:val="bottom"/>
            <w:vMerge w:val="restart"/>
          </w:tcPr>
          <w:p>
            <w:pPr>
              <w:jc w:val="center"/>
              <w:ind w:left="248"/>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11"/>
        </w:trPr>
        <w:tc>
          <w:tcPr>
            <w:tcW w:w="1520" w:type="dxa"/>
            <w:vAlign w:val="bottom"/>
            <w:vMerge w:val="continue"/>
          </w:tcPr>
          <w:p>
            <w:pPr>
              <w:spacing w:after="0"/>
              <w:rPr>
                <w:sz w:val="9"/>
                <w:szCs w:val="9"/>
                <w:color w:val="auto"/>
              </w:rPr>
            </w:pPr>
          </w:p>
        </w:tc>
        <w:tc>
          <w:tcPr>
            <w:tcW w:w="3300" w:type="dxa"/>
            <w:vAlign w:val="bottom"/>
            <w:vMerge w:val="restart"/>
          </w:tcPr>
          <w:p>
            <w:pPr>
              <w:ind w:left="1020"/>
              <w:spacing w:after="0"/>
              <w:rPr>
                <w:sz w:val="20"/>
                <w:szCs w:val="20"/>
                <w:color w:val="auto"/>
              </w:rPr>
            </w:pPr>
            <w:r>
              <w:rPr>
                <w:rFonts w:ascii="Arial" w:cs="Arial" w:eastAsia="Arial" w:hAnsi="Arial"/>
                <w:sz w:val="14"/>
                <w:szCs w:val="14"/>
                <w:b w:val="1"/>
                <w:bCs w:val="1"/>
                <w:color w:val="auto"/>
              </w:rPr>
              <w:t>Description of Exhibit</w:t>
            </w:r>
          </w:p>
        </w:tc>
        <w:tc>
          <w:tcPr>
            <w:tcW w:w="1340" w:type="dxa"/>
            <w:vAlign w:val="bottom"/>
            <w:vMerge w:val="restart"/>
          </w:tcPr>
          <w:p>
            <w:pPr>
              <w:ind w:left="920"/>
              <w:spacing w:after="0"/>
              <w:rPr>
                <w:sz w:val="20"/>
                <w:szCs w:val="20"/>
                <w:color w:val="auto"/>
              </w:rPr>
            </w:pPr>
            <w:r>
              <w:rPr>
                <w:rFonts w:ascii="Arial" w:cs="Arial" w:eastAsia="Arial" w:hAnsi="Arial"/>
                <w:sz w:val="14"/>
                <w:szCs w:val="14"/>
                <w:b w:val="1"/>
                <w:bCs w:val="1"/>
                <w:color w:val="auto"/>
              </w:rPr>
              <w:t>Form</w:t>
            </w:r>
          </w:p>
        </w:tc>
        <w:tc>
          <w:tcPr>
            <w:tcW w:w="14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File Number</w:t>
            </w:r>
          </w:p>
        </w:tc>
        <w:tc>
          <w:tcPr>
            <w:tcW w:w="13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Date of Filing</w:t>
            </w:r>
          </w:p>
        </w:tc>
        <w:tc>
          <w:tcPr>
            <w:tcW w:w="112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152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3300" w:type="dxa"/>
            <w:vAlign w:val="bottom"/>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8"/>
              </w:rPr>
              <w:t>Number</w:t>
            </w:r>
          </w:p>
        </w:tc>
        <w:tc>
          <w:tcPr>
            <w:tcW w:w="900" w:type="dxa"/>
            <w:vAlign w:val="bottom"/>
          </w:tcPr>
          <w:p>
            <w:pPr>
              <w:jc w:val="center"/>
              <w:ind w:left="248"/>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tbl>
      <w:tblPr>
        <w:tblLayout w:type="fixed"/>
        <w:tblInd w:w="132" w:type="dxa"/>
        <w:tblCellMar>
          <w:top w:w="0" w:type="dxa"/>
          <w:left w:w="0" w:type="dxa"/>
          <w:bottom w:w="0" w:type="dxa"/>
          <w:right w:w="0" w:type="dxa"/>
        </w:tblCellMar>
      </w:tblPr>
      <w:tr>
        <w:trPr>
          <w:trHeight w:val="216"/>
        </w:trPr>
        <w:tc>
          <w:tcPr>
            <w:tcW w:w="920" w:type="dxa"/>
            <w:vAlign w:val="bottom"/>
          </w:tcPr>
          <w:p>
            <w:pPr>
              <w:ind w:left="80"/>
              <w:spacing w:after="0"/>
              <w:rPr>
                <w:sz w:val="20"/>
                <w:szCs w:val="20"/>
                <w:color w:val="auto"/>
              </w:rPr>
            </w:pPr>
            <w:r>
              <w:rPr>
                <w:rFonts w:ascii="Arial" w:cs="Arial" w:eastAsia="Arial" w:hAnsi="Arial"/>
                <w:sz w:val="18"/>
                <w:szCs w:val="18"/>
                <w:color w:val="auto"/>
              </w:rPr>
              <w:t>10.1</w:t>
            </w:r>
          </w:p>
        </w:tc>
        <w:tc>
          <w:tcPr>
            <w:tcW w:w="7180" w:type="dxa"/>
            <w:vAlign w:val="bottom"/>
          </w:tcPr>
          <w:p>
            <w:pPr>
              <w:ind w:left="260"/>
              <w:spacing w:after="0"/>
              <w:rPr>
                <w:sz w:val="20"/>
                <w:szCs w:val="20"/>
                <w:color w:val="auto"/>
              </w:rPr>
            </w:pPr>
            <w:r>
              <w:rPr>
                <w:rFonts w:ascii="Arial" w:cs="Arial" w:eastAsia="Arial" w:hAnsi="Arial"/>
                <w:sz w:val="18"/>
                <w:szCs w:val="18"/>
                <w:color w:val="auto"/>
              </w:rPr>
              <w:t>Amendment, dated November 1, 2016, to consulting</w:t>
            </w:r>
          </w:p>
        </w:tc>
        <w:tc>
          <w:tcPr>
            <w:tcW w:w="2740" w:type="dxa"/>
            <w:vAlign w:val="bottom"/>
          </w:tcPr>
          <w:p>
            <w:pPr>
              <w:ind w:left="2600"/>
              <w:spacing w:after="0"/>
              <w:rPr>
                <w:sz w:val="20"/>
                <w:szCs w:val="20"/>
                <w:color w:val="auto"/>
              </w:rPr>
            </w:pPr>
            <w:r>
              <w:rPr>
                <w:rFonts w:ascii="Arial" w:cs="Arial" w:eastAsia="Arial" w:hAnsi="Arial"/>
                <w:sz w:val="18"/>
                <w:szCs w:val="18"/>
                <w:color w:val="auto"/>
                <w:w w:val="99"/>
              </w:rPr>
              <w:t>X</w:t>
            </w:r>
          </w:p>
        </w:tc>
      </w:tr>
      <w:tr>
        <w:trPr>
          <w:trHeight w:val="216"/>
        </w:trPr>
        <w:tc>
          <w:tcPr>
            <w:tcW w:w="920" w:type="dxa"/>
            <w:vAlign w:val="bottom"/>
          </w:tcPr>
          <w:p>
            <w:pPr>
              <w:spacing w:after="0"/>
              <w:rPr>
                <w:sz w:val="18"/>
                <w:szCs w:val="18"/>
                <w:color w:val="auto"/>
              </w:rPr>
            </w:pPr>
          </w:p>
        </w:tc>
        <w:tc>
          <w:tcPr>
            <w:tcW w:w="7180" w:type="dxa"/>
            <w:vAlign w:val="bottom"/>
          </w:tcPr>
          <w:p>
            <w:pPr>
              <w:ind w:left="260"/>
              <w:spacing w:after="0"/>
              <w:rPr>
                <w:sz w:val="20"/>
                <w:szCs w:val="20"/>
                <w:color w:val="auto"/>
              </w:rPr>
            </w:pPr>
            <w:r>
              <w:rPr>
                <w:rFonts w:ascii="Arial" w:cs="Arial" w:eastAsia="Arial" w:hAnsi="Arial"/>
                <w:sz w:val="18"/>
                <w:szCs w:val="18"/>
                <w:color w:val="auto"/>
              </w:rPr>
              <w:t>agreement, dated as of May 27, 2015, between the</w:t>
            </w:r>
          </w:p>
        </w:tc>
        <w:tc>
          <w:tcPr>
            <w:tcW w:w="2740" w:type="dxa"/>
            <w:vAlign w:val="bottom"/>
          </w:tcPr>
          <w:p>
            <w:pPr>
              <w:spacing w:after="0"/>
              <w:rPr>
                <w:sz w:val="18"/>
                <w:szCs w:val="18"/>
                <w:color w:val="auto"/>
              </w:rPr>
            </w:pPr>
          </w:p>
        </w:tc>
      </w:tr>
      <w:tr>
        <w:trPr>
          <w:trHeight w:val="230"/>
        </w:trPr>
        <w:tc>
          <w:tcPr>
            <w:tcW w:w="920" w:type="dxa"/>
            <w:vAlign w:val="bottom"/>
          </w:tcPr>
          <w:p>
            <w:pPr>
              <w:spacing w:after="0"/>
              <w:rPr>
                <w:sz w:val="20"/>
                <w:szCs w:val="20"/>
                <w:color w:val="auto"/>
              </w:rPr>
            </w:pPr>
          </w:p>
        </w:tc>
        <w:tc>
          <w:tcPr>
            <w:tcW w:w="7180" w:type="dxa"/>
            <w:vAlign w:val="bottom"/>
          </w:tcPr>
          <w:p>
            <w:pPr>
              <w:ind w:left="260"/>
              <w:spacing w:after="0"/>
              <w:rPr>
                <w:sz w:val="20"/>
                <w:szCs w:val="20"/>
                <w:color w:val="auto"/>
              </w:rPr>
            </w:pPr>
            <w:r>
              <w:rPr>
                <w:rFonts w:ascii="Arial" w:cs="Arial" w:eastAsia="Arial" w:hAnsi="Arial"/>
                <w:sz w:val="18"/>
                <w:szCs w:val="18"/>
                <w:color w:val="auto"/>
              </w:rPr>
              <w:t>Registrant and Danforth Advisors LLC</w:t>
            </w:r>
          </w:p>
        </w:tc>
        <w:tc>
          <w:tcPr>
            <w:tcW w:w="2740" w:type="dxa"/>
            <w:vAlign w:val="bottom"/>
          </w:tcPr>
          <w:p>
            <w:pPr>
              <w:spacing w:after="0"/>
              <w:rPr>
                <w:sz w:val="20"/>
                <w:szCs w:val="20"/>
                <w:color w:val="auto"/>
              </w:rPr>
            </w:pPr>
          </w:p>
        </w:tc>
      </w:tr>
      <w:tr>
        <w:trPr>
          <w:trHeight w:val="324"/>
        </w:trPr>
        <w:tc>
          <w:tcPr>
            <w:tcW w:w="920" w:type="dxa"/>
            <w:vAlign w:val="bottom"/>
          </w:tcPr>
          <w:p>
            <w:pPr>
              <w:ind w:left="80"/>
              <w:spacing w:after="0"/>
              <w:rPr>
                <w:sz w:val="20"/>
                <w:szCs w:val="20"/>
                <w:color w:val="auto"/>
              </w:rPr>
            </w:pPr>
            <w:r>
              <w:rPr>
                <w:rFonts w:ascii="Arial" w:cs="Arial" w:eastAsia="Arial" w:hAnsi="Arial"/>
                <w:sz w:val="18"/>
                <w:szCs w:val="18"/>
                <w:color w:val="auto"/>
              </w:rPr>
              <w:t>10.2</w:t>
            </w:r>
          </w:p>
        </w:tc>
        <w:tc>
          <w:tcPr>
            <w:tcW w:w="7180" w:type="dxa"/>
            <w:vAlign w:val="bottom"/>
          </w:tcPr>
          <w:p>
            <w:pPr>
              <w:ind w:left="260"/>
              <w:spacing w:after="0"/>
              <w:rPr>
                <w:sz w:val="20"/>
                <w:szCs w:val="20"/>
                <w:color w:val="auto"/>
              </w:rPr>
            </w:pPr>
            <w:r>
              <w:rPr>
                <w:rFonts w:ascii="Arial" w:cs="Arial" w:eastAsia="Arial" w:hAnsi="Arial"/>
                <w:sz w:val="18"/>
                <w:szCs w:val="18"/>
                <w:color w:val="auto"/>
              </w:rPr>
              <w:t>Summary of Non-employee Director Compensation Policy</w:t>
            </w:r>
          </w:p>
        </w:tc>
        <w:tc>
          <w:tcPr>
            <w:tcW w:w="2740" w:type="dxa"/>
            <w:vAlign w:val="bottom"/>
          </w:tcPr>
          <w:p>
            <w:pPr>
              <w:ind w:left="2600"/>
              <w:spacing w:after="0"/>
              <w:rPr>
                <w:sz w:val="20"/>
                <w:szCs w:val="20"/>
                <w:color w:val="auto"/>
              </w:rPr>
            </w:pPr>
            <w:r>
              <w:rPr>
                <w:rFonts w:ascii="Arial" w:cs="Arial" w:eastAsia="Arial" w:hAnsi="Arial"/>
                <w:sz w:val="18"/>
                <w:szCs w:val="18"/>
                <w:color w:val="auto"/>
                <w:w w:val="99"/>
              </w:rPr>
              <w:t>X</w:t>
            </w:r>
          </w:p>
        </w:tc>
      </w:tr>
      <w:tr>
        <w:trPr>
          <w:trHeight w:val="310"/>
        </w:trPr>
        <w:tc>
          <w:tcPr>
            <w:tcW w:w="920" w:type="dxa"/>
            <w:vAlign w:val="bottom"/>
          </w:tcPr>
          <w:p>
            <w:pPr>
              <w:ind w:left="80"/>
              <w:spacing w:after="0"/>
              <w:rPr>
                <w:sz w:val="20"/>
                <w:szCs w:val="20"/>
                <w:color w:val="auto"/>
              </w:rPr>
            </w:pPr>
            <w:r>
              <w:rPr>
                <w:rFonts w:ascii="Arial" w:cs="Arial" w:eastAsia="Arial" w:hAnsi="Arial"/>
                <w:sz w:val="18"/>
                <w:szCs w:val="18"/>
                <w:color w:val="auto"/>
              </w:rPr>
              <w:t>10.3+</w:t>
            </w:r>
          </w:p>
        </w:tc>
        <w:tc>
          <w:tcPr>
            <w:tcW w:w="7180" w:type="dxa"/>
            <w:vAlign w:val="bottom"/>
          </w:tcPr>
          <w:p>
            <w:pPr>
              <w:ind w:left="260"/>
              <w:spacing w:after="0"/>
              <w:rPr>
                <w:sz w:val="20"/>
                <w:szCs w:val="20"/>
                <w:color w:val="auto"/>
              </w:rPr>
            </w:pPr>
            <w:r>
              <w:rPr>
                <w:rFonts w:ascii="Arial" w:cs="Arial" w:eastAsia="Arial" w:hAnsi="Arial"/>
                <w:sz w:val="18"/>
                <w:szCs w:val="18"/>
                <w:color w:val="auto"/>
              </w:rPr>
              <w:t>Research Collaboration Agreement, dated October 18,</w:t>
            </w:r>
          </w:p>
        </w:tc>
        <w:tc>
          <w:tcPr>
            <w:tcW w:w="2740" w:type="dxa"/>
            <w:vAlign w:val="bottom"/>
          </w:tcPr>
          <w:p>
            <w:pPr>
              <w:ind w:left="2600"/>
              <w:spacing w:after="0"/>
              <w:rPr>
                <w:sz w:val="20"/>
                <w:szCs w:val="20"/>
                <w:color w:val="auto"/>
              </w:rPr>
            </w:pPr>
            <w:r>
              <w:rPr>
                <w:rFonts w:ascii="Arial" w:cs="Arial" w:eastAsia="Arial" w:hAnsi="Arial"/>
                <w:sz w:val="18"/>
                <w:szCs w:val="18"/>
                <w:color w:val="auto"/>
                <w:w w:val="99"/>
              </w:rPr>
              <w:t>X</w:t>
            </w:r>
          </w:p>
        </w:tc>
      </w:tr>
      <w:tr>
        <w:trPr>
          <w:trHeight w:val="216"/>
        </w:trPr>
        <w:tc>
          <w:tcPr>
            <w:tcW w:w="920" w:type="dxa"/>
            <w:vAlign w:val="bottom"/>
          </w:tcPr>
          <w:p>
            <w:pPr>
              <w:spacing w:after="0"/>
              <w:rPr>
                <w:sz w:val="18"/>
                <w:szCs w:val="18"/>
                <w:color w:val="auto"/>
              </w:rPr>
            </w:pPr>
          </w:p>
        </w:tc>
        <w:tc>
          <w:tcPr>
            <w:tcW w:w="7180" w:type="dxa"/>
            <w:vAlign w:val="bottom"/>
          </w:tcPr>
          <w:p>
            <w:pPr>
              <w:ind w:left="260"/>
              <w:spacing w:after="0"/>
              <w:rPr>
                <w:sz w:val="20"/>
                <w:szCs w:val="20"/>
                <w:color w:val="auto"/>
              </w:rPr>
            </w:pPr>
            <w:r>
              <w:rPr>
                <w:rFonts w:ascii="Arial" w:cs="Arial" w:eastAsia="Arial" w:hAnsi="Arial"/>
                <w:sz w:val="18"/>
                <w:szCs w:val="18"/>
                <w:color w:val="auto"/>
              </w:rPr>
              <w:t>2016, between the Registrant and Novartis Institutes for</w:t>
            </w:r>
          </w:p>
        </w:tc>
        <w:tc>
          <w:tcPr>
            <w:tcW w:w="2740" w:type="dxa"/>
            <w:vAlign w:val="bottom"/>
          </w:tcPr>
          <w:p>
            <w:pPr>
              <w:spacing w:after="0"/>
              <w:rPr>
                <w:sz w:val="18"/>
                <w:szCs w:val="18"/>
                <w:color w:val="auto"/>
              </w:rPr>
            </w:pPr>
          </w:p>
        </w:tc>
      </w:tr>
      <w:tr>
        <w:trPr>
          <w:trHeight w:val="230"/>
        </w:trPr>
        <w:tc>
          <w:tcPr>
            <w:tcW w:w="920" w:type="dxa"/>
            <w:vAlign w:val="bottom"/>
          </w:tcPr>
          <w:p>
            <w:pPr>
              <w:spacing w:after="0"/>
              <w:rPr>
                <w:sz w:val="20"/>
                <w:szCs w:val="20"/>
                <w:color w:val="auto"/>
              </w:rPr>
            </w:pPr>
          </w:p>
        </w:tc>
        <w:tc>
          <w:tcPr>
            <w:tcW w:w="7180" w:type="dxa"/>
            <w:vAlign w:val="bottom"/>
          </w:tcPr>
          <w:p>
            <w:pPr>
              <w:ind w:left="260"/>
              <w:spacing w:after="0"/>
              <w:rPr>
                <w:sz w:val="20"/>
                <w:szCs w:val="20"/>
                <w:color w:val="auto"/>
              </w:rPr>
            </w:pPr>
            <w:r>
              <w:rPr>
                <w:rFonts w:ascii="Arial" w:cs="Arial" w:eastAsia="Arial" w:hAnsi="Arial"/>
                <w:sz w:val="18"/>
                <w:szCs w:val="18"/>
                <w:color w:val="auto"/>
              </w:rPr>
              <w:t>BioMedical Research, Inc.</w:t>
            </w:r>
          </w:p>
        </w:tc>
        <w:tc>
          <w:tcPr>
            <w:tcW w:w="2740" w:type="dxa"/>
            <w:vAlign w:val="bottom"/>
          </w:tcPr>
          <w:p>
            <w:pPr>
              <w:spacing w:after="0"/>
              <w:rPr>
                <w:sz w:val="20"/>
                <w:szCs w:val="20"/>
                <w:color w:val="auto"/>
              </w:rPr>
            </w:pPr>
          </w:p>
        </w:tc>
      </w:tr>
      <w:tr>
        <w:trPr>
          <w:trHeight w:val="310"/>
        </w:trPr>
        <w:tc>
          <w:tcPr>
            <w:tcW w:w="920" w:type="dxa"/>
            <w:vAlign w:val="bottom"/>
          </w:tcPr>
          <w:p>
            <w:pPr>
              <w:ind w:left="80"/>
              <w:spacing w:after="0"/>
              <w:rPr>
                <w:sz w:val="20"/>
                <w:szCs w:val="20"/>
                <w:color w:val="auto"/>
              </w:rPr>
            </w:pPr>
            <w:r>
              <w:rPr>
                <w:rFonts w:ascii="Arial" w:cs="Arial" w:eastAsia="Arial" w:hAnsi="Arial"/>
                <w:sz w:val="18"/>
                <w:szCs w:val="18"/>
                <w:color w:val="auto"/>
              </w:rPr>
              <w:t>31.1</w:t>
            </w:r>
          </w:p>
        </w:tc>
        <w:tc>
          <w:tcPr>
            <w:tcW w:w="7180" w:type="dxa"/>
            <w:vAlign w:val="bottom"/>
          </w:tcPr>
          <w:p>
            <w:pPr>
              <w:ind w:left="260"/>
              <w:spacing w:after="0"/>
              <w:rPr>
                <w:sz w:val="20"/>
                <w:szCs w:val="20"/>
                <w:color w:val="auto"/>
              </w:rPr>
            </w:pPr>
            <w:r>
              <w:rPr>
                <w:rFonts w:ascii="Arial" w:cs="Arial" w:eastAsia="Arial" w:hAnsi="Arial"/>
                <w:sz w:val="18"/>
                <w:szCs w:val="18"/>
                <w:color w:val="auto"/>
              </w:rPr>
              <w:t>Certification of principal executive officer pursuant to</w:t>
            </w:r>
          </w:p>
        </w:tc>
        <w:tc>
          <w:tcPr>
            <w:tcW w:w="2740" w:type="dxa"/>
            <w:vAlign w:val="bottom"/>
          </w:tcPr>
          <w:p>
            <w:pPr>
              <w:ind w:left="2600"/>
              <w:spacing w:after="0"/>
              <w:rPr>
                <w:sz w:val="20"/>
                <w:szCs w:val="20"/>
                <w:color w:val="auto"/>
              </w:rPr>
            </w:pPr>
            <w:r>
              <w:rPr>
                <w:rFonts w:ascii="Arial" w:cs="Arial" w:eastAsia="Arial" w:hAnsi="Arial"/>
                <w:sz w:val="18"/>
                <w:szCs w:val="18"/>
                <w:color w:val="auto"/>
                <w:w w:val="99"/>
              </w:rPr>
              <w:t>X</w:t>
            </w:r>
          </w:p>
        </w:tc>
      </w:tr>
      <w:tr>
        <w:trPr>
          <w:trHeight w:val="216"/>
        </w:trPr>
        <w:tc>
          <w:tcPr>
            <w:tcW w:w="920" w:type="dxa"/>
            <w:vAlign w:val="bottom"/>
          </w:tcPr>
          <w:p>
            <w:pPr>
              <w:spacing w:after="0"/>
              <w:rPr>
                <w:sz w:val="18"/>
                <w:szCs w:val="18"/>
                <w:color w:val="auto"/>
              </w:rPr>
            </w:pPr>
          </w:p>
        </w:tc>
        <w:tc>
          <w:tcPr>
            <w:tcW w:w="7180" w:type="dxa"/>
            <w:vAlign w:val="bottom"/>
          </w:tcPr>
          <w:p>
            <w:pPr>
              <w:ind w:left="260"/>
              <w:spacing w:after="0"/>
              <w:rPr>
                <w:sz w:val="20"/>
                <w:szCs w:val="20"/>
                <w:color w:val="auto"/>
              </w:rPr>
            </w:pPr>
            <w:r>
              <w:rPr>
                <w:rFonts w:ascii="Arial" w:cs="Arial" w:eastAsia="Arial" w:hAnsi="Arial"/>
                <w:sz w:val="18"/>
                <w:szCs w:val="18"/>
                <w:color w:val="auto"/>
              </w:rPr>
              <w:t>Rule 13a 14(a)/15d 14(a) of the Securities Exchange Act of</w:t>
            </w:r>
          </w:p>
        </w:tc>
        <w:tc>
          <w:tcPr>
            <w:tcW w:w="2740" w:type="dxa"/>
            <w:vAlign w:val="bottom"/>
          </w:tcPr>
          <w:p>
            <w:pPr>
              <w:spacing w:after="0"/>
              <w:rPr>
                <w:sz w:val="18"/>
                <w:szCs w:val="18"/>
                <w:color w:val="auto"/>
              </w:rPr>
            </w:pPr>
          </w:p>
        </w:tc>
      </w:tr>
      <w:tr>
        <w:trPr>
          <w:trHeight w:val="230"/>
        </w:trPr>
        <w:tc>
          <w:tcPr>
            <w:tcW w:w="920" w:type="dxa"/>
            <w:vAlign w:val="bottom"/>
          </w:tcPr>
          <w:p>
            <w:pPr>
              <w:spacing w:after="0"/>
              <w:rPr>
                <w:sz w:val="20"/>
                <w:szCs w:val="20"/>
                <w:color w:val="auto"/>
              </w:rPr>
            </w:pPr>
          </w:p>
        </w:tc>
        <w:tc>
          <w:tcPr>
            <w:tcW w:w="7180" w:type="dxa"/>
            <w:vAlign w:val="bottom"/>
          </w:tcPr>
          <w:p>
            <w:pPr>
              <w:ind w:left="260"/>
              <w:spacing w:after="0"/>
              <w:rPr>
                <w:sz w:val="20"/>
                <w:szCs w:val="20"/>
                <w:color w:val="auto"/>
              </w:rPr>
            </w:pPr>
            <w:r>
              <w:rPr>
                <w:rFonts w:ascii="Arial" w:cs="Arial" w:eastAsia="Arial" w:hAnsi="Arial"/>
                <w:sz w:val="18"/>
                <w:szCs w:val="18"/>
                <w:color w:val="auto"/>
              </w:rPr>
              <w:t>1934, as amended</w:t>
            </w:r>
          </w:p>
        </w:tc>
        <w:tc>
          <w:tcPr>
            <w:tcW w:w="2740" w:type="dxa"/>
            <w:vAlign w:val="bottom"/>
          </w:tcPr>
          <w:p>
            <w:pPr>
              <w:spacing w:after="0"/>
              <w:rPr>
                <w:sz w:val="20"/>
                <w:szCs w:val="20"/>
                <w:color w:val="auto"/>
              </w:rPr>
            </w:pPr>
          </w:p>
        </w:tc>
      </w:tr>
      <w:tr>
        <w:trPr>
          <w:trHeight w:val="310"/>
        </w:trPr>
        <w:tc>
          <w:tcPr>
            <w:tcW w:w="920" w:type="dxa"/>
            <w:vAlign w:val="bottom"/>
          </w:tcPr>
          <w:p>
            <w:pPr>
              <w:ind w:left="80"/>
              <w:spacing w:after="0"/>
              <w:rPr>
                <w:sz w:val="20"/>
                <w:szCs w:val="20"/>
                <w:color w:val="auto"/>
              </w:rPr>
            </w:pPr>
            <w:r>
              <w:rPr>
                <w:rFonts w:ascii="Arial" w:cs="Arial" w:eastAsia="Arial" w:hAnsi="Arial"/>
                <w:sz w:val="18"/>
                <w:szCs w:val="18"/>
                <w:color w:val="auto"/>
              </w:rPr>
              <w:t>31.2</w:t>
            </w:r>
          </w:p>
        </w:tc>
        <w:tc>
          <w:tcPr>
            <w:tcW w:w="7180" w:type="dxa"/>
            <w:vAlign w:val="bottom"/>
          </w:tcPr>
          <w:p>
            <w:pPr>
              <w:ind w:left="260"/>
              <w:spacing w:after="0"/>
              <w:rPr>
                <w:sz w:val="20"/>
                <w:szCs w:val="20"/>
                <w:color w:val="auto"/>
              </w:rPr>
            </w:pPr>
            <w:r>
              <w:rPr>
                <w:rFonts w:ascii="Arial" w:cs="Arial" w:eastAsia="Arial" w:hAnsi="Arial"/>
                <w:sz w:val="18"/>
                <w:szCs w:val="18"/>
                <w:color w:val="auto"/>
              </w:rPr>
              <w:t>Certification of principal financial officer pursuant to</w:t>
            </w:r>
          </w:p>
        </w:tc>
        <w:tc>
          <w:tcPr>
            <w:tcW w:w="2740" w:type="dxa"/>
            <w:vAlign w:val="bottom"/>
          </w:tcPr>
          <w:p>
            <w:pPr>
              <w:ind w:left="2600"/>
              <w:spacing w:after="0"/>
              <w:rPr>
                <w:sz w:val="20"/>
                <w:szCs w:val="20"/>
                <w:color w:val="auto"/>
              </w:rPr>
            </w:pPr>
            <w:r>
              <w:rPr>
                <w:rFonts w:ascii="Arial" w:cs="Arial" w:eastAsia="Arial" w:hAnsi="Arial"/>
                <w:sz w:val="18"/>
                <w:szCs w:val="18"/>
                <w:color w:val="auto"/>
                <w:w w:val="99"/>
              </w:rPr>
              <w:t>X</w:t>
            </w:r>
          </w:p>
        </w:tc>
      </w:tr>
      <w:tr>
        <w:trPr>
          <w:trHeight w:val="216"/>
        </w:trPr>
        <w:tc>
          <w:tcPr>
            <w:tcW w:w="920" w:type="dxa"/>
            <w:vAlign w:val="bottom"/>
          </w:tcPr>
          <w:p>
            <w:pPr>
              <w:spacing w:after="0"/>
              <w:rPr>
                <w:sz w:val="18"/>
                <w:szCs w:val="18"/>
                <w:color w:val="auto"/>
              </w:rPr>
            </w:pPr>
          </w:p>
        </w:tc>
        <w:tc>
          <w:tcPr>
            <w:tcW w:w="7180" w:type="dxa"/>
            <w:vAlign w:val="bottom"/>
          </w:tcPr>
          <w:p>
            <w:pPr>
              <w:ind w:left="260"/>
              <w:spacing w:after="0"/>
              <w:rPr>
                <w:sz w:val="20"/>
                <w:szCs w:val="20"/>
                <w:color w:val="auto"/>
              </w:rPr>
            </w:pPr>
            <w:r>
              <w:rPr>
                <w:rFonts w:ascii="Arial" w:cs="Arial" w:eastAsia="Arial" w:hAnsi="Arial"/>
                <w:sz w:val="18"/>
                <w:szCs w:val="18"/>
                <w:color w:val="auto"/>
              </w:rPr>
              <w:t>Rule 13a-14(a)/15d-14(a) of the Securities Exchange Act of</w:t>
            </w:r>
          </w:p>
        </w:tc>
        <w:tc>
          <w:tcPr>
            <w:tcW w:w="2740" w:type="dxa"/>
            <w:vAlign w:val="bottom"/>
          </w:tcPr>
          <w:p>
            <w:pPr>
              <w:spacing w:after="0"/>
              <w:rPr>
                <w:sz w:val="18"/>
                <w:szCs w:val="18"/>
                <w:color w:val="auto"/>
              </w:rPr>
            </w:pPr>
          </w:p>
        </w:tc>
      </w:tr>
      <w:tr>
        <w:trPr>
          <w:trHeight w:val="230"/>
        </w:trPr>
        <w:tc>
          <w:tcPr>
            <w:tcW w:w="920" w:type="dxa"/>
            <w:vAlign w:val="bottom"/>
          </w:tcPr>
          <w:p>
            <w:pPr>
              <w:spacing w:after="0"/>
              <w:rPr>
                <w:sz w:val="20"/>
                <w:szCs w:val="20"/>
                <w:color w:val="auto"/>
              </w:rPr>
            </w:pPr>
          </w:p>
        </w:tc>
        <w:tc>
          <w:tcPr>
            <w:tcW w:w="7180" w:type="dxa"/>
            <w:vAlign w:val="bottom"/>
          </w:tcPr>
          <w:p>
            <w:pPr>
              <w:ind w:left="260"/>
              <w:spacing w:after="0"/>
              <w:rPr>
                <w:sz w:val="20"/>
                <w:szCs w:val="20"/>
                <w:color w:val="auto"/>
              </w:rPr>
            </w:pPr>
            <w:r>
              <w:rPr>
                <w:rFonts w:ascii="Arial" w:cs="Arial" w:eastAsia="Arial" w:hAnsi="Arial"/>
                <w:sz w:val="18"/>
                <w:szCs w:val="18"/>
                <w:color w:val="auto"/>
              </w:rPr>
              <w:t>1934, as amended</w:t>
            </w:r>
          </w:p>
        </w:tc>
        <w:tc>
          <w:tcPr>
            <w:tcW w:w="2740" w:type="dxa"/>
            <w:vAlign w:val="bottom"/>
          </w:tcPr>
          <w:p>
            <w:pPr>
              <w:spacing w:after="0"/>
              <w:rPr>
                <w:sz w:val="20"/>
                <w:szCs w:val="20"/>
                <w:color w:val="auto"/>
              </w:rPr>
            </w:pPr>
          </w:p>
        </w:tc>
      </w:tr>
      <w:tr>
        <w:trPr>
          <w:trHeight w:val="310"/>
        </w:trPr>
        <w:tc>
          <w:tcPr>
            <w:tcW w:w="920" w:type="dxa"/>
            <w:vAlign w:val="bottom"/>
          </w:tcPr>
          <w:p>
            <w:pPr>
              <w:ind w:left="80"/>
              <w:spacing w:after="0"/>
              <w:rPr>
                <w:sz w:val="20"/>
                <w:szCs w:val="20"/>
                <w:color w:val="auto"/>
              </w:rPr>
            </w:pPr>
            <w:r>
              <w:rPr>
                <w:rFonts w:ascii="Arial" w:cs="Arial" w:eastAsia="Arial" w:hAnsi="Arial"/>
                <w:sz w:val="18"/>
                <w:szCs w:val="18"/>
                <w:color w:val="auto"/>
              </w:rPr>
              <w:t>32.1</w:t>
            </w:r>
          </w:p>
        </w:tc>
        <w:tc>
          <w:tcPr>
            <w:tcW w:w="7180" w:type="dxa"/>
            <w:vAlign w:val="bottom"/>
          </w:tcPr>
          <w:p>
            <w:pPr>
              <w:ind w:left="260"/>
              <w:spacing w:after="0"/>
              <w:rPr>
                <w:sz w:val="20"/>
                <w:szCs w:val="20"/>
                <w:color w:val="auto"/>
              </w:rPr>
            </w:pPr>
            <w:r>
              <w:rPr>
                <w:rFonts w:ascii="Arial" w:cs="Arial" w:eastAsia="Arial" w:hAnsi="Arial"/>
                <w:sz w:val="18"/>
                <w:szCs w:val="18"/>
                <w:color w:val="auto"/>
              </w:rPr>
              <w:t>Certification of principal executive officer pursuant to</w:t>
            </w:r>
          </w:p>
        </w:tc>
        <w:tc>
          <w:tcPr>
            <w:tcW w:w="2740" w:type="dxa"/>
            <w:vAlign w:val="bottom"/>
          </w:tcPr>
          <w:p>
            <w:pPr>
              <w:ind w:left="2600"/>
              <w:spacing w:after="0"/>
              <w:rPr>
                <w:sz w:val="20"/>
                <w:szCs w:val="20"/>
                <w:color w:val="auto"/>
              </w:rPr>
            </w:pPr>
            <w:r>
              <w:rPr>
                <w:rFonts w:ascii="Arial" w:cs="Arial" w:eastAsia="Arial" w:hAnsi="Arial"/>
                <w:sz w:val="18"/>
                <w:szCs w:val="18"/>
                <w:color w:val="auto"/>
                <w:w w:val="99"/>
              </w:rPr>
              <w:t>X</w:t>
            </w:r>
          </w:p>
        </w:tc>
      </w:tr>
      <w:tr>
        <w:trPr>
          <w:trHeight w:val="216"/>
        </w:trPr>
        <w:tc>
          <w:tcPr>
            <w:tcW w:w="920" w:type="dxa"/>
            <w:vAlign w:val="bottom"/>
          </w:tcPr>
          <w:p>
            <w:pPr>
              <w:spacing w:after="0"/>
              <w:rPr>
                <w:sz w:val="18"/>
                <w:szCs w:val="18"/>
                <w:color w:val="auto"/>
              </w:rPr>
            </w:pPr>
          </w:p>
        </w:tc>
        <w:tc>
          <w:tcPr>
            <w:tcW w:w="7180" w:type="dxa"/>
            <w:vAlign w:val="bottom"/>
          </w:tcPr>
          <w:p>
            <w:pPr>
              <w:ind w:left="260"/>
              <w:spacing w:after="0"/>
              <w:rPr>
                <w:sz w:val="20"/>
                <w:szCs w:val="20"/>
                <w:color w:val="auto"/>
              </w:rPr>
            </w:pPr>
            <w:r>
              <w:rPr>
                <w:rFonts w:ascii="Arial" w:cs="Arial" w:eastAsia="Arial" w:hAnsi="Arial"/>
                <w:sz w:val="18"/>
                <w:szCs w:val="18"/>
                <w:color w:val="auto"/>
              </w:rPr>
              <w:t>18 U.S.C. §1350, as adopted pursuant to Section 906 of the</w:t>
            </w:r>
          </w:p>
        </w:tc>
        <w:tc>
          <w:tcPr>
            <w:tcW w:w="2740" w:type="dxa"/>
            <w:vAlign w:val="bottom"/>
          </w:tcPr>
          <w:p>
            <w:pPr>
              <w:spacing w:after="0"/>
              <w:rPr>
                <w:sz w:val="18"/>
                <w:szCs w:val="18"/>
                <w:color w:val="auto"/>
              </w:rPr>
            </w:pPr>
          </w:p>
        </w:tc>
      </w:tr>
      <w:tr>
        <w:trPr>
          <w:trHeight w:val="230"/>
        </w:trPr>
        <w:tc>
          <w:tcPr>
            <w:tcW w:w="920" w:type="dxa"/>
            <w:vAlign w:val="bottom"/>
          </w:tcPr>
          <w:p>
            <w:pPr>
              <w:spacing w:after="0"/>
              <w:rPr>
                <w:sz w:val="20"/>
                <w:szCs w:val="20"/>
                <w:color w:val="auto"/>
              </w:rPr>
            </w:pPr>
          </w:p>
        </w:tc>
        <w:tc>
          <w:tcPr>
            <w:tcW w:w="7180" w:type="dxa"/>
            <w:vAlign w:val="bottom"/>
          </w:tcPr>
          <w:p>
            <w:pPr>
              <w:ind w:left="260"/>
              <w:spacing w:after="0"/>
              <w:rPr>
                <w:sz w:val="20"/>
                <w:szCs w:val="20"/>
                <w:color w:val="auto"/>
              </w:rPr>
            </w:pPr>
            <w:r>
              <w:rPr>
                <w:rFonts w:ascii="Arial" w:cs="Arial" w:eastAsia="Arial" w:hAnsi="Arial"/>
                <w:sz w:val="18"/>
                <w:szCs w:val="18"/>
                <w:color w:val="auto"/>
              </w:rPr>
              <w:t>Sarbanes-Oxley Act of 2002</w:t>
            </w:r>
          </w:p>
        </w:tc>
        <w:tc>
          <w:tcPr>
            <w:tcW w:w="2740" w:type="dxa"/>
            <w:vAlign w:val="bottom"/>
          </w:tcPr>
          <w:p>
            <w:pPr>
              <w:spacing w:after="0"/>
              <w:rPr>
                <w:sz w:val="20"/>
                <w:szCs w:val="20"/>
                <w:color w:val="auto"/>
              </w:rPr>
            </w:pPr>
          </w:p>
        </w:tc>
      </w:tr>
      <w:tr>
        <w:trPr>
          <w:trHeight w:val="310"/>
        </w:trPr>
        <w:tc>
          <w:tcPr>
            <w:tcW w:w="920" w:type="dxa"/>
            <w:vAlign w:val="bottom"/>
          </w:tcPr>
          <w:p>
            <w:pPr>
              <w:ind w:left="80"/>
              <w:spacing w:after="0"/>
              <w:rPr>
                <w:sz w:val="20"/>
                <w:szCs w:val="20"/>
                <w:color w:val="auto"/>
              </w:rPr>
            </w:pPr>
            <w:r>
              <w:rPr>
                <w:rFonts w:ascii="Arial" w:cs="Arial" w:eastAsia="Arial" w:hAnsi="Arial"/>
                <w:sz w:val="18"/>
                <w:szCs w:val="18"/>
                <w:color w:val="auto"/>
              </w:rPr>
              <w:t>32.2</w:t>
            </w:r>
          </w:p>
        </w:tc>
        <w:tc>
          <w:tcPr>
            <w:tcW w:w="7180" w:type="dxa"/>
            <w:vAlign w:val="bottom"/>
          </w:tcPr>
          <w:p>
            <w:pPr>
              <w:ind w:left="260"/>
              <w:spacing w:after="0"/>
              <w:rPr>
                <w:sz w:val="20"/>
                <w:szCs w:val="20"/>
                <w:color w:val="auto"/>
              </w:rPr>
            </w:pPr>
            <w:r>
              <w:rPr>
                <w:rFonts w:ascii="Arial" w:cs="Arial" w:eastAsia="Arial" w:hAnsi="Arial"/>
                <w:sz w:val="18"/>
                <w:szCs w:val="18"/>
                <w:color w:val="auto"/>
              </w:rPr>
              <w:t>Certification of principal financial officer pursuant to</w:t>
            </w:r>
          </w:p>
        </w:tc>
        <w:tc>
          <w:tcPr>
            <w:tcW w:w="2740" w:type="dxa"/>
            <w:vAlign w:val="bottom"/>
          </w:tcPr>
          <w:p>
            <w:pPr>
              <w:ind w:left="2600"/>
              <w:spacing w:after="0"/>
              <w:rPr>
                <w:sz w:val="20"/>
                <w:szCs w:val="20"/>
                <w:color w:val="auto"/>
              </w:rPr>
            </w:pPr>
            <w:r>
              <w:rPr>
                <w:rFonts w:ascii="Arial" w:cs="Arial" w:eastAsia="Arial" w:hAnsi="Arial"/>
                <w:sz w:val="18"/>
                <w:szCs w:val="18"/>
                <w:color w:val="auto"/>
                <w:w w:val="99"/>
              </w:rPr>
              <w:t>X</w:t>
            </w:r>
          </w:p>
        </w:tc>
      </w:tr>
      <w:tr>
        <w:trPr>
          <w:trHeight w:val="216"/>
        </w:trPr>
        <w:tc>
          <w:tcPr>
            <w:tcW w:w="920" w:type="dxa"/>
            <w:vAlign w:val="bottom"/>
          </w:tcPr>
          <w:p>
            <w:pPr>
              <w:spacing w:after="0"/>
              <w:rPr>
                <w:sz w:val="18"/>
                <w:szCs w:val="18"/>
                <w:color w:val="auto"/>
              </w:rPr>
            </w:pPr>
          </w:p>
        </w:tc>
        <w:tc>
          <w:tcPr>
            <w:tcW w:w="7180" w:type="dxa"/>
            <w:vAlign w:val="bottom"/>
          </w:tcPr>
          <w:p>
            <w:pPr>
              <w:ind w:left="260"/>
              <w:spacing w:after="0"/>
              <w:rPr>
                <w:sz w:val="20"/>
                <w:szCs w:val="20"/>
                <w:color w:val="auto"/>
              </w:rPr>
            </w:pPr>
            <w:r>
              <w:rPr>
                <w:rFonts w:ascii="Arial" w:cs="Arial" w:eastAsia="Arial" w:hAnsi="Arial"/>
                <w:sz w:val="18"/>
                <w:szCs w:val="18"/>
                <w:color w:val="auto"/>
              </w:rPr>
              <w:t>18 U.S.C. §1350, as adopted pursuant to Section 906 of the</w:t>
            </w:r>
          </w:p>
        </w:tc>
        <w:tc>
          <w:tcPr>
            <w:tcW w:w="2740" w:type="dxa"/>
            <w:vAlign w:val="bottom"/>
          </w:tcPr>
          <w:p>
            <w:pPr>
              <w:spacing w:after="0"/>
              <w:rPr>
                <w:sz w:val="18"/>
                <w:szCs w:val="18"/>
                <w:color w:val="auto"/>
              </w:rPr>
            </w:pPr>
          </w:p>
        </w:tc>
      </w:tr>
      <w:tr>
        <w:trPr>
          <w:trHeight w:val="230"/>
        </w:trPr>
        <w:tc>
          <w:tcPr>
            <w:tcW w:w="920" w:type="dxa"/>
            <w:vAlign w:val="bottom"/>
          </w:tcPr>
          <w:p>
            <w:pPr>
              <w:spacing w:after="0"/>
              <w:rPr>
                <w:sz w:val="20"/>
                <w:szCs w:val="20"/>
                <w:color w:val="auto"/>
              </w:rPr>
            </w:pPr>
          </w:p>
        </w:tc>
        <w:tc>
          <w:tcPr>
            <w:tcW w:w="7180" w:type="dxa"/>
            <w:vAlign w:val="bottom"/>
          </w:tcPr>
          <w:p>
            <w:pPr>
              <w:ind w:left="260"/>
              <w:spacing w:after="0"/>
              <w:rPr>
                <w:sz w:val="20"/>
                <w:szCs w:val="20"/>
                <w:color w:val="auto"/>
              </w:rPr>
            </w:pPr>
            <w:r>
              <w:rPr>
                <w:rFonts w:ascii="Arial" w:cs="Arial" w:eastAsia="Arial" w:hAnsi="Arial"/>
                <w:sz w:val="18"/>
                <w:szCs w:val="18"/>
                <w:color w:val="auto"/>
              </w:rPr>
              <w:t>Sarbanes-Oxley Act of 2002</w:t>
            </w:r>
          </w:p>
        </w:tc>
        <w:tc>
          <w:tcPr>
            <w:tcW w:w="2740" w:type="dxa"/>
            <w:vAlign w:val="bottom"/>
          </w:tcPr>
          <w:p>
            <w:pPr>
              <w:spacing w:after="0"/>
              <w:rPr>
                <w:sz w:val="20"/>
                <w:szCs w:val="20"/>
                <w:color w:val="auto"/>
              </w:rPr>
            </w:pP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7180" w:type="dxa"/>
            <w:vAlign w:val="bottom"/>
          </w:tcPr>
          <w:p>
            <w:pPr>
              <w:ind w:left="260"/>
              <w:spacing w:after="0"/>
              <w:rPr>
                <w:sz w:val="20"/>
                <w:szCs w:val="20"/>
                <w:color w:val="auto"/>
              </w:rPr>
            </w:pPr>
            <w:r>
              <w:rPr>
                <w:rFonts w:ascii="Arial" w:cs="Arial" w:eastAsia="Arial" w:hAnsi="Arial"/>
                <w:sz w:val="18"/>
                <w:szCs w:val="18"/>
                <w:color w:val="auto"/>
              </w:rPr>
              <w:t>XBRL Instance Document*</w:t>
            </w:r>
          </w:p>
        </w:tc>
        <w:tc>
          <w:tcPr>
            <w:tcW w:w="2740" w:type="dxa"/>
            <w:vAlign w:val="bottom"/>
          </w:tcPr>
          <w:p>
            <w:pPr>
              <w:ind w:left="2600"/>
              <w:spacing w:after="0"/>
              <w:rPr>
                <w:sz w:val="20"/>
                <w:szCs w:val="20"/>
                <w:color w:val="auto"/>
              </w:rPr>
            </w:pPr>
            <w:r>
              <w:rPr>
                <w:rFonts w:ascii="Arial" w:cs="Arial" w:eastAsia="Arial" w:hAnsi="Arial"/>
                <w:sz w:val="18"/>
                <w:szCs w:val="18"/>
                <w:color w:val="auto"/>
                <w:w w:val="99"/>
              </w:rPr>
              <w:t>X</w:t>
            </w: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7180" w:type="dxa"/>
            <w:vAlign w:val="bottom"/>
          </w:tcPr>
          <w:p>
            <w:pPr>
              <w:ind w:left="260"/>
              <w:spacing w:after="0"/>
              <w:rPr>
                <w:sz w:val="20"/>
                <w:szCs w:val="20"/>
                <w:color w:val="auto"/>
              </w:rPr>
            </w:pPr>
            <w:r>
              <w:rPr>
                <w:rFonts w:ascii="Arial" w:cs="Arial" w:eastAsia="Arial" w:hAnsi="Arial"/>
                <w:sz w:val="18"/>
                <w:szCs w:val="18"/>
                <w:color w:val="auto"/>
              </w:rPr>
              <w:t>XBRL Taxonomy Extension Schema Document*</w:t>
            </w:r>
          </w:p>
        </w:tc>
        <w:tc>
          <w:tcPr>
            <w:tcW w:w="2740" w:type="dxa"/>
            <w:vAlign w:val="bottom"/>
          </w:tcPr>
          <w:p>
            <w:pPr>
              <w:ind w:left="2600"/>
              <w:spacing w:after="0"/>
              <w:rPr>
                <w:sz w:val="20"/>
                <w:szCs w:val="20"/>
                <w:color w:val="auto"/>
              </w:rPr>
            </w:pPr>
            <w:r>
              <w:rPr>
                <w:rFonts w:ascii="Arial" w:cs="Arial" w:eastAsia="Arial" w:hAnsi="Arial"/>
                <w:sz w:val="18"/>
                <w:szCs w:val="18"/>
                <w:color w:val="auto"/>
                <w:w w:val="99"/>
              </w:rPr>
              <w:t>X</w:t>
            </w: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7180" w:type="dxa"/>
            <w:vAlign w:val="bottom"/>
          </w:tcPr>
          <w:p>
            <w:pPr>
              <w:ind w:left="260"/>
              <w:spacing w:after="0"/>
              <w:rPr>
                <w:sz w:val="20"/>
                <w:szCs w:val="20"/>
                <w:color w:val="auto"/>
              </w:rPr>
            </w:pPr>
            <w:r>
              <w:rPr>
                <w:rFonts w:ascii="Arial" w:cs="Arial" w:eastAsia="Arial" w:hAnsi="Arial"/>
                <w:sz w:val="18"/>
                <w:szCs w:val="18"/>
                <w:color w:val="auto"/>
              </w:rPr>
              <w:t>XBRL Taxonomy Calculation Linkbase Document*</w:t>
            </w:r>
          </w:p>
        </w:tc>
        <w:tc>
          <w:tcPr>
            <w:tcW w:w="2740" w:type="dxa"/>
            <w:vAlign w:val="bottom"/>
          </w:tcPr>
          <w:p>
            <w:pPr>
              <w:ind w:left="2600"/>
              <w:spacing w:after="0"/>
              <w:rPr>
                <w:sz w:val="20"/>
                <w:szCs w:val="20"/>
                <w:color w:val="auto"/>
              </w:rPr>
            </w:pPr>
            <w:r>
              <w:rPr>
                <w:rFonts w:ascii="Arial" w:cs="Arial" w:eastAsia="Arial" w:hAnsi="Arial"/>
                <w:sz w:val="18"/>
                <w:szCs w:val="18"/>
                <w:color w:val="auto"/>
                <w:w w:val="99"/>
              </w:rPr>
              <w:t>X</w:t>
            </w:r>
          </w:p>
        </w:tc>
      </w:tr>
      <w:tr>
        <w:trPr>
          <w:trHeight w:val="323"/>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7180" w:type="dxa"/>
            <w:vAlign w:val="bottom"/>
          </w:tcPr>
          <w:p>
            <w:pPr>
              <w:ind w:left="260"/>
              <w:spacing w:after="0"/>
              <w:rPr>
                <w:sz w:val="20"/>
                <w:szCs w:val="20"/>
                <w:color w:val="auto"/>
              </w:rPr>
            </w:pPr>
            <w:r>
              <w:rPr>
                <w:rFonts w:ascii="Arial" w:cs="Arial" w:eastAsia="Arial" w:hAnsi="Arial"/>
                <w:sz w:val="18"/>
                <w:szCs w:val="18"/>
                <w:color w:val="auto"/>
              </w:rPr>
              <w:t>XBRL Taxonomy Extension Definition Linkbase</w:t>
            </w:r>
          </w:p>
        </w:tc>
        <w:tc>
          <w:tcPr>
            <w:tcW w:w="2740" w:type="dxa"/>
            <w:vAlign w:val="bottom"/>
          </w:tcPr>
          <w:p>
            <w:pPr>
              <w:ind w:left="2600"/>
              <w:spacing w:after="0"/>
              <w:rPr>
                <w:sz w:val="20"/>
                <w:szCs w:val="20"/>
                <w:color w:val="auto"/>
              </w:rPr>
            </w:pPr>
            <w:r>
              <w:rPr>
                <w:rFonts w:ascii="Arial" w:cs="Arial" w:eastAsia="Arial" w:hAnsi="Arial"/>
                <w:sz w:val="18"/>
                <w:szCs w:val="18"/>
                <w:color w:val="auto"/>
                <w:w w:val="99"/>
              </w:rPr>
              <w:t>X</w:t>
            </w:r>
          </w:p>
        </w:tc>
      </w:tr>
      <w:tr>
        <w:trPr>
          <w:trHeight w:val="230"/>
        </w:trPr>
        <w:tc>
          <w:tcPr>
            <w:tcW w:w="920" w:type="dxa"/>
            <w:vAlign w:val="bottom"/>
          </w:tcPr>
          <w:p>
            <w:pPr>
              <w:spacing w:after="0"/>
              <w:rPr>
                <w:sz w:val="20"/>
                <w:szCs w:val="20"/>
                <w:color w:val="auto"/>
              </w:rPr>
            </w:pPr>
          </w:p>
        </w:tc>
        <w:tc>
          <w:tcPr>
            <w:tcW w:w="7180" w:type="dxa"/>
            <w:vAlign w:val="bottom"/>
          </w:tcPr>
          <w:p>
            <w:pPr>
              <w:ind w:left="260"/>
              <w:spacing w:after="0"/>
              <w:rPr>
                <w:sz w:val="20"/>
                <w:szCs w:val="20"/>
                <w:color w:val="auto"/>
              </w:rPr>
            </w:pPr>
            <w:r>
              <w:rPr>
                <w:rFonts w:ascii="Arial" w:cs="Arial" w:eastAsia="Arial" w:hAnsi="Arial"/>
                <w:sz w:val="18"/>
                <w:szCs w:val="18"/>
                <w:color w:val="auto"/>
              </w:rPr>
              <w:t>Document*</w:t>
            </w:r>
          </w:p>
        </w:tc>
        <w:tc>
          <w:tcPr>
            <w:tcW w:w="2740" w:type="dxa"/>
            <w:vAlign w:val="bottom"/>
          </w:tcPr>
          <w:p>
            <w:pPr>
              <w:spacing w:after="0"/>
              <w:rPr>
                <w:sz w:val="20"/>
                <w:szCs w:val="20"/>
                <w:color w:val="auto"/>
              </w:rPr>
            </w:pP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7180" w:type="dxa"/>
            <w:vAlign w:val="bottom"/>
          </w:tcPr>
          <w:p>
            <w:pPr>
              <w:ind w:left="260"/>
              <w:spacing w:after="0"/>
              <w:rPr>
                <w:sz w:val="20"/>
                <w:szCs w:val="20"/>
                <w:color w:val="auto"/>
              </w:rPr>
            </w:pPr>
            <w:r>
              <w:rPr>
                <w:rFonts w:ascii="Arial" w:cs="Arial" w:eastAsia="Arial" w:hAnsi="Arial"/>
                <w:sz w:val="18"/>
                <w:szCs w:val="18"/>
                <w:color w:val="auto"/>
              </w:rPr>
              <w:t>XBRL Taxonomy Label Linkbase Document*</w:t>
            </w:r>
          </w:p>
        </w:tc>
        <w:tc>
          <w:tcPr>
            <w:tcW w:w="2740" w:type="dxa"/>
            <w:vAlign w:val="bottom"/>
          </w:tcPr>
          <w:p>
            <w:pPr>
              <w:ind w:left="2600"/>
              <w:spacing w:after="0"/>
              <w:rPr>
                <w:sz w:val="20"/>
                <w:szCs w:val="20"/>
                <w:color w:val="auto"/>
              </w:rPr>
            </w:pPr>
            <w:r>
              <w:rPr>
                <w:rFonts w:ascii="Arial" w:cs="Arial" w:eastAsia="Arial" w:hAnsi="Arial"/>
                <w:sz w:val="18"/>
                <w:szCs w:val="18"/>
                <w:color w:val="auto"/>
                <w:w w:val="99"/>
              </w:rPr>
              <w:t>X</w:t>
            </w: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7180" w:type="dxa"/>
            <w:vAlign w:val="bottom"/>
          </w:tcPr>
          <w:p>
            <w:pPr>
              <w:ind w:left="260"/>
              <w:spacing w:after="0"/>
              <w:rPr>
                <w:sz w:val="20"/>
                <w:szCs w:val="20"/>
                <w:color w:val="auto"/>
              </w:rPr>
            </w:pPr>
            <w:r>
              <w:rPr>
                <w:rFonts w:ascii="Arial" w:cs="Arial" w:eastAsia="Arial" w:hAnsi="Arial"/>
                <w:sz w:val="18"/>
                <w:szCs w:val="18"/>
                <w:color w:val="auto"/>
              </w:rPr>
              <w:t>XBRL Taxonomy Presentation Linkbase Document*</w:t>
            </w:r>
          </w:p>
        </w:tc>
        <w:tc>
          <w:tcPr>
            <w:tcW w:w="2740" w:type="dxa"/>
            <w:vAlign w:val="bottom"/>
          </w:tcPr>
          <w:p>
            <w:pPr>
              <w:ind w:left="2600"/>
              <w:spacing w:after="0"/>
              <w:rPr>
                <w:sz w:val="20"/>
                <w:szCs w:val="20"/>
                <w:color w:val="auto"/>
              </w:rPr>
            </w:pPr>
            <w:r>
              <w:rPr>
                <w:rFonts w:ascii="Arial" w:cs="Arial" w:eastAsia="Arial" w:hAnsi="Arial"/>
                <w:sz w:val="18"/>
                <w:szCs w:val="18"/>
                <w:color w:val="auto"/>
                <w:w w:val="99"/>
              </w:rPr>
              <w:t>X</w:t>
            </w:r>
          </w:p>
        </w:tc>
      </w:tr>
    </w:tbl>
    <w:p>
      <w:pPr>
        <w:spacing w:after="0" w:line="107" w:lineRule="exact"/>
        <w:rPr>
          <w:sz w:val="20"/>
          <w:szCs w:val="20"/>
          <w:color w:val="auto"/>
        </w:rPr>
      </w:pPr>
    </w:p>
    <w:p>
      <w:pPr>
        <w:ind w:left="512" w:hanging="512"/>
        <w:spacing w:after="0"/>
        <w:tabs>
          <w:tab w:leader="none" w:pos="512"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Submitted electronically herewith</w:t>
      </w:r>
    </w:p>
    <w:p>
      <w:pPr>
        <w:spacing w:after="0" w:line="117" w:lineRule="exact"/>
        <w:rPr>
          <w:sz w:val="20"/>
          <w:szCs w:val="20"/>
          <w:color w:val="auto"/>
        </w:rPr>
      </w:pPr>
    </w:p>
    <w:p>
      <w:pPr>
        <w:ind w:left="512" w:right="400" w:hanging="512"/>
        <w:spacing w:after="0" w:line="277" w:lineRule="auto"/>
        <w:tabs>
          <w:tab w:leader="none" w:pos="512"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Confidential treatment requested as to certain portions, which portions have been omitted and filed separately with the Securities and Exchange Commission.</w:t>
      </w:r>
    </w:p>
    <w:p>
      <w:pPr>
        <w:sectPr>
          <w:pgSz w:w="11900" w:h="16838" w:orient="portrait"/>
          <w:cols w:equalWidth="0" w:num="1">
            <w:col w:w="11252"/>
          </w:cols>
          <w:pgMar w:left="248" w:top="121" w:right="39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43180</wp:posOffset>
            </wp:positionV>
            <wp:extent cx="1414780" cy="2743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41478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color w:val="auto"/>
        </w:rPr>
        <w:t>November 1, 2016</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22"/>
          <w:szCs w:val="22"/>
          <w:color w:val="auto"/>
        </w:rPr>
        <w:t>Gregg Beloff, Principal</w:t>
      </w:r>
    </w:p>
    <w:p>
      <w:pPr>
        <w:ind w:left="200"/>
        <w:spacing w:after="0" w:line="230" w:lineRule="auto"/>
        <w:rPr>
          <w:sz w:val="20"/>
          <w:szCs w:val="20"/>
          <w:color w:val="auto"/>
        </w:rPr>
      </w:pPr>
      <w:r>
        <w:rPr>
          <w:rFonts w:ascii="Arial" w:cs="Arial" w:eastAsia="Arial" w:hAnsi="Arial"/>
          <w:sz w:val="22"/>
          <w:szCs w:val="22"/>
          <w:color w:val="auto"/>
        </w:rPr>
        <w:t>Danforth Advisors, LLC</w:t>
      </w:r>
    </w:p>
    <w:p>
      <w:pPr>
        <w:spacing w:after="0" w:line="1" w:lineRule="exact"/>
        <w:rPr>
          <w:sz w:val="20"/>
          <w:szCs w:val="20"/>
          <w:color w:val="auto"/>
        </w:rPr>
      </w:pPr>
    </w:p>
    <w:p>
      <w:pPr>
        <w:ind w:left="200" w:right="8940" w:firstLine="6"/>
        <w:spacing w:after="0" w:line="275" w:lineRule="auto"/>
        <w:tabs>
          <w:tab w:leader="none" w:pos="482" w:val="left"/>
        </w:tabs>
        <w:numPr>
          <w:ilvl w:val="0"/>
          <w:numId w:val="47"/>
        </w:numPr>
        <w:rPr>
          <w:rFonts w:ascii="Arial" w:cs="Arial" w:eastAsia="Arial" w:hAnsi="Arial"/>
          <w:sz w:val="20"/>
          <w:szCs w:val="20"/>
          <w:color w:val="auto"/>
        </w:rPr>
      </w:pPr>
      <w:r>
        <w:rPr>
          <w:rFonts w:ascii="Arial" w:cs="Arial" w:eastAsia="Arial" w:hAnsi="Arial"/>
          <w:sz w:val="20"/>
          <w:szCs w:val="20"/>
          <w:color w:val="auto"/>
        </w:rPr>
        <w:t>Middle Road Southborough, MA 01772</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22"/>
          <w:szCs w:val="22"/>
          <w:color w:val="auto"/>
        </w:rPr>
        <w:t>Dear Gregg:</w:t>
      </w:r>
    </w:p>
    <w:p>
      <w:pPr>
        <w:spacing w:after="0" w:line="220" w:lineRule="exact"/>
        <w:rPr>
          <w:sz w:val="20"/>
          <w:szCs w:val="20"/>
          <w:color w:val="auto"/>
        </w:rPr>
      </w:pPr>
    </w:p>
    <w:p>
      <w:pPr>
        <w:jc w:val="both"/>
        <w:ind w:left="180" w:right="60" w:firstLine="16"/>
        <w:spacing w:after="0"/>
        <w:rPr>
          <w:sz w:val="20"/>
          <w:szCs w:val="20"/>
          <w:color w:val="auto"/>
        </w:rPr>
      </w:pPr>
      <w:r>
        <w:rPr>
          <w:rFonts w:ascii="Arial" w:cs="Arial" w:eastAsia="Arial" w:hAnsi="Arial"/>
          <w:sz w:val="22"/>
          <w:szCs w:val="22"/>
          <w:color w:val="auto"/>
        </w:rPr>
        <w:t>This letter is in reference to the Consulting Agreement between Cerulean Pharma Inc. ("Cerulean") and Danforth Advisors, LLC dated May 27, 2015 (as amended, the “Agreement”). Capitalized terms used herein and not otherwise defined shall have the meaning given such terms in the Agreement.</w:t>
      </w:r>
    </w:p>
    <w:p>
      <w:pPr>
        <w:spacing w:after="0" w:line="213" w:lineRule="exact"/>
        <w:rPr>
          <w:sz w:val="20"/>
          <w:szCs w:val="20"/>
          <w:color w:val="auto"/>
        </w:rPr>
      </w:pPr>
    </w:p>
    <w:p>
      <w:pPr>
        <w:ind w:left="180" w:right="260" w:firstLine="8"/>
        <w:spacing w:after="0" w:line="244" w:lineRule="auto"/>
        <w:rPr>
          <w:sz w:val="20"/>
          <w:szCs w:val="20"/>
          <w:color w:val="auto"/>
        </w:rPr>
      </w:pPr>
      <w:r>
        <w:rPr>
          <w:rFonts w:ascii="Arial" w:cs="Arial" w:eastAsia="Arial" w:hAnsi="Arial"/>
          <w:sz w:val="21"/>
          <w:szCs w:val="21"/>
          <w:color w:val="auto"/>
        </w:rPr>
        <w:t>In accordance with recent discussions, and consistent with the nonqualified stock option granted to you individually on August 22, 2016, this letter is to document our agreement to further extend the term of the Agreement through August 30, 2018. All other terms of your agreement remain unchanged, and in full force and effect.</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21"/>
          <w:szCs w:val="21"/>
          <w:color w:val="auto"/>
        </w:rPr>
        <w:t>If you agree to this extension, please sign below where your name appears and return one fully executed copy to me.</w:t>
      </w:r>
    </w:p>
    <w:p>
      <w:pPr>
        <w:spacing w:after="0" w:line="380" w:lineRule="exact"/>
        <w:rPr>
          <w:sz w:val="20"/>
          <w:szCs w:val="20"/>
          <w:color w:val="auto"/>
        </w:rPr>
      </w:pPr>
    </w:p>
    <w:p>
      <w:pPr>
        <w:ind w:left="6320"/>
        <w:spacing w:after="0"/>
        <w:rPr>
          <w:sz w:val="20"/>
          <w:szCs w:val="20"/>
          <w:color w:val="auto"/>
        </w:rPr>
      </w:pPr>
      <w:r>
        <w:rPr>
          <w:rFonts w:ascii="Arial" w:cs="Arial" w:eastAsia="Arial" w:hAnsi="Arial"/>
          <w:sz w:val="22"/>
          <w:szCs w:val="22"/>
          <w:color w:val="auto"/>
        </w:rPr>
        <w:t>Very truly yours,</w:t>
      </w:r>
    </w:p>
    <w:p>
      <w:pPr>
        <w:spacing w:after="0" w:line="314" w:lineRule="exact"/>
        <w:rPr>
          <w:sz w:val="20"/>
          <w:szCs w:val="20"/>
          <w:color w:val="auto"/>
        </w:rPr>
      </w:pPr>
    </w:p>
    <w:p>
      <w:pPr>
        <w:ind w:left="6320"/>
        <w:spacing w:after="0"/>
        <w:rPr>
          <w:sz w:val="20"/>
          <w:szCs w:val="20"/>
          <w:color w:val="auto"/>
        </w:rPr>
      </w:pPr>
      <w:r>
        <w:rPr>
          <w:rFonts w:ascii="Arial" w:cs="Arial" w:eastAsia="Arial" w:hAnsi="Arial"/>
          <w:sz w:val="22"/>
          <w:szCs w:val="22"/>
          <w:color w:val="auto"/>
        </w:rPr>
        <w:t>CERULEAN PHARMA INC</w:t>
      </w:r>
    </w:p>
    <w:p>
      <w:pPr>
        <w:spacing w:after="0" w:line="200" w:lineRule="exact"/>
        <w:rPr>
          <w:sz w:val="20"/>
          <w:szCs w:val="20"/>
          <w:color w:val="auto"/>
        </w:rPr>
      </w:pPr>
    </w:p>
    <w:p>
      <w:pPr>
        <w:spacing w:after="0" w:line="398" w:lineRule="exact"/>
        <w:rPr>
          <w:sz w:val="20"/>
          <w:szCs w:val="20"/>
          <w:color w:val="auto"/>
        </w:rPr>
      </w:pPr>
    </w:p>
    <w:p>
      <w:pPr>
        <w:ind w:left="63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Alejandra Carvajal</w:t>
      </w:r>
    </w:p>
    <w:p>
      <w:pPr>
        <w:spacing w:after="0" w:line="31" w:lineRule="exact"/>
        <w:rPr>
          <w:sz w:val="20"/>
          <w:szCs w:val="20"/>
          <w:color w:val="auto"/>
        </w:rPr>
      </w:pPr>
    </w:p>
    <w:p>
      <w:pPr>
        <w:ind w:left="6840"/>
        <w:spacing w:after="0"/>
        <w:rPr>
          <w:sz w:val="20"/>
          <w:szCs w:val="20"/>
          <w:color w:val="auto"/>
        </w:rPr>
      </w:pPr>
      <w:r>
        <w:rPr>
          <w:rFonts w:ascii="Arial" w:cs="Arial" w:eastAsia="Arial" w:hAnsi="Arial"/>
          <w:sz w:val="22"/>
          <w:szCs w:val="22"/>
          <w:color w:val="auto"/>
        </w:rPr>
        <w:t>Alejandra Carvajal</w:t>
      </w:r>
    </w:p>
    <w:p>
      <w:pPr>
        <w:spacing w:after="0" w:line="31"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Vice President, General Counsel</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auto"/>
        </w:rPr>
        <w:t>Agreed to:</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color w:val="auto"/>
        </w:rPr>
        <w:t>Danforth Advisors, LLC</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Gregg Beloff, Managing</w:t>
      </w:r>
    </w:p>
    <w:p>
      <w:pPr>
        <w:spacing w:after="0" w:line="31" w:lineRule="exact"/>
        <w:rPr>
          <w:sz w:val="20"/>
          <w:szCs w:val="20"/>
          <w:color w:val="auto"/>
        </w:rPr>
      </w:pPr>
    </w:p>
    <w:p>
      <w:pPr>
        <w:ind w:left="540"/>
        <w:spacing w:after="0"/>
        <w:rPr>
          <w:sz w:val="20"/>
          <w:szCs w:val="20"/>
          <w:color w:val="auto"/>
        </w:rPr>
      </w:pPr>
      <w:r>
        <w:rPr>
          <w:rFonts w:ascii="Arial" w:cs="Arial" w:eastAsia="Arial" w:hAnsi="Arial"/>
          <w:sz w:val="22"/>
          <w:szCs w:val="22"/>
          <w:color w:val="auto"/>
        </w:rPr>
        <w:t>Gregg Beloff, Managing Director</w:t>
      </w:r>
    </w:p>
    <w:p>
      <w:pPr>
        <w:spacing w:after="0" w:line="200" w:lineRule="exact"/>
        <w:rPr>
          <w:sz w:val="20"/>
          <w:szCs w:val="20"/>
          <w:color w:val="auto"/>
        </w:rPr>
      </w:pPr>
    </w:p>
    <w:p>
      <w:pPr>
        <w:spacing w:after="0" w:line="389" w:lineRule="exact"/>
        <w:rPr>
          <w:sz w:val="20"/>
          <w:szCs w:val="20"/>
          <w:color w:val="auto"/>
        </w:rPr>
      </w:pPr>
    </w:p>
    <w:p>
      <w:pPr>
        <w:ind w:left="1280"/>
        <w:spacing w:after="0"/>
        <w:rPr>
          <w:sz w:val="20"/>
          <w:szCs w:val="20"/>
          <w:color w:val="auto"/>
        </w:rPr>
      </w:pPr>
      <w:r>
        <w:rPr>
          <w:rFonts w:ascii="Arial" w:cs="Arial" w:eastAsia="Arial" w:hAnsi="Arial"/>
          <w:sz w:val="15"/>
          <w:szCs w:val="15"/>
          <w:color w:val="3D6285"/>
        </w:rPr>
        <w:t>Cerulean Pharma Inc</w:t>
      </w:r>
      <w:r>
        <w:rPr>
          <w:rFonts w:ascii="Arial" w:cs="Arial" w:eastAsia="Arial" w:hAnsi="Arial"/>
          <w:sz w:val="15"/>
          <w:szCs w:val="15"/>
          <w:color w:val="5D728C"/>
        </w:rPr>
        <w:t>. |</w:t>
      </w:r>
      <w:r>
        <w:rPr>
          <w:rFonts w:ascii="Arial" w:cs="Arial" w:eastAsia="Arial" w:hAnsi="Arial"/>
          <w:sz w:val="15"/>
          <w:szCs w:val="15"/>
          <w:color w:val="3D6285"/>
        </w:rPr>
        <w:t xml:space="preserve"> 35 Gatehou</w:t>
      </w:r>
      <w:r>
        <w:rPr>
          <w:rFonts w:ascii="Arial" w:cs="Arial" w:eastAsia="Arial" w:hAnsi="Arial"/>
          <w:sz w:val="15"/>
          <w:szCs w:val="15"/>
          <w:color w:val="5D728C"/>
        </w:rPr>
        <w:t>se</w:t>
      </w:r>
      <w:r>
        <w:rPr>
          <w:rFonts w:ascii="Arial" w:cs="Arial" w:eastAsia="Arial" w:hAnsi="Arial"/>
          <w:sz w:val="15"/>
          <w:szCs w:val="15"/>
          <w:color w:val="3D6285"/>
        </w:rPr>
        <w:t xml:space="preserve"> Driv</w:t>
      </w:r>
      <w:r>
        <w:rPr>
          <w:rFonts w:ascii="Arial" w:cs="Arial" w:eastAsia="Arial" w:hAnsi="Arial"/>
          <w:sz w:val="15"/>
          <w:szCs w:val="15"/>
          <w:color w:val="5D728C"/>
        </w:rPr>
        <w:t>e</w:t>
      </w:r>
      <w:r>
        <w:rPr>
          <w:rFonts w:ascii="Arial" w:cs="Arial" w:eastAsia="Arial" w:hAnsi="Arial"/>
          <w:sz w:val="15"/>
          <w:szCs w:val="15"/>
          <w:color w:val="3D6285"/>
        </w:rPr>
        <w:t xml:space="preserve"> </w:t>
      </w:r>
      <w:r>
        <w:rPr>
          <w:rFonts w:ascii="Arial" w:cs="Arial" w:eastAsia="Arial" w:hAnsi="Arial"/>
          <w:sz w:val="19"/>
          <w:szCs w:val="19"/>
          <w:color w:val="607CAF"/>
        </w:rPr>
        <w:t>I</w:t>
      </w:r>
      <w:r>
        <w:rPr>
          <w:rFonts w:ascii="Arial" w:cs="Arial" w:eastAsia="Arial" w:hAnsi="Arial"/>
          <w:sz w:val="15"/>
          <w:szCs w:val="15"/>
          <w:color w:val="3D6285"/>
        </w:rPr>
        <w:t xml:space="preserve"> Waltham, MA 0245</w:t>
      </w:r>
      <w:r>
        <w:rPr>
          <w:rFonts w:ascii="Arial" w:cs="Arial" w:eastAsia="Arial" w:hAnsi="Arial"/>
          <w:sz w:val="15"/>
          <w:szCs w:val="15"/>
          <w:color w:val="165E89"/>
        </w:rPr>
        <w:t>1</w:t>
      </w:r>
      <w:r>
        <w:rPr>
          <w:rFonts w:ascii="Arial" w:cs="Arial" w:eastAsia="Arial" w:hAnsi="Arial"/>
          <w:sz w:val="15"/>
          <w:szCs w:val="15"/>
          <w:color w:val="3D6285"/>
        </w:rPr>
        <w:t xml:space="preserve"> </w:t>
      </w:r>
      <w:r>
        <w:rPr>
          <w:rFonts w:ascii="Arial" w:cs="Arial" w:eastAsia="Arial" w:hAnsi="Arial"/>
          <w:sz w:val="15"/>
          <w:szCs w:val="15"/>
          <w:color w:val="5D728C"/>
        </w:rPr>
        <w:t>1</w:t>
      </w:r>
      <w:r>
        <w:rPr>
          <w:rFonts w:ascii="Arial" w:cs="Arial" w:eastAsia="Arial" w:hAnsi="Arial"/>
          <w:sz w:val="15"/>
          <w:szCs w:val="15"/>
          <w:color w:val="3D6285"/>
        </w:rPr>
        <w:t xml:space="preserve">  P</w:t>
      </w:r>
      <w:r>
        <w:rPr>
          <w:rFonts w:ascii="Arial" w:cs="Arial" w:eastAsia="Arial" w:hAnsi="Arial"/>
          <w:sz w:val="15"/>
          <w:szCs w:val="15"/>
          <w:color w:val="5D728C"/>
        </w:rPr>
        <w:t>:</w:t>
      </w:r>
      <w:r>
        <w:rPr>
          <w:rFonts w:ascii="Arial" w:cs="Arial" w:eastAsia="Arial" w:hAnsi="Arial"/>
          <w:sz w:val="15"/>
          <w:szCs w:val="15"/>
          <w:color w:val="3D6285"/>
        </w:rPr>
        <w:t xml:space="preserve"> 78</w:t>
      </w:r>
      <w:r>
        <w:rPr>
          <w:rFonts w:ascii="Arial" w:cs="Arial" w:eastAsia="Arial" w:hAnsi="Arial"/>
          <w:sz w:val="15"/>
          <w:szCs w:val="15"/>
          <w:color w:val="165E89"/>
        </w:rPr>
        <w:t>1</w:t>
      </w:r>
      <w:r>
        <w:rPr>
          <w:rFonts w:ascii="Arial" w:cs="Arial" w:eastAsia="Arial" w:hAnsi="Arial"/>
          <w:sz w:val="15"/>
          <w:szCs w:val="15"/>
          <w:color w:val="2D4B64"/>
        </w:rPr>
        <w:t>-</w:t>
      </w:r>
      <w:r>
        <w:rPr>
          <w:rFonts w:ascii="Arial" w:cs="Arial" w:eastAsia="Arial" w:hAnsi="Arial"/>
          <w:sz w:val="15"/>
          <w:szCs w:val="15"/>
          <w:color w:val="3D6285"/>
        </w:rPr>
        <w:t xml:space="preserve">996-4300 </w:t>
      </w:r>
      <w:r>
        <w:rPr>
          <w:rFonts w:ascii="Arial" w:cs="Arial" w:eastAsia="Arial" w:hAnsi="Arial"/>
          <w:sz w:val="15"/>
          <w:szCs w:val="15"/>
          <w:color w:val="748090"/>
        </w:rPr>
        <w:t>1</w:t>
      </w:r>
      <w:r>
        <w:rPr>
          <w:rFonts w:ascii="Arial" w:cs="Arial" w:eastAsia="Arial" w:hAnsi="Arial"/>
          <w:sz w:val="15"/>
          <w:szCs w:val="15"/>
          <w:color w:val="3D6285"/>
        </w:rPr>
        <w:t xml:space="preserve"> F</w:t>
      </w:r>
      <w:r>
        <w:rPr>
          <w:rFonts w:ascii="Arial" w:cs="Arial" w:eastAsia="Arial" w:hAnsi="Arial"/>
          <w:sz w:val="15"/>
          <w:szCs w:val="15"/>
          <w:color w:val="5D728C"/>
        </w:rPr>
        <w:t>:</w:t>
      </w:r>
      <w:r>
        <w:rPr>
          <w:rFonts w:ascii="Arial" w:cs="Arial" w:eastAsia="Arial" w:hAnsi="Arial"/>
          <w:sz w:val="15"/>
          <w:szCs w:val="15"/>
          <w:color w:val="3D6285"/>
        </w:rPr>
        <w:t xml:space="preserve"> 844</w:t>
      </w:r>
      <w:r>
        <w:rPr>
          <w:rFonts w:ascii="Arial" w:cs="Arial" w:eastAsia="Arial" w:hAnsi="Arial"/>
          <w:sz w:val="15"/>
          <w:szCs w:val="15"/>
          <w:color w:val="165E89"/>
        </w:rPr>
        <w:t>-</w:t>
      </w:r>
      <w:r>
        <w:rPr>
          <w:rFonts w:ascii="Arial" w:cs="Arial" w:eastAsia="Arial" w:hAnsi="Arial"/>
          <w:sz w:val="15"/>
          <w:szCs w:val="15"/>
          <w:color w:val="3D6285"/>
        </w:rPr>
        <w:t>894</w:t>
      </w:r>
      <w:r>
        <w:rPr>
          <w:rFonts w:ascii="Arial" w:cs="Arial" w:eastAsia="Arial" w:hAnsi="Arial"/>
          <w:sz w:val="15"/>
          <w:szCs w:val="15"/>
          <w:color w:val="165E89"/>
        </w:rPr>
        <w:t>-</w:t>
      </w:r>
      <w:r>
        <w:rPr>
          <w:rFonts w:ascii="Arial" w:cs="Arial" w:eastAsia="Arial" w:hAnsi="Arial"/>
          <w:sz w:val="15"/>
          <w:szCs w:val="15"/>
          <w:color w:val="3D6285"/>
        </w:rPr>
        <w:t>2378</w:t>
      </w:r>
    </w:p>
    <w:p>
      <w:pPr>
        <w:sectPr>
          <w:pgSz w:w="11900" w:h="16838" w:orient="portrait"/>
          <w:cols w:equalWidth="0" w:num="1">
            <w:col w:w="11420"/>
          </w:cols>
          <w:pgMar w:left="240" w:top="121"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20"/>
          <w:szCs w:val="20"/>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NON-EMPLOYEE DIRECTOR COMPENSATION POLICY</w:t>
      </w:r>
    </w:p>
    <w:p>
      <w:pPr>
        <w:spacing w:after="0" w:line="22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 of Cerulean Pharma Inc. (the “</w:t>
      </w:r>
      <w:r>
        <w:rPr>
          <w:rFonts w:ascii="Arial" w:cs="Arial" w:eastAsia="Arial" w:hAnsi="Arial"/>
          <w:sz w:val="18"/>
          <w:szCs w:val="18"/>
          <w:u w:val="single" w:color="auto"/>
          <w:color w:val="auto"/>
        </w:rPr>
        <w:t>Company</w:t>
      </w:r>
      <w:r>
        <w:rPr>
          <w:rFonts w:ascii="Arial" w:cs="Arial" w:eastAsia="Arial" w:hAnsi="Arial"/>
          <w:sz w:val="18"/>
          <w:szCs w:val="18"/>
          <w:color w:val="auto"/>
        </w:rPr>
        <w:t>”) has approved a non-employee director compensation</w:t>
      </w:r>
    </w:p>
    <w:p>
      <w:pPr>
        <w:spacing w:after="0" w:line="23" w:lineRule="exact"/>
        <w:rPr>
          <w:sz w:val="20"/>
          <w:szCs w:val="20"/>
          <w:color w:val="auto"/>
        </w:rPr>
      </w:pPr>
    </w:p>
    <w:p>
      <w:pPr>
        <w:jc w:val="both"/>
        <w:ind w:right="100"/>
        <w:spacing w:after="0" w:line="295" w:lineRule="auto"/>
        <w:rPr>
          <w:sz w:val="20"/>
          <w:szCs w:val="20"/>
          <w:color w:val="auto"/>
        </w:rPr>
      </w:pPr>
      <w:r>
        <w:rPr>
          <w:rFonts w:ascii="Arial" w:cs="Arial" w:eastAsia="Arial" w:hAnsi="Arial"/>
          <w:sz w:val="16"/>
          <w:szCs w:val="16"/>
          <w:color w:val="auto"/>
        </w:rPr>
        <w:t>policy. Under this non-employee director compensation policy, the Company will pay its non-employee directors retainers in cash, unless a director elects to receive his or her retainer for a given calendar year in the form of awards of unrestricted shares of the Company’s common stock, as described below. Each non-employee director will receive a retainer for service on the Board and for service on each committee of which the director is a member. The chairmen of the Board and of each committee will receive higher retainers for such service. The amounts of the retainers are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200" w:type="dxa"/>
            <w:vAlign w:val="bottom"/>
            <w:gridSpan w:val="2"/>
          </w:tcPr>
          <w:p>
            <w:pPr>
              <w:ind w:left="520"/>
              <w:spacing w:after="0"/>
              <w:rPr>
                <w:sz w:val="20"/>
                <w:szCs w:val="20"/>
                <w:color w:val="auto"/>
              </w:rPr>
            </w:pPr>
            <w:r>
              <w:rPr>
                <w:rFonts w:ascii="Arial" w:cs="Arial" w:eastAsia="Arial" w:hAnsi="Arial"/>
                <w:sz w:val="18"/>
                <w:szCs w:val="18"/>
                <w:b w:val="1"/>
                <w:bCs w:val="1"/>
                <w:color w:val="auto"/>
              </w:rPr>
              <w:t>Annual Retainer ($)</w:t>
            </w:r>
          </w:p>
        </w:tc>
      </w:tr>
      <w:tr>
        <w:trPr>
          <w:trHeight w:val="223"/>
        </w:trPr>
        <w:tc>
          <w:tcPr>
            <w:tcW w:w="558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8"/>
                <w:szCs w:val="18"/>
                <w:i w:val="1"/>
                <w:iCs w:val="1"/>
                <w:color w:val="auto"/>
              </w:rPr>
              <w:t>Board of Directors</w:t>
            </w:r>
          </w:p>
        </w:tc>
        <w:tc>
          <w:tcPr>
            <w:tcW w:w="3640" w:type="dxa"/>
            <w:vAlign w:val="bottom"/>
            <w:tcBorders>
              <w:top w:val="single" w:sz="8" w:color="auto"/>
            </w:tcBorders>
            <w:shd w:val="clear" w:color="auto" w:fill="CCECFF"/>
          </w:tcPr>
          <w:p>
            <w:pPr>
              <w:spacing w:after="0"/>
              <w:rPr>
                <w:sz w:val="19"/>
                <w:szCs w:val="19"/>
                <w:color w:val="auto"/>
              </w:rPr>
            </w:pPr>
          </w:p>
        </w:tc>
        <w:tc>
          <w:tcPr>
            <w:tcW w:w="2080" w:type="dxa"/>
            <w:vAlign w:val="bottom"/>
            <w:tcBorders>
              <w:top w:val="single" w:sz="8" w:color="auto"/>
            </w:tcBorders>
            <w:shd w:val="clear" w:color="auto" w:fill="CCECFF"/>
          </w:tcPr>
          <w:p>
            <w:pPr>
              <w:spacing w:after="0"/>
              <w:rPr>
                <w:sz w:val="19"/>
                <w:szCs w:val="19"/>
                <w:color w:val="auto"/>
              </w:rPr>
            </w:pPr>
          </w:p>
        </w:tc>
        <w:tc>
          <w:tcPr>
            <w:tcW w:w="120" w:type="dxa"/>
            <w:vAlign w:val="bottom"/>
            <w:tcBorders>
              <w:top w:val="single" w:sz="8" w:color="CCECFF"/>
            </w:tcBorders>
            <w:shd w:val="clear" w:color="auto" w:fill="CCECFF"/>
          </w:tcPr>
          <w:p>
            <w:pPr>
              <w:spacing w:after="0"/>
              <w:rPr>
                <w:sz w:val="19"/>
                <w:szCs w:val="19"/>
                <w:color w:val="auto"/>
              </w:rPr>
            </w:pPr>
          </w:p>
        </w:tc>
      </w:tr>
      <w:tr>
        <w:trPr>
          <w:trHeight w:val="230"/>
        </w:trPr>
        <w:tc>
          <w:tcPr>
            <w:tcW w:w="5580" w:type="dxa"/>
            <w:vAlign w:val="bottom"/>
          </w:tcPr>
          <w:p>
            <w:pPr>
              <w:ind w:left="240"/>
              <w:spacing w:after="0"/>
              <w:rPr>
                <w:sz w:val="20"/>
                <w:szCs w:val="20"/>
                <w:color w:val="auto"/>
              </w:rPr>
            </w:pPr>
            <w:r>
              <w:rPr>
                <w:rFonts w:ascii="Arial" w:cs="Arial" w:eastAsia="Arial" w:hAnsi="Arial"/>
                <w:sz w:val="18"/>
                <w:szCs w:val="18"/>
                <w:color w:val="auto"/>
              </w:rPr>
              <w:t>Chairman</w:t>
            </w:r>
          </w:p>
        </w:tc>
        <w:tc>
          <w:tcPr>
            <w:tcW w:w="364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65,000</w:t>
            </w:r>
          </w:p>
        </w:tc>
        <w:tc>
          <w:tcPr>
            <w:tcW w:w="120" w:type="dxa"/>
            <w:vAlign w:val="bottom"/>
          </w:tcPr>
          <w:p>
            <w:pPr>
              <w:spacing w:after="0"/>
              <w:rPr>
                <w:sz w:val="19"/>
                <w:szCs w:val="19"/>
                <w:color w:val="auto"/>
              </w:rPr>
            </w:pPr>
          </w:p>
        </w:tc>
      </w:tr>
      <w:tr>
        <w:trPr>
          <w:trHeight w:val="230"/>
        </w:trPr>
        <w:tc>
          <w:tcPr>
            <w:tcW w:w="5580" w:type="dxa"/>
            <w:vAlign w:val="bottom"/>
            <w:shd w:val="clear" w:color="auto" w:fill="CCECFF"/>
          </w:tcPr>
          <w:p>
            <w:pPr>
              <w:ind w:left="240"/>
              <w:spacing w:after="0"/>
              <w:rPr>
                <w:sz w:val="20"/>
                <w:szCs w:val="20"/>
                <w:color w:val="auto"/>
              </w:rPr>
            </w:pPr>
            <w:r>
              <w:rPr>
                <w:rFonts w:ascii="Arial" w:cs="Arial" w:eastAsia="Arial" w:hAnsi="Arial"/>
                <w:sz w:val="18"/>
                <w:szCs w:val="18"/>
                <w:color w:val="auto"/>
              </w:rPr>
              <w:t>Member</w:t>
            </w:r>
          </w:p>
        </w:tc>
        <w:tc>
          <w:tcPr>
            <w:tcW w:w="3640" w:type="dxa"/>
            <w:vAlign w:val="bottom"/>
            <w:shd w:val="clear" w:color="auto" w:fill="CCECFF"/>
          </w:tcPr>
          <w:p>
            <w:pPr>
              <w:spacing w:after="0"/>
              <w:rPr>
                <w:sz w:val="19"/>
                <w:szCs w:val="19"/>
                <w:color w:val="auto"/>
              </w:rPr>
            </w:pPr>
          </w:p>
        </w:tc>
        <w:tc>
          <w:tcPr>
            <w:tcW w:w="20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35,000</w:t>
            </w:r>
          </w:p>
        </w:tc>
        <w:tc>
          <w:tcPr>
            <w:tcW w:w="120" w:type="dxa"/>
            <w:vAlign w:val="bottom"/>
            <w:shd w:val="clear" w:color="auto" w:fill="CCECFF"/>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i w:val="1"/>
                <w:iCs w:val="1"/>
                <w:color w:val="auto"/>
              </w:rPr>
              <w:t>Committees of the Board of Directors</w:t>
            </w:r>
          </w:p>
        </w:tc>
        <w:tc>
          <w:tcPr>
            <w:tcW w:w="36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580" w:type="dxa"/>
            <w:vAlign w:val="bottom"/>
            <w:shd w:val="clear" w:color="auto" w:fill="CCECFF"/>
          </w:tcPr>
          <w:p>
            <w:pPr>
              <w:ind w:left="240"/>
              <w:spacing w:after="0"/>
              <w:rPr>
                <w:sz w:val="20"/>
                <w:szCs w:val="20"/>
                <w:color w:val="auto"/>
              </w:rPr>
            </w:pPr>
            <w:r>
              <w:rPr>
                <w:rFonts w:ascii="Arial" w:cs="Arial" w:eastAsia="Arial" w:hAnsi="Arial"/>
                <w:sz w:val="18"/>
                <w:szCs w:val="18"/>
                <w:color w:val="auto"/>
              </w:rPr>
              <w:t>Audit</w:t>
            </w:r>
          </w:p>
        </w:tc>
        <w:tc>
          <w:tcPr>
            <w:tcW w:w="3640" w:type="dxa"/>
            <w:vAlign w:val="bottom"/>
            <w:shd w:val="clear" w:color="auto" w:fill="CCECFF"/>
          </w:tcPr>
          <w:p>
            <w:pPr>
              <w:ind w:left="2500"/>
              <w:spacing w:after="0"/>
              <w:rPr>
                <w:sz w:val="20"/>
                <w:szCs w:val="20"/>
                <w:color w:val="auto"/>
              </w:rPr>
            </w:pPr>
            <w:r>
              <w:rPr>
                <w:rFonts w:ascii="Arial" w:cs="Arial" w:eastAsia="Arial" w:hAnsi="Arial"/>
                <w:sz w:val="18"/>
                <w:szCs w:val="18"/>
                <w:color w:val="auto"/>
              </w:rPr>
              <w:t>Chair</w:t>
            </w:r>
          </w:p>
        </w:tc>
        <w:tc>
          <w:tcPr>
            <w:tcW w:w="20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20,000</w:t>
            </w:r>
          </w:p>
        </w:tc>
        <w:tc>
          <w:tcPr>
            <w:tcW w:w="120" w:type="dxa"/>
            <w:vAlign w:val="bottom"/>
            <w:shd w:val="clear" w:color="auto" w:fill="CCECFF"/>
          </w:tcPr>
          <w:p>
            <w:pPr>
              <w:spacing w:after="0"/>
              <w:rPr>
                <w:sz w:val="19"/>
                <w:szCs w:val="19"/>
                <w:color w:val="auto"/>
              </w:rPr>
            </w:pPr>
          </w:p>
        </w:tc>
      </w:tr>
      <w:tr>
        <w:trPr>
          <w:trHeight w:val="230"/>
        </w:trPr>
        <w:tc>
          <w:tcPr>
            <w:tcW w:w="5580" w:type="dxa"/>
            <w:vAlign w:val="bottom"/>
          </w:tcPr>
          <w:p>
            <w:pPr>
              <w:spacing w:after="0"/>
              <w:rPr>
                <w:sz w:val="19"/>
                <w:szCs w:val="19"/>
                <w:color w:val="auto"/>
              </w:rPr>
            </w:pPr>
          </w:p>
        </w:tc>
        <w:tc>
          <w:tcPr>
            <w:tcW w:w="3640" w:type="dxa"/>
            <w:vAlign w:val="bottom"/>
          </w:tcPr>
          <w:p>
            <w:pPr>
              <w:ind w:left="2500"/>
              <w:spacing w:after="0"/>
              <w:rPr>
                <w:sz w:val="20"/>
                <w:szCs w:val="20"/>
                <w:color w:val="auto"/>
              </w:rPr>
            </w:pPr>
            <w:r>
              <w:rPr>
                <w:rFonts w:ascii="Arial" w:cs="Arial" w:eastAsia="Arial" w:hAnsi="Arial"/>
                <w:sz w:val="18"/>
                <w:szCs w:val="18"/>
                <w:color w:val="auto"/>
              </w:rPr>
              <w:t>Member</w:t>
            </w:r>
          </w:p>
        </w:tc>
        <w:tc>
          <w:tcPr>
            <w:tcW w:w="2080" w:type="dxa"/>
            <w:vAlign w:val="bottom"/>
          </w:tcPr>
          <w:p>
            <w:pPr>
              <w:jc w:val="right"/>
              <w:spacing w:after="0"/>
              <w:rPr>
                <w:sz w:val="20"/>
                <w:szCs w:val="20"/>
                <w:color w:val="auto"/>
              </w:rPr>
            </w:pPr>
            <w:r>
              <w:rPr>
                <w:rFonts w:ascii="Arial" w:cs="Arial" w:eastAsia="Arial" w:hAnsi="Arial"/>
                <w:sz w:val="18"/>
                <w:szCs w:val="18"/>
                <w:color w:val="auto"/>
              </w:rPr>
              <w:t>7,500</w:t>
            </w:r>
          </w:p>
        </w:tc>
        <w:tc>
          <w:tcPr>
            <w:tcW w:w="120" w:type="dxa"/>
            <w:vAlign w:val="bottom"/>
          </w:tcPr>
          <w:p>
            <w:pPr>
              <w:spacing w:after="0"/>
              <w:rPr>
                <w:sz w:val="19"/>
                <w:szCs w:val="19"/>
                <w:color w:val="auto"/>
              </w:rPr>
            </w:pPr>
          </w:p>
        </w:tc>
      </w:tr>
      <w:tr>
        <w:trPr>
          <w:trHeight w:val="230"/>
        </w:trPr>
        <w:tc>
          <w:tcPr>
            <w:tcW w:w="5580" w:type="dxa"/>
            <w:vAlign w:val="bottom"/>
            <w:shd w:val="clear" w:color="auto" w:fill="CCECFF"/>
          </w:tcPr>
          <w:p>
            <w:pPr>
              <w:ind w:left="240"/>
              <w:spacing w:after="0"/>
              <w:rPr>
                <w:sz w:val="20"/>
                <w:szCs w:val="20"/>
                <w:color w:val="auto"/>
              </w:rPr>
            </w:pPr>
            <w:r>
              <w:rPr>
                <w:rFonts w:ascii="Arial" w:cs="Arial" w:eastAsia="Arial" w:hAnsi="Arial"/>
                <w:sz w:val="18"/>
                <w:szCs w:val="18"/>
                <w:color w:val="auto"/>
              </w:rPr>
              <w:t>Compensation</w:t>
            </w:r>
          </w:p>
        </w:tc>
        <w:tc>
          <w:tcPr>
            <w:tcW w:w="3640" w:type="dxa"/>
            <w:vAlign w:val="bottom"/>
            <w:shd w:val="clear" w:color="auto" w:fill="CCECFF"/>
          </w:tcPr>
          <w:p>
            <w:pPr>
              <w:ind w:left="2500"/>
              <w:spacing w:after="0"/>
              <w:rPr>
                <w:sz w:val="20"/>
                <w:szCs w:val="20"/>
                <w:color w:val="auto"/>
              </w:rPr>
            </w:pPr>
            <w:r>
              <w:rPr>
                <w:rFonts w:ascii="Arial" w:cs="Arial" w:eastAsia="Arial" w:hAnsi="Arial"/>
                <w:sz w:val="18"/>
                <w:szCs w:val="18"/>
                <w:color w:val="auto"/>
              </w:rPr>
              <w:t>Chair</w:t>
            </w:r>
          </w:p>
        </w:tc>
        <w:tc>
          <w:tcPr>
            <w:tcW w:w="20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15,000</w:t>
            </w:r>
          </w:p>
        </w:tc>
        <w:tc>
          <w:tcPr>
            <w:tcW w:w="120" w:type="dxa"/>
            <w:vAlign w:val="bottom"/>
            <w:shd w:val="clear" w:color="auto" w:fill="CCECFF"/>
          </w:tcPr>
          <w:p>
            <w:pPr>
              <w:spacing w:after="0"/>
              <w:rPr>
                <w:sz w:val="19"/>
                <w:szCs w:val="19"/>
                <w:color w:val="auto"/>
              </w:rPr>
            </w:pPr>
          </w:p>
        </w:tc>
      </w:tr>
      <w:tr>
        <w:trPr>
          <w:trHeight w:val="230"/>
        </w:trPr>
        <w:tc>
          <w:tcPr>
            <w:tcW w:w="5580" w:type="dxa"/>
            <w:vAlign w:val="bottom"/>
          </w:tcPr>
          <w:p>
            <w:pPr>
              <w:spacing w:after="0"/>
              <w:rPr>
                <w:sz w:val="19"/>
                <w:szCs w:val="19"/>
                <w:color w:val="auto"/>
              </w:rPr>
            </w:pPr>
          </w:p>
        </w:tc>
        <w:tc>
          <w:tcPr>
            <w:tcW w:w="3640" w:type="dxa"/>
            <w:vAlign w:val="bottom"/>
          </w:tcPr>
          <w:p>
            <w:pPr>
              <w:ind w:left="2500"/>
              <w:spacing w:after="0"/>
              <w:rPr>
                <w:sz w:val="20"/>
                <w:szCs w:val="20"/>
                <w:color w:val="auto"/>
              </w:rPr>
            </w:pPr>
            <w:r>
              <w:rPr>
                <w:rFonts w:ascii="Arial" w:cs="Arial" w:eastAsia="Arial" w:hAnsi="Arial"/>
                <w:sz w:val="18"/>
                <w:szCs w:val="18"/>
                <w:color w:val="auto"/>
              </w:rPr>
              <w:t>Member</w:t>
            </w:r>
          </w:p>
        </w:tc>
        <w:tc>
          <w:tcPr>
            <w:tcW w:w="208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9"/>
                <w:szCs w:val="19"/>
                <w:color w:val="auto"/>
              </w:rPr>
            </w:pPr>
          </w:p>
        </w:tc>
      </w:tr>
      <w:tr>
        <w:trPr>
          <w:trHeight w:val="230"/>
        </w:trPr>
        <w:tc>
          <w:tcPr>
            <w:tcW w:w="5580" w:type="dxa"/>
            <w:vAlign w:val="bottom"/>
            <w:shd w:val="clear" w:color="auto" w:fill="CCECFF"/>
          </w:tcPr>
          <w:p>
            <w:pPr>
              <w:ind w:left="240"/>
              <w:spacing w:after="0"/>
              <w:rPr>
                <w:sz w:val="20"/>
                <w:szCs w:val="20"/>
                <w:color w:val="auto"/>
              </w:rPr>
            </w:pPr>
            <w:r>
              <w:rPr>
                <w:rFonts w:ascii="Arial" w:cs="Arial" w:eastAsia="Arial" w:hAnsi="Arial"/>
                <w:sz w:val="18"/>
                <w:szCs w:val="18"/>
                <w:color w:val="auto"/>
              </w:rPr>
              <w:t>Nominating and Corporate Governance</w:t>
            </w:r>
          </w:p>
        </w:tc>
        <w:tc>
          <w:tcPr>
            <w:tcW w:w="3640" w:type="dxa"/>
            <w:vAlign w:val="bottom"/>
            <w:shd w:val="clear" w:color="auto" w:fill="CCECFF"/>
          </w:tcPr>
          <w:p>
            <w:pPr>
              <w:ind w:left="2500"/>
              <w:spacing w:after="0"/>
              <w:rPr>
                <w:sz w:val="20"/>
                <w:szCs w:val="20"/>
                <w:color w:val="auto"/>
              </w:rPr>
            </w:pPr>
            <w:r>
              <w:rPr>
                <w:rFonts w:ascii="Arial" w:cs="Arial" w:eastAsia="Arial" w:hAnsi="Arial"/>
                <w:sz w:val="18"/>
                <w:szCs w:val="18"/>
                <w:color w:val="auto"/>
              </w:rPr>
              <w:t>Chair</w:t>
            </w:r>
          </w:p>
        </w:tc>
        <w:tc>
          <w:tcPr>
            <w:tcW w:w="20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CFF"/>
          </w:tcPr>
          <w:p>
            <w:pPr>
              <w:spacing w:after="0"/>
              <w:rPr>
                <w:sz w:val="19"/>
                <w:szCs w:val="19"/>
                <w:color w:val="auto"/>
              </w:rPr>
            </w:pPr>
          </w:p>
        </w:tc>
      </w:tr>
      <w:tr>
        <w:trPr>
          <w:trHeight w:val="230"/>
        </w:trPr>
        <w:tc>
          <w:tcPr>
            <w:tcW w:w="5580" w:type="dxa"/>
            <w:vAlign w:val="bottom"/>
          </w:tcPr>
          <w:p>
            <w:pPr>
              <w:spacing w:after="0"/>
              <w:rPr>
                <w:sz w:val="19"/>
                <w:szCs w:val="19"/>
                <w:color w:val="auto"/>
              </w:rPr>
            </w:pPr>
          </w:p>
        </w:tc>
        <w:tc>
          <w:tcPr>
            <w:tcW w:w="3640" w:type="dxa"/>
            <w:vAlign w:val="bottom"/>
          </w:tcPr>
          <w:p>
            <w:pPr>
              <w:ind w:left="2500"/>
              <w:spacing w:after="0"/>
              <w:rPr>
                <w:sz w:val="20"/>
                <w:szCs w:val="20"/>
                <w:color w:val="auto"/>
              </w:rPr>
            </w:pPr>
            <w:r>
              <w:rPr>
                <w:rFonts w:ascii="Arial" w:cs="Arial" w:eastAsia="Arial" w:hAnsi="Arial"/>
                <w:sz w:val="18"/>
                <w:szCs w:val="18"/>
                <w:color w:val="auto"/>
              </w:rPr>
              <w:t>Member</w:t>
            </w:r>
          </w:p>
        </w:tc>
        <w:tc>
          <w:tcPr>
            <w:tcW w:w="2080" w:type="dxa"/>
            <w:vAlign w:val="bottom"/>
          </w:tcPr>
          <w:p>
            <w:pPr>
              <w:jc w:val="right"/>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19"/>
                <w:szCs w:val="19"/>
                <w:color w:val="auto"/>
              </w:rPr>
            </w:pPr>
          </w:p>
        </w:tc>
      </w:tr>
      <w:tr>
        <w:trPr>
          <w:trHeight w:val="230"/>
        </w:trPr>
        <w:tc>
          <w:tcPr>
            <w:tcW w:w="5580" w:type="dxa"/>
            <w:vAlign w:val="bottom"/>
            <w:shd w:val="clear" w:color="auto" w:fill="CCECFF"/>
          </w:tcPr>
          <w:p>
            <w:pPr>
              <w:ind w:left="240"/>
              <w:spacing w:after="0"/>
              <w:rPr>
                <w:sz w:val="20"/>
                <w:szCs w:val="20"/>
                <w:color w:val="auto"/>
              </w:rPr>
            </w:pPr>
            <w:r>
              <w:rPr>
                <w:rFonts w:ascii="Arial" w:cs="Arial" w:eastAsia="Arial" w:hAnsi="Arial"/>
                <w:sz w:val="18"/>
                <w:szCs w:val="18"/>
                <w:color w:val="auto"/>
              </w:rPr>
              <w:t>Clinical Advisory</w:t>
            </w:r>
          </w:p>
        </w:tc>
        <w:tc>
          <w:tcPr>
            <w:tcW w:w="3640" w:type="dxa"/>
            <w:vAlign w:val="bottom"/>
            <w:shd w:val="clear" w:color="auto" w:fill="CCECFF"/>
          </w:tcPr>
          <w:p>
            <w:pPr>
              <w:ind w:left="2500"/>
              <w:spacing w:after="0"/>
              <w:rPr>
                <w:sz w:val="20"/>
                <w:szCs w:val="20"/>
                <w:color w:val="auto"/>
              </w:rPr>
            </w:pPr>
            <w:r>
              <w:rPr>
                <w:rFonts w:ascii="Arial" w:cs="Arial" w:eastAsia="Arial" w:hAnsi="Arial"/>
                <w:sz w:val="18"/>
                <w:szCs w:val="18"/>
                <w:color w:val="auto"/>
              </w:rPr>
              <w:t>Chair</w:t>
            </w:r>
          </w:p>
        </w:tc>
        <w:tc>
          <w:tcPr>
            <w:tcW w:w="20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20,000</w:t>
            </w:r>
          </w:p>
        </w:tc>
        <w:tc>
          <w:tcPr>
            <w:tcW w:w="120" w:type="dxa"/>
            <w:vAlign w:val="bottom"/>
            <w:shd w:val="clear" w:color="auto" w:fill="CCECFF"/>
          </w:tcPr>
          <w:p>
            <w:pPr>
              <w:spacing w:after="0"/>
              <w:rPr>
                <w:sz w:val="19"/>
                <w:szCs w:val="19"/>
                <w:color w:val="auto"/>
              </w:rPr>
            </w:pPr>
          </w:p>
        </w:tc>
      </w:tr>
      <w:tr>
        <w:trPr>
          <w:trHeight w:val="230"/>
        </w:trPr>
        <w:tc>
          <w:tcPr>
            <w:tcW w:w="5580" w:type="dxa"/>
            <w:vAlign w:val="bottom"/>
            <w:tcBorders>
              <w:bottom w:val="single" w:sz="8" w:color="auto"/>
            </w:tcBorders>
          </w:tcPr>
          <w:p>
            <w:pPr>
              <w:spacing w:after="0"/>
              <w:rPr>
                <w:sz w:val="19"/>
                <w:szCs w:val="19"/>
                <w:color w:val="auto"/>
              </w:rPr>
            </w:pPr>
          </w:p>
        </w:tc>
        <w:tc>
          <w:tcPr>
            <w:tcW w:w="3640" w:type="dxa"/>
            <w:vAlign w:val="bottom"/>
            <w:tcBorders>
              <w:bottom w:val="single" w:sz="8" w:color="auto"/>
            </w:tcBorders>
          </w:tcPr>
          <w:p>
            <w:pPr>
              <w:ind w:left="2500"/>
              <w:spacing w:after="0"/>
              <w:rPr>
                <w:sz w:val="20"/>
                <w:szCs w:val="20"/>
                <w:color w:val="auto"/>
              </w:rPr>
            </w:pPr>
            <w:r>
              <w:rPr>
                <w:rFonts w:ascii="Arial" w:cs="Arial" w:eastAsia="Arial" w:hAnsi="Arial"/>
                <w:sz w:val="18"/>
                <w:szCs w:val="18"/>
                <w:color w:val="auto"/>
              </w:rPr>
              <w:t>Member</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auto"/>
            </w:tcBorders>
          </w:tcPr>
          <w:p>
            <w:pPr>
              <w:spacing w:after="0"/>
              <w:rPr>
                <w:sz w:val="19"/>
                <w:szCs w:val="19"/>
                <w:color w:val="auto"/>
              </w:rPr>
            </w:pPr>
          </w:p>
        </w:tc>
      </w:tr>
    </w:tbl>
    <w:p>
      <w:pPr>
        <w:spacing w:after="0" w:line="202" w:lineRule="exact"/>
        <w:rPr>
          <w:sz w:val="20"/>
          <w:szCs w:val="20"/>
          <w:color w:val="auto"/>
        </w:rPr>
      </w:pPr>
    </w:p>
    <w:p>
      <w:pPr>
        <w:jc w:val="both"/>
        <w:ind w:right="40" w:firstLine="782"/>
        <w:spacing w:after="0" w:line="264" w:lineRule="auto"/>
        <w:rPr>
          <w:sz w:val="20"/>
          <w:szCs w:val="20"/>
          <w:color w:val="auto"/>
        </w:rPr>
      </w:pPr>
      <w:r>
        <w:rPr>
          <w:rFonts w:ascii="Arial" w:cs="Arial" w:eastAsia="Arial" w:hAnsi="Arial"/>
          <w:sz w:val="18"/>
          <w:szCs w:val="18"/>
          <w:color w:val="auto"/>
        </w:rPr>
        <w:t>These retainers are payable in arrears in four equal quarterly installments on the last day of each quarter, provided that the amount of such payment shall be prorated for any portion of such quarter during which the director was not serving. The Company will also reimburse its non-employee directors for reasonable travel and other expenses incurred in connection with attending Board and committee meetings.</w:t>
      </w:r>
    </w:p>
    <w:p>
      <w:pPr>
        <w:spacing w:after="0" w:line="181" w:lineRule="exact"/>
        <w:rPr>
          <w:sz w:val="20"/>
          <w:szCs w:val="20"/>
          <w:color w:val="auto"/>
        </w:rPr>
      </w:pPr>
    </w:p>
    <w:p>
      <w:pPr>
        <w:ind w:right="60" w:firstLine="782"/>
        <w:spacing w:after="0" w:line="276" w:lineRule="auto"/>
        <w:rPr>
          <w:sz w:val="20"/>
          <w:szCs w:val="20"/>
          <w:color w:val="auto"/>
        </w:rPr>
      </w:pPr>
      <w:r>
        <w:rPr>
          <w:rFonts w:ascii="Arial" w:cs="Arial" w:eastAsia="Arial" w:hAnsi="Arial"/>
          <w:sz w:val="17"/>
          <w:szCs w:val="17"/>
          <w:color w:val="auto"/>
        </w:rPr>
        <w:t>Each non-employee director may elect to receive up to 100% of these retainers in the form of awards of unrestricted shares of the Company’s common stock, issued on the first trading day of the quarter following the quarter to which the retainer relates, for a number of shares of the Company’s common stock equal to (x) the amount of the cash retainer that would otherwise have been payable to such director on the date of grant divided by (y) the fair market value of the Company’s common stock on the date of grant. Directors wishing to make this election for a given calendar year must make the election on or before the last day of the prior calendar year, except that the election with respect to calendar year 2016 and in any year in which a director is newly elected must be made on or before June 30</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of such year or such other date as determined by the Board.</w:t>
      </w:r>
    </w:p>
    <w:p>
      <w:pPr>
        <w:spacing w:after="0" w:line="58" w:lineRule="exact"/>
        <w:rPr>
          <w:sz w:val="20"/>
          <w:szCs w:val="20"/>
          <w:color w:val="auto"/>
        </w:rPr>
      </w:pPr>
    </w:p>
    <w:p>
      <w:pPr>
        <w:ind w:right="80" w:firstLine="782"/>
        <w:spacing w:after="0" w:line="272" w:lineRule="auto"/>
        <w:rPr>
          <w:sz w:val="20"/>
          <w:szCs w:val="20"/>
          <w:color w:val="auto"/>
        </w:rPr>
      </w:pPr>
      <w:r>
        <w:rPr>
          <w:rFonts w:ascii="Arial" w:cs="Arial" w:eastAsia="Arial" w:hAnsi="Arial"/>
          <w:sz w:val="17"/>
          <w:szCs w:val="17"/>
          <w:color w:val="auto"/>
        </w:rPr>
        <w:t>Each director newly elected to the Board will receive an initial option to purchase 22,000 shares of the Company’s common stock. Each of these options will vest as to one-third of the shares of our common stock underlying such option on each anniversary of the grant date until the third anniversary of the grant date, subject to the director’s continued service as a director, and will become exercisable in full upon a change in control of the Company. Further, on the date of each annual meeting of stockholders, each director that has served on the Board for at least six months will receive an option to purchase 20,000 shares of the Company’s common stock. Each of these options will vest in full on the earlier of the first anniversary of the date of grant or immediately prior to the Company’s first annual meeting of stockholders occurring after the date of grant, subject to the director’s continued service as a director, and will become exercisable in full upon a change in control of the Company.</w:t>
      </w:r>
    </w:p>
    <w:p>
      <w:pPr>
        <w:spacing w:after="0" w:line="178" w:lineRule="exact"/>
        <w:rPr>
          <w:sz w:val="20"/>
          <w:szCs w:val="20"/>
          <w:color w:val="auto"/>
        </w:rPr>
      </w:pPr>
    </w:p>
    <w:p>
      <w:pPr>
        <w:ind w:right="60" w:firstLine="782"/>
        <w:spacing w:after="0" w:line="277" w:lineRule="auto"/>
        <w:rPr>
          <w:sz w:val="20"/>
          <w:szCs w:val="20"/>
          <w:color w:val="auto"/>
        </w:rPr>
      </w:pPr>
      <w:r>
        <w:rPr>
          <w:rFonts w:ascii="Arial" w:cs="Arial" w:eastAsia="Arial" w:hAnsi="Arial"/>
          <w:sz w:val="18"/>
          <w:szCs w:val="18"/>
          <w:color w:val="auto"/>
        </w:rPr>
        <w:t>The exercise prices of the options granted under the Company’s non-employee director compensation policy will equal the fair market value of the Company’s common stock on the date of grant.</w:t>
      </w:r>
    </w:p>
    <w:p>
      <w:pPr>
        <w:sectPr>
          <w:pgSz w:w="11900" w:h="16838" w:orient="portrait"/>
          <w:cols w:equalWidth="0" w:num="1">
            <w:col w:w="11420"/>
          </w:cols>
          <w:pgMar w:left="240" w:top="116"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10.3</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Materials omitted and filed separately with the</w:t>
      </w:r>
    </w:p>
    <w:p>
      <w:pPr>
        <w:jc w:val="center"/>
        <w:spacing w:after="0"/>
        <w:rPr>
          <w:sz w:val="20"/>
          <w:szCs w:val="20"/>
          <w:color w:val="auto"/>
        </w:rPr>
      </w:pPr>
      <w:r>
        <w:rPr>
          <w:rFonts w:ascii="Arial" w:cs="Arial" w:eastAsia="Arial" w:hAnsi="Arial"/>
          <w:sz w:val="18"/>
          <w:szCs w:val="18"/>
          <w:b w:val="1"/>
          <w:bCs w:val="1"/>
          <w:color w:val="auto"/>
        </w:rPr>
        <w:t>Securities and Exchange Commission. Double asterisks denote omissions.</w:t>
      </w:r>
    </w:p>
    <w:p>
      <w:pPr>
        <w:spacing w:after="0" w:line="218" w:lineRule="exact"/>
        <w:rPr>
          <w:sz w:val="20"/>
          <w:szCs w:val="20"/>
          <w:color w:val="auto"/>
        </w:rPr>
      </w:pPr>
    </w:p>
    <w:p>
      <w:pPr>
        <w:ind w:left="9560"/>
        <w:spacing w:after="0"/>
        <w:rPr>
          <w:sz w:val="20"/>
          <w:szCs w:val="20"/>
          <w:color w:val="auto"/>
        </w:rPr>
      </w:pPr>
      <w:r>
        <w:rPr>
          <w:rFonts w:ascii="Arial" w:cs="Arial" w:eastAsia="Arial" w:hAnsi="Arial"/>
          <w:sz w:val="19"/>
          <w:szCs w:val="19"/>
          <w:color w:val="auto"/>
        </w:rPr>
        <w:t>EXECUTION COPY</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RESEARCH COLLABORATION AGREEMENT</w:t>
      </w:r>
    </w:p>
    <w:p>
      <w:pPr>
        <w:spacing w:after="0" w:line="158" w:lineRule="exact"/>
        <w:rPr>
          <w:sz w:val="20"/>
          <w:szCs w:val="20"/>
          <w:color w:val="auto"/>
        </w:rPr>
      </w:pPr>
    </w:p>
    <w:p>
      <w:pPr>
        <w:jc w:val="both"/>
        <w:ind w:right="420" w:firstLine="877"/>
        <w:spacing w:after="0" w:line="258" w:lineRule="auto"/>
        <w:rPr>
          <w:sz w:val="20"/>
          <w:szCs w:val="20"/>
          <w:color w:val="auto"/>
        </w:rPr>
      </w:pPr>
      <w:r>
        <w:rPr>
          <w:rFonts w:ascii="Arial" w:cs="Arial" w:eastAsia="Arial" w:hAnsi="Arial"/>
          <w:sz w:val="21"/>
          <w:szCs w:val="21"/>
          <w:color w:val="auto"/>
        </w:rPr>
        <w:t>Research Collaboration Agreement (“</w:t>
      </w:r>
      <w:r>
        <w:rPr>
          <w:rFonts w:ascii="Arial" w:cs="Arial" w:eastAsia="Arial" w:hAnsi="Arial"/>
          <w:sz w:val="21"/>
          <w:szCs w:val="21"/>
          <w:u w:val="single" w:color="auto"/>
          <w:color w:val="auto"/>
        </w:rPr>
        <w:t>Agreement</w:t>
      </w:r>
      <w:r>
        <w:rPr>
          <w:rFonts w:ascii="Arial" w:cs="Arial" w:eastAsia="Arial" w:hAnsi="Arial"/>
          <w:sz w:val="21"/>
          <w:szCs w:val="21"/>
          <w:color w:val="auto"/>
        </w:rPr>
        <w:t>”), dated October 18, 2016 (the “</w:t>
      </w:r>
      <w:r>
        <w:rPr>
          <w:rFonts w:ascii="Arial" w:cs="Arial" w:eastAsia="Arial" w:hAnsi="Arial"/>
          <w:sz w:val="21"/>
          <w:szCs w:val="21"/>
          <w:u w:val="single" w:color="auto"/>
          <w:color w:val="auto"/>
        </w:rPr>
        <w:t>Effective Date</w:t>
      </w:r>
      <w:r>
        <w:rPr>
          <w:rFonts w:ascii="Arial" w:cs="Arial" w:eastAsia="Arial" w:hAnsi="Arial"/>
          <w:sz w:val="21"/>
          <w:szCs w:val="21"/>
          <w:color w:val="auto"/>
        </w:rPr>
        <w:t>”), between Novartis Institutes for BioMedical Research, Inc. (“</w:t>
      </w:r>
      <w:r>
        <w:rPr>
          <w:rFonts w:ascii="Arial" w:cs="Arial" w:eastAsia="Arial" w:hAnsi="Arial"/>
          <w:sz w:val="21"/>
          <w:szCs w:val="21"/>
          <w:u w:val="single" w:color="auto"/>
          <w:color w:val="auto"/>
        </w:rPr>
        <w:t>Novartis</w:t>
      </w:r>
      <w:r>
        <w:rPr>
          <w:rFonts w:ascii="Arial" w:cs="Arial" w:eastAsia="Arial" w:hAnsi="Arial"/>
          <w:sz w:val="21"/>
          <w:szCs w:val="21"/>
          <w:color w:val="auto"/>
        </w:rPr>
        <w:t>”) and Cerulean Pharma Inc. (“</w:t>
      </w:r>
      <w:r>
        <w:rPr>
          <w:rFonts w:ascii="Arial" w:cs="Arial" w:eastAsia="Arial" w:hAnsi="Arial"/>
          <w:sz w:val="21"/>
          <w:szCs w:val="21"/>
          <w:u w:val="single" w:color="auto"/>
          <w:color w:val="auto"/>
        </w:rPr>
        <w:t>Cerulean</w:t>
      </w:r>
      <w:r>
        <w:rPr>
          <w:rFonts w:ascii="Arial" w:cs="Arial" w:eastAsia="Arial" w:hAnsi="Arial"/>
          <w:sz w:val="21"/>
          <w:szCs w:val="21"/>
          <w:color w:val="auto"/>
        </w:rPr>
        <w:t>”). Novartis and Cerulean are each separately referred to as a “</w:t>
      </w:r>
      <w:r>
        <w:rPr>
          <w:rFonts w:ascii="Arial" w:cs="Arial" w:eastAsia="Arial" w:hAnsi="Arial"/>
          <w:sz w:val="21"/>
          <w:szCs w:val="21"/>
          <w:u w:val="single" w:color="auto"/>
          <w:color w:val="auto"/>
        </w:rPr>
        <w:t>Party</w:t>
      </w:r>
      <w:r>
        <w:rPr>
          <w:rFonts w:ascii="Arial" w:cs="Arial" w:eastAsia="Arial" w:hAnsi="Arial"/>
          <w:sz w:val="21"/>
          <w:szCs w:val="21"/>
          <w:color w:val="auto"/>
        </w:rPr>
        <w:t>” and are collectively referred to as the “</w:t>
      </w:r>
      <w:r>
        <w:rPr>
          <w:rFonts w:ascii="Arial" w:cs="Arial" w:eastAsia="Arial" w:hAnsi="Arial"/>
          <w:sz w:val="21"/>
          <w:szCs w:val="21"/>
          <w:u w:val="single" w:color="auto"/>
          <w:color w:val="auto"/>
        </w:rPr>
        <w:t>Parties</w:t>
      </w:r>
      <w:r>
        <w:rPr>
          <w:rFonts w:ascii="Arial" w:cs="Arial" w:eastAsia="Arial" w:hAnsi="Arial"/>
          <w:sz w:val="21"/>
          <w:szCs w:val="21"/>
          <w:color w:val="auto"/>
        </w:rPr>
        <w:t>”.</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BACKGROUND</w:t>
      </w:r>
    </w:p>
    <w:p>
      <w:pPr>
        <w:spacing w:after="0" w:line="158" w:lineRule="exact"/>
        <w:rPr>
          <w:sz w:val="20"/>
          <w:szCs w:val="20"/>
          <w:color w:val="auto"/>
        </w:rPr>
      </w:pPr>
    </w:p>
    <w:p>
      <w:pPr>
        <w:ind w:right="420" w:firstLine="877"/>
        <w:spacing w:after="0"/>
        <w:rPr>
          <w:sz w:val="20"/>
          <w:szCs w:val="20"/>
          <w:color w:val="auto"/>
        </w:rPr>
      </w:pPr>
      <w:r>
        <w:rPr>
          <w:rFonts w:ascii="Arial" w:cs="Arial" w:eastAsia="Arial" w:hAnsi="Arial"/>
          <w:sz w:val="22"/>
          <w:szCs w:val="22"/>
          <w:i w:val="1"/>
          <w:iCs w:val="1"/>
          <w:color w:val="auto"/>
        </w:rPr>
        <w:t>Whereas</w:t>
      </w:r>
      <w:r>
        <w:rPr>
          <w:rFonts w:ascii="Arial" w:cs="Arial" w:eastAsia="Arial" w:hAnsi="Arial"/>
          <w:sz w:val="22"/>
          <w:szCs w:val="22"/>
          <w:color w:val="auto"/>
        </w:rPr>
        <w:t>, Cerulean is a biopharmaceutical company, which has developed a proprietary Dynamic Tumor Targeting™</w:t>
      </w:r>
      <w:r>
        <w:rPr>
          <w:rFonts w:ascii="Arial" w:cs="Arial" w:eastAsia="Arial" w:hAnsi="Arial"/>
          <w:sz w:val="22"/>
          <w:szCs w:val="22"/>
          <w:i w:val="1"/>
          <w:iCs w:val="1"/>
          <w:color w:val="auto"/>
        </w:rPr>
        <w:t xml:space="preserve"> </w:t>
      </w:r>
      <w:r>
        <w:rPr>
          <w:rFonts w:ascii="Arial" w:cs="Arial" w:eastAsia="Arial" w:hAnsi="Arial"/>
          <w:sz w:val="22"/>
          <w:szCs w:val="22"/>
          <w:color w:val="auto"/>
        </w:rPr>
        <w:t>platform technology to enable the research and development of nanoparticle-drug conjugate therapeutics that improve the therapeutic index of drugs;</w:t>
      </w:r>
    </w:p>
    <w:p>
      <w:pPr>
        <w:spacing w:after="0" w:line="132" w:lineRule="exact"/>
        <w:rPr>
          <w:sz w:val="20"/>
          <w:szCs w:val="20"/>
          <w:color w:val="auto"/>
        </w:rPr>
      </w:pPr>
    </w:p>
    <w:p>
      <w:pPr>
        <w:ind w:right="100" w:firstLine="877"/>
        <w:spacing w:after="0" w:line="251" w:lineRule="auto"/>
        <w:rPr>
          <w:sz w:val="20"/>
          <w:szCs w:val="20"/>
          <w:color w:val="auto"/>
        </w:rPr>
      </w:pPr>
      <w:r>
        <w:rPr>
          <w:rFonts w:ascii="Arial" w:cs="Arial" w:eastAsia="Arial" w:hAnsi="Arial"/>
          <w:sz w:val="22"/>
          <w:szCs w:val="22"/>
          <w:i w:val="1"/>
          <w:iCs w:val="1"/>
          <w:color w:val="auto"/>
        </w:rPr>
        <w:t>Whereas</w:t>
      </w:r>
      <w:r>
        <w:rPr>
          <w:rFonts w:ascii="Arial" w:cs="Arial" w:eastAsia="Arial" w:hAnsi="Arial"/>
          <w:sz w:val="22"/>
          <w:szCs w:val="22"/>
          <w:color w:val="auto"/>
        </w:rPr>
        <w:t>, Novartis possesses expertise in researching, developing, manufacturing, marketing, and selling pharmaceutical</w:t>
      </w:r>
      <w:r>
        <w:rPr>
          <w:rFonts w:ascii="Arial" w:cs="Arial" w:eastAsia="Arial" w:hAnsi="Arial"/>
          <w:sz w:val="22"/>
          <w:szCs w:val="22"/>
          <w:i w:val="1"/>
          <w:iCs w:val="1"/>
          <w:color w:val="auto"/>
        </w:rPr>
        <w:t xml:space="preserve"> </w:t>
      </w:r>
      <w:r>
        <w:rPr>
          <w:rFonts w:ascii="Arial" w:cs="Arial" w:eastAsia="Arial" w:hAnsi="Arial"/>
          <w:sz w:val="22"/>
          <w:szCs w:val="22"/>
          <w:color w:val="auto"/>
        </w:rPr>
        <w:t>products; and</w:t>
      </w:r>
    </w:p>
    <w:p>
      <w:pPr>
        <w:spacing w:after="0" w:line="119" w:lineRule="exact"/>
        <w:rPr>
          <w:sz w:val="20"/>
          <w:szCs w:val="20"/>
          <w:color w:val="auto"/>
        </w:rPr>
      </w:pPr>
    </w:p>
    <w:p>
      <w:pPr>
        <w:jc w:val="both"/>
        <w:ind w:right="760" w:firstLine="877"/>
        <w:spacing w:after="0"/>
        <w:rPr>
          <w:sz w:val="20"/>
          <w:szCs w:val="20"/>
          <w:color w:val="auto"/>
        </w:rPr>
      </w:pPr>
      <w:r>
        <w:rPr>
          <w:rFonts w:ascii="Arial" w:cs="Arial" w:eastAsia="Arial" w:hAnsi="Arial"/>
          <w:sz w:val="22"/>
          <w:szCs w:val="22"/>
          <w:i w:val="1"/>
          <w:iCs w:val="1"/>
          <w:color w:val="auto"/>
        </w:rPr>
        <w:t xml:space="preserve">Whereas, </w:t>
      </w:r>
      <w:r>
        <w:rPr>
          <w:rFonts w:ascii="Arial" w:cs="Arial" w:eastAsia="Arial" w:hAnsi="Arial"/>
          <w:sz w:val="22"/>
          <w:szCs w:val="22"/>
          <w:color w:val="auto"/>
        </w:rPr>
        <w:t>the Parties wish to collaborate with the goal of using Cerulean’s Dynamic Tumor Targeting™ platform</w:t>
      </w:r>
      <w:r>
        <w:rPr>
          <w:rFonts w:ascii="Arial" w:cs="Arial" w:eastAsia="Arial" w:hAnsi="Arial"/>
          <w:sz w:val="22"/>
          <w:szCs w:val="22"/>
          <w:i w:val="1"/>
          <w:iCs w:val="1"/>
          <w:color w:val="auto"/>
        </w:rPr>
        <w:t xml:space="preserve"> </w:t>
      </w:r>
      <w:r>
        <w:rPr>
          <w:rFonts w:ascii="Arial" w:cs="Arial" w:eastAsia="Arial" w:hAnsi="Arial"/>
          <w:sz w:val="22"/>
          <w:szCs w:val="22"/>
          <w:color w:val="auto"/>
        </w:rPr>
        <w:t>technology to discover, develop and commercialize nanoparticle-drug conjugate therapeutics directed to targets selected by Novartis using compounds provided by Novartis.</w:t>
      </w:r>
    </w:p>
    <w:p>
      <w:pPr>
        <w:spacing w:after="0" w:line="132" w:lineRule="exact"/>
        <w:rPr>
          <w:sz w:val="20"/>
          <w:szCs w:val="20"/>
          <w:color w:val="auto"/>
        </w:rPr>
      </w:pPr>
    </w:p>
    <w:p>
      <w:pPr>
        <w:ind w:right="20" w:firstLine="877"/>
        <w:spacing w:after="0" w:line="328" w:lineRule="auto"/>
        <w:rPr>
          <w:sz w:val="20"/>
          <w:szCs w:val="20"/>
          <w:color w:val="auto"/>
        </w:rPr>
      </w:pPr>
      <w:r>
        <w:rPr>
          <w:rFonts w:ascii="Arial" w:cs="Arial" w:eastAsia="Arial" w:hAnsi="Arial"/>
          <w:sz w:val="19"/>
          <w:szCs w:val="19"/>
          <w:i w:val="1"/>
          <w:iCs w:val="1"/>
          <w:color w:val="auto"/>
        </w:rPr>
        <w:t>In consideration of the respective representations, warranties, covenants, and agreements contained herein, and for other valuable consideration, the receipt and sufficiency of which are hereby acknowledged, the Parties agree as follows: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 INTERPRETATION</w:t>
      </w:r>
    </w:p>
    <w:p>
      <w:pPr>
        <w:spacing w:after="0" w:line="128" w:lineRule="exact"/>
        <w:rPr>
          <w:sz w:val="20"/>
          <w:szCs w:val="20"/>
          <w:color w:val="auto"/>
        </w:rPr>
      </w:pPr>
    </w:p>
    <w:p>
      <w:pPr>
        <w:spacing w:after="0"/>
        <w:tabs>
          <w:tab w:leader="none" w:pos="1640" w:val="left"/>
        </w:tabs>
        <w:rPr>
          <w:sz w:val="20"/>
          <w:szCs w:val="20"/>
          <w:color w:val="auto"/>
        </w:rPr>
      </w:pPr>
      <w:r>
        <w:rPr>
          <w:rFonts w:ascii="Arial" w:cs="Arial" w:eastAsia="Arial" w:hAnsi="Arial"/>
          <w:sz w:val="22"/>
          <w:szCs w:val="22"/>
          <w:b w:val="1"/>
          <w:bCs w:val="1"/>
          <w:color w:val="auto"/>
        </w:rPr>
        <w:t>Section 1.1</w:t>
      </w:r>
      <w:r>
        <w:rPr>
          <w:sz w:val="20"/>
          <w:szCs w:val="20"/>
          <w:color w:val="auto"/>
        </w:rPr>
        <w:tab/>
      </w:r>
      <w:r>
        <w:rPr>
          <w:rFonts w:ascii="Arial" w:cs="Arial" w:eastAsia="Arial" w:hAnsi="Arial"/>
          <w:sz w:val="19"/>
          <w:szCs w:val="19"/>
          <w:b w:val="1"/>
          <w:bCs w:val="1"/>
          <w:color w:val="auto"/>
        </w:rPr>
        <w:t>Definitions; Interpretation.</w:t>
      </w:r>
    </w:p>
    <w:p>
      <w:pPr>
        <w:spacing w:after="0" w:line="158" w:lineRule="exact"/>
        <w:rPr>
          <w:sz w:val="20"/>
          <w:szCs w:val="20"/>
          <w:color w:val="auto"/>
        </w:rPr>
      </w:pPr>
    </w:p>
    <w:p>
      <w:pPr>
        <w:ind w:right="160" w:firstLine="87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Accounting Standards</w:t>
      </w:r>
      <w:r>
        <w:rPr>
          <w:rFonts w:ascii="Arial" w:cs="Arial" w:eastAsia="Arial" w:hAnsi="Arial"/>
          <w:sz w:val="22"/>
          <w:szCs w:val="22"/>
          <w:color w:val="auto"/>
        </w:rPr>
        <w:t>” means, with respect to Cerulean, US GAAP (United States Generally Accepted Accounting Principles), and, with respect to Novartis, IFRS (International Financial Reporting Standards), in each case, as generally and consistently applied throughout the Party’s organization. Each Party shall promptly notify the other in the event that it changes the Accounting Standards pursuant to which its records are maintained, it being understood that each Party may only use internationally recognized accounting principles (</w:t>
      </w:r>
      <w:r>
        <w:rPr>
          <w:rFonts w:ascii="Arial" w:cs="Arial" w:eastAsia="Arial" w:hAnsi="Arial"/>
          <w:sz w:val="22"/>
          <w:szCs w:val="22"/>
          <w:i w:val="1"/>
          <w:iCs w:val="1"/>
          <w:color w:val="auto"/>
        </w:rPr>
        <w:t>i.e.</w:t>
      </w:r>
      <w:r>
        <w:rPr>
          <w:rFonts w:ascii="Arial" w:cs="Arial" w:eastAsia="Arial" w:hAnsi="Arial"/>
          <w:sz w:val="22"/>
          <w:szCs w:val="22"/>
          <w:color w:val="auto"/>
        </w:rPr>
        <w:t>, IFRS or US GAAP).</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Designated Target</w:t>
      </w:r>
      <w:r>
        <w:rPr>
          <w:rFonts w:ascii="Arial" w:cs="Arial" w:eastAsia="Arial" w:hAnsi="Arial"/>
          <w:sz w:val="22"/>
          <w:szCs w:val="22"/>
          <w:color w:val="auto"/>
        </w:rPr>
        <w:t>” has the meaning set forth in Section 2.3.2.</w:t>
      </w:r>
    </w:p>
    <w:p>
      <w:pPr>
        <w:spacing w:after="0" w:line="152" w:lineRule="exact"/>
        <w:rPr>
          <w:sz w:val="20"/>
          <w:szCs w:val="20"/>
          <w:color w:val="auto"/>
        </w:rPr>
      </w:pPr>
    </w:p>
    <w:p>
      <w:pPr>
        <w:ind w:right="60" w:firstLine="87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means, with respect to a specified Party, any Person that directly or indirectly controls, is controlled by, or is under common control with that Party. For the purpose of this definition, “control” or “controlled” means direct or indirect ownership of 50% or more of the shares of stock entitled to vote for the election of directors in the case of a corporation, status as a</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5" w:name="page66"/>
    <w:bookmarkEnd w:id="65"/>
    <w:p>
      <w:pPr>
        <w:ind w:left="9560"/>
        <w:spacing w:after="0"/>
        <w:rPr>
          <w:sz w:val="20"/>
          <w:szCs w:val="20"/>
          <w:color w:val="auto"/>
        </w:rPr>
      </w:pPr>
      <w:r>
        <w:rPr>
          <w:rFonts w:ascii="Arial" w:cs="Arial" w:eastAsia="Arial" w:hAnsi="Arial"/>
          <w:sz w:val="19"/>
          <w:szCs w:val="19"/>
          <w:color w:val="auto"/>
        </w:rPr>
        <w:t>EXECUTION COPY</w:t>
      </w:r>
    </w:p>
    <w:p>
      <w:pPr>
        <w:spacing w:after="0" w:line="268" w:lineRule="exact"/>
        <w:rPr>
          <w:sz w:val="20"/>
          <w:szCs w:val="20"/>
          <w:color w:val="auto"/>
        </w:rPr>
      </w:pPr>
    </w:p>
    <w:p>
      <w:pPr>
        <w:ind w:right="160"/>
        <w:spacing w:after="0" w:line="234" w:lineRule="auto"/>
        <w:rPr>
          <w:sz w:val="20"/>
          <w:szCs w:val="20"/>
          <w:color w:val="auto"/>
        </w:rPr>
      </w:pPr>
      <w:r>
        <w:rPr>
          <w:rFonts w:ascii="Arial" w:cs="Arial" w:eastAsia="Arial" w:hAnsi="Arial"/>
          <w:sz w:val="22"/>
          <w:szCs w:val="22"/>
          <w:color w:val="auto"/>
        </w:rPr>
        <w:t>general partner in any partnership, ownership of 50% or more of the entity’s equity interest in the case of any other type of legal entity, or any other arrangement whereby the Person controls or has the right to control the board of directors or equivalent governing body of a corporation or other entity or the ability to otherwise cause the direction of the management or policies of the corporation or other entity. The Parties acknowledge that, in the case of entities organized under the Applicable Laws of certain countries where the maximum percentage ownership permitted by Applicable Law for a foreign investor is less than 50%, that lower percentage will be substituted in the preceding sentence if the foreign investor has the power to direct the management and policies of that entity.</w:t>
      </w:r>
    </w:p>
    <w:p>
      <w:pPr>
        <w:spacing w:after="0" w:line="137" w:lineRule="exact"/>
        <w:rPr>
          <w:sz w:val="20"/>
          <w:szCs w:val="20"/>
          <w:color w:val="auto"/>
        </w:rPr>
      </w:pPr>
    </w:p>
    <w:p>
      <w:pPr>
        <w:ind w:right="780" w:firstLine="87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has the meaning set forth in the preamble, and will include, for the avoidance of doubt, all Exhibits attached hereto.</w:t>
      </w:r>
    </w:p>
    <w:p>
      <w:pPr>
        <w:spacing w:after="0" w:line="119"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 Term</w:t>
      </w:r>
      <w:r>
        <w:rPr>
          <w:rFonts w:ascii="Arial" w:cs="Arial" w:eastAsia="Arial" w:hAnsi="Arial"/>
          <w:sz w:val="22"/>
          <w:szCs w:val="22"/>
          <w:color w:val="auto"/>
        </w:rPr>
        <w:t>” has the meaning set forth in Section 10.1.</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Alliance Manager</w:t>
      </w:r>
      <w:r>
        <w:rPr>
          <w:rFonts w:ascii="Arial" w:cs="Arial" w:eastAsia="Arial" w:hAnsi="Arial"/>
          <w:sz w:val="22"/>
          <w:szCs w:val="22"/>
          <w:color w:val="auto"/>
        </w:rPr>
        <w:t>” has the meaning set forth in Section 2.2.7.</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Annual Maintenance Fee</w:t>
      </w:r>
      <w:r>
        <w:rPr>
          <w:rFonts w:ascii="Arial" w:cs="Arial" w:eastAsia="Arial" w:hAnsi="Arial"/>
          <w:sz w:val="22"/>
          <w:szCs w:val="22"/>
          <w:color w:val="auto"/>
        </w:rPr>
        <w:t>” has the meaning set forth in Section 5.1.2.</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API</w:t>
      </w:r>
      <w:r>
        <w:rPr>
          <w:rFonts w:ascii="Arial" w:cs="Arial" w:eastAsia="Arial" w:hAnsi="Arial"/>
          <w:sz w:val="22"/>
          <w:szCs w:val="22"/>
          <w:color w:val="auto"/>
        </w:rPr>
        <w:t>” has the meaning set forth in Section 2.1.1(a).</w:t>
      </w:r>
    </w:p>
    <w:p>
      <w:pPr>
        <w:spacing w:after="0" w:line="152" w:lineRule="exact"/>
        <w:rPr>
          <w:sz w:val="20"/>
          <w:szCs w:val="20"/>
          <w:color w:val="auto"/>
        </w:rPr>
      </w:pPr>
    </w:p>
    <w:p>
      <w:pPr>
        <w:ind w:right="180" w:firstLine="87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Law</w:t>
      </w:r>
      <w:r>
        <w:rPr>
          <w:rFonts w:ascii="Arial" w:cs="Arial" w:eastAsia="Arial" w:hAnsi="Arial"/>
          <w:sz w:val="22"/>
          <w:szCs w:val="22"/>
          <w:color w:val="auto"/>
        </w:rPr>
        <w:t>” means any applicable national, supranational, federal, state, local, or foreign law, statute, ordinance, principle of common law, or any rule, regulation, standard, judgment, order, writ, injunction, decree, arbitration award, agency requirement, license, or permit of any Governmental Authority, including any rules, regulations, guidelines, or other requirements of Regulatory Authorities.</w:t>
      </w:r>
    </w:p>
    <w:p>
      <w:pPr>
        <w:spacing w:after="0" w:line="13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Approval Milestone</w:t>
      </w:r>
      <w:r>
        <w:rPr>
          <w:rFonts w:ascii="Arial" w:cs="Arial" w:eastAsia="Arial" w:hAnsi="Arial"/>
          <w:sz w:val="22"/>
          <w:szCs w:val="22"/>
          <w:color w:val="auto"/>
        </w:rPr>
        <w:t>” has the meaning set forth in Section 5.4.3.</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Auditor</w:t>
      </w:r>
      <w:r>
        <w:rPr>
          <w:rFonts w:ascii="Arial" w:cs="Arial" w:eastAsia="Arial" w:hAnsi="Arial"/>
          <w:sz w:val="22"/>
          <w:szCs w:val="22"/>
          <w:color w:val="auto"/>
        </w:rPr>
        <w:t>” has the meaning set forth in Section 5.8.2.</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Blocked Target</w:t>
      </w:r>
      <w:r>
        <w:rPr>
          <w:rFonts w:ascii="Arial" w:cs="Arial" w:eastAsia="Arial" w:hAnsi="Arial"/>
          <w:sz w:val="22"/>
          <w:szCs w:val="22"/>
          <w:color w:val="auto"/>
        </w:rPr>
        <w:t xml:space="preserve">” means a proposed Designated Target that Cerulean can demonstrate </w:t>
      </w: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158" w:lineRule="exact"/>
        <w:rPr>
          <w:sz w:val="20"/>
          <w:szCs w:val="20"/>
          <w:color w:val="auto"/>
        </w:rPr>
      </w:pPr>
    </w:p>
    <w:p>
      <w:pPr>
        <w:ind w:right="60" w:firstLine="87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any day that is not a Saturday, Sunday, or other day on which commercial banks are authorized or required to be closed, as the case may be, at the location where the relevant activity is to be performed by the Parties or their Affiliates.</w:t>
      </w:r>
    </w:p>
    <w:p>
      <w:pPr>
        <w:spacing w:after="0" w:line="132" w:lineRule="exact"/>
        <w:rPr>
          <w:sz w:val="20"/>
          <w:szCs w:val="20"/>
          <w:color w:val="auto"/>
        </w:rPr>
      </w:pPr>
    </w:p>
    <w:p>
      <w:pPr>
        <w:ind w:right="400" w:firstLine="87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Calendar Quarter</w:t>
      </w:r>
      <w:r>
        <w:rPr>
          <w:rFonts w:ascii="Arial" w:cs="Arial" w:eastAsia="Arial" w:hAnsi="Arial"/>
          <w:sz w:val="22"/>
          <w:szCs w:val="22"/>
          <w:color w:val="auto"/>
        </w:rPr>
        <w:t>” means the respective periods of three consecutive calendar months ending on March 31, June 30, September 30, and December 31.</w:t>
      </w:r>
    </w:p>
    <w:p>
      <w:pPr>
        <w:spacing w:after="0" w:line="119"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Calendar Year</w:t>
      </w:r>
      <w:r>
        <w:rPr>
          <w:rFonts w:ascii="Arial" w:cs="Arial" w:eastAsia="Arial" w:hAnsi="Arial"/>
          <w:sz w:val="22"/>
          <w:szCs w:val="22"/>
          <w:color w:val="auto"/>
        </w:rPr>
        <w:t>” means a period of twelve consecutive calendar months ending on December 31.</w:t>
      </w:r>
    </w:p>
    <w:p>
      <w:pPr>
        <w:spacing w:after="0" w:line="152" w:lineRule="exact"/>
        <w:rPr>
          <w:sz w:val="20"/>
          <w:szCs w:val="20"/>
          <w:color w:val="auto"/>
        </w:rPr>
      </w:pPr>
    </w:p>
    <w:p>
      <w:pPr>
        <w:ind w:right="260" w:firstLine="87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Cerulean Background Intellectual Property</w:t>
      </w:r>
      <w:r>
        <w:rPr>
          <w:rFonts w:ascii="Arial" w:cs="Arial" w:eastAsia="Arial" w:hAnsi="Arial"/>
          <w:sz w:val="19"/>
          <w:szCs w:val="19"/>
          <w:color w:val="auto"/>
        </w:rPr>
        <w:t>” means Intellectual Property Rights (other than rights to the Collaboration Intellectual Property) Controlled by Cerulean or its Affiliates now or during the Agreement Term (but excluding any Intellectual Property Rights held by a Third Party who engages in a Change of Control) that are necessary or useful for the research, Development, and Commercialization of a Licensed Product and that are Controlled by Cerulean.</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6" w:name="page67"/>
    <w:bookmarkEnd w:id="66"/>
    <w:p>
      <w:pPr>
        <w:ind w:left="9560"/>
        <w:spacing w:after="0"/>
        <w:rPr>
          <w:sz w:val="20"/>
          <w:szCs w:val="20"/>
          <w:color w:val="auto"/>
        </w:rPr>
      </w:pPr>
      <w:r>
        <w:rPr>
          <w:rFonts w:ascii="Arial" w:cs="Arial" w:eastAsia="Arial" w:hAnsi="Arial"/>
          <w:sz w:val="19"/>
          <w:szCs w:val="19"/>
          <w:color w:val="auto"/>
        </w:rPr>
        <w:t>EXECUTION COPY</w:t>
      </w:r>
    </w:p>
    <w:p>
      <w:pPr>
        <w:spacing w:after="0" w:line="26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Cerulean Sole Collaboration Intellectual Property</w:t>
      </w:r>
      <w:r>
        <w:rPr>
          <w:rFonts w:ascii="Arial" w:cs="Arial" w:eastAsia="Arial" w:hAnsi="Arial"/>
          <w:sz w:val="22"/>
          <w:szCs w:val="22"/>
          <w:color w:val="auto"/>
        </w:rPr>
        <w:t>” has the meaning set forth in Section 3.1.1.</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Cerulean Indemnitee</w:t>
      </w:r>
      <w:r>
        <w:rPr>
          <w:rFonts w:ascii="Arial" w:cs="Arial" w:eastAsia="Arial" w:hAnsi="Arial"/>
          <w:sz w:val="22"/>
          <w:szCs w:val="22"/>
          <w:color w:val="auto"/>
        </w:rPr>
        <w:t>” has the meaning set forth in Section 8.2.</w:t>
      </w:r>
    </w:p>
    <w:p>
      <w:pPr>
        <w:spacing w:after="0" w:line="152" w:lineRule="exact"/>
        <w:rPr>
          <w:sz w:val="20"/>
          <w:szCs w:val="20"/>
          <w:color w:val="auto"/>
        </w:rPr>
      </w:pPr>
    </w:p>
    <w:p>
      <w:pPr>
        <w:ind w:right="160" w:firstLine="87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cGCP</w:t>
      </w:r>
      <w:r>
        <w:rPr>
          <w:rFonts w:ascii="Arial" w:cs="Arial" w:eastAsia="Arial" w:hAnsi="Arial"/>
          <w:sz w:val="22"/>
          <w:szCs w:val="22"/>
          <w:color w:val="auto"/>
        </w:rPr>
        <w:t>” means current good clinical practice as required by the FDA and all applicable FDA rules, regulations, orders and guidance, and the requirements with respect to current good clinical practices prescribed by the European Community and the ICH Guidelines.</w:t>
      </w:r>
    </w:p>
    <w:p>
      <w:pPr>
        <w:spacing w:after="0" w:line="132" w:lineRule="exact"/>
        <w:rPr>
          <w:sz w:val="20"/>
          <w:szCs w:val="20"/>
          <w:color w:val="auto"/>
        </w:rPr>
      </w:pPr>
    </w:p>
    <w:p>
      <w:pPr>
        <w:jc w:val="both"/>
        <w:ind w:right="300" w:firstLine="87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cGLP</w:t>
      </w:r>
      <w:r>
        <w:rPr>
          <w:rFonts w:ascii="Arial" w:cs="Arial" w:eastAsia="Arial" w:hAnsi="Arial"/>
          <w:sz w:val="19"/>
          <w:szCs w:val="19"/>
          <w:color w:val="auto"/>
        </w:rPr>
        <w:t>” means current good laboratory practice as required by the FDA under 21 CFR Part 58 and all applicable FDA rules, regulations, orders and guidance, and the requirements with respect to current good laboratory practices prescribed by the European Community, the OECD (Organization for Economic Cooperation and Development Council) and the ICH Guidelines.</w:t>
      </w:r>
    </w:p>
    <w:p>
      <w:pPr>
        <w:spacing w:after="0" w:line="80" w:lineRule="exact"/>
        <w:rPr>
          <w:sz w:val="20"/>
          <w:szCs w:val="20"/>
          <w:color w:val="auto"/>
        </w:rPr>
      </w:pPr>
    </w:p>
    <w:p>
      <w:pPr>
        <w:ind w:right="100" w:firstLine="87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cGMP</w:t>
      </w:r>
      <w:r>
        <w:rPr>
          <w:rFonts w:ascii="Arial" w:cs="Arial" w:eastAsia="Arial" w:hAnsi="Arial"/>
          <w:sz w:val="22"/>
          <w:szCs w:val="22"/>
          <w:color w:val="auto"/>
        </w:rPr>
        <w:t>” means current good manufacturing practices as required by the FDA under provisions of 21 CFR Parts 210 and 211 and all applicable FDA rules, regulations, orders and guidance, and the requirements with respect to current good manufacturing practices prescribed by the European Community under provisions of “The Rules Governing Medicinal Products in the European Community, Volume 4, Good Manufacturing Practices, Annex 13, Manufacture of Investigational Medicinal Products, July 2003.”</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Chair</w:t>
      </w:r>
      <w:r>
        <w:rPr>
          <w:rFonts w:ascii="Arial" w:cs="Arial" w:eastAsia="Arial" w:hAnsi="Arial"/>
          <w:sz w:val="22"/>
          <w:szCs w:val="22"/>
          <w:color w:val="auto"/>
        </w:rPr>
        <w:t>” has the meaning set forth in Section 2.2.4.</w:t>
      </w:r>
    </w:p>
    <w:p>
      <w:pPr>
        <w:spacing w:after="0" w:line="146" w:lineRule="exact"/>
        <w:rPr>
          <w:sz w:val="20"/>
          <w:szCs w:val="20"/>
          <w:color w:val="auto"/>
        </w:rPr>
      </w:pPr>
    </w:p>
    <w:p>
      <w:pPr>
        <w:ind w:right="100" w:firstLine="87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of Control</w:t>
      </w:r>
      <w:r>
        <w:rPr>
          <w:rFonts w:ascii="Arial" w:cs="Arial" w:eastAsia="Arial" w:hAnsi="Arial"/>
          <w:sz w:val="22"/>
          <w:szCs w:val="22"/>
          <w:color w:val="auto"/>
        </w:rPr>
        <w:t xml:space="preserve">” means any of the following events: </w:t>
      </w:r>
      <w:r>
        <w:rPr>
          <w:rFonts w:ascii="Arial" w:cs="Arial" w:eastAsia="Arial" w:hAnsi="Arial"/>
          <w:sz w:val="22"/>
          <w:szCs w:val="22"/>
          <w:b w:val="1"/>
          <w:bCs w:val="1"/>
          <w:color w:val="auto"/>
        </w:rPr>
        <w:t>(a)</w:t>
      </w:r>
      <w:r>
        <w:rPr>
          <w:rFonts w:ascii="Arial" w:cs="Arial" w:eastAsia="Arial" w:hAnsi="Arial"/>
          <w:sz w:val="22"/>
          <w:szCs w:val="22"/>
          <w:color w:val="auto"/>
        </w:rPr>
        <w:t xml:space="preserve"> a Third Party becomes the beneficial owner, directly or indirectly, of more than 50% of Cerulean’s outstanding voting stock; </w:t>
      </w:r>
      <w:r>
        <w:rPr>
          <w:rFonts w:ascii="Arial" w:cs="Arial" w:eastAsia="Arial" w:hAnsi="Arial"/>
          <w:sz w:val="22"/>
          <w:szCs w:val="22"/>
          <w:b w:val="1"/>
          <w:bCs w:val="1"/>
          <w:color w:val="auto"/>
        </w:rPr>
        <w:t>(b)</w:t>
      </w:r>
      <w:r>
        <w:rPr>
          <w:rFonts w:ascii="Arial" w:cs="Arial" w:eastAsia="Arial" w:hAnsi="Arial"/>
          <w:sz w:val="22"/>
          <w:szCs w:val="22"/>
          <w:color w:val="auto"/>
        </w:rPr>
        <w:t xml:space="preserve"> Cerulean consolidates with or merges into a Third Party, and as a result of such merger or consolidation, the holders of all of the outstanding voting stock of Cerulean prior to the merger or consolidation hold less than 50% of the voting stock of the surviving entity (or its parent entity in such merger or consolidations) after the merger or consolidation; or </w:t>
      </w:r>
      <w:r>
        <w:rPr>
          <w:rFonts w:ascii="Arial" w:cs="Arial" w:eastAsia="Arial" w:hAnsi="Arial"/>
          <w:sz w:val="22"/>
          <w:szCs w:val="22"/>
          <w:b w:val="1"/>
          <w:bCs w:val="1"/>
          <w:color w:val="auto"/>
        </w:rPr>
        <w:t>(c)</w:t>
      </w:r>
      <w:r>
        <w:rPr>
          <w:rFonts w:ascii="Arial" w:cs="Arial" w:eastAsia="Arial" w:hAnsi="Arial"/>
          <w:sz w:val="22"/>
          <w:szCs w:val="22"/>
          <w:color w:val="auto"/>
        </w:rPr>
        <w:t xml:space="preserve"> Cerulean assigns, licenses, conveys, transfers, or leases all or substantially all of its assets to a Third Party.</w:t>
      </w:r>
    </w:p>
    <w:p>
      <w:pPr>
        <w:spacing w:after="0" w:line="134" w:lineRule="exact"/>
        <w:rPr>
          <w:sz w:val="20"/>
          <w:szCs w:val="20"/>
          <w:color w:val="auto"/>
        </w:rPr>
      </w:pPr>
    </w:p>
    <w:p>
      <w:pPr>
        <w:ind w:right="260" w:firstLine="87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Claims</w:t>
      </w:r>
      <w:r>
        <w:rPr>
          <w:rFonts w:ascii="Arial" w:cs="Arial" w:eastAsia="Arial" w:hAnsi="Arial"/>
          <w:sz w:val="19"/>
          <w:szCs w:val="19"/>
          <w:color w:val="auto"/>
        </w:rPr>
        <w:t>” means all Third Party demands, claims, actions, proceedings, and liability (whether criminal or civil, in contract, tort, or otherwise) for losses, damages, reasonable legal costs, and other reasonable expenses, of any nature whatsoever.</w:t>
      </w:r>
    </w:p>
    <w:p>
      <w:pPr>
        <w:spacing w:after="0" w:line="51" w:lineRule="exact"/>
        <w:rPr>
          <w:sz w:val="20"/>
          <w:szCs w:val="20"/>
          <w:color w:val="auto"/>
        </w:rPr>
      </w:pPr>
    </w:p>
    <w:p>
      <w:pPr>
        <w:ind w:right="320" w:firstLine="87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Collaboration</w:t>
      </w:r>
      <w:r>
        <w:rPr>
          <w:rFonts w:ascii="Arial" w:cs="Arial" w:eastAsia="Arial" w:hAnsi="Arial"/>
          <w:sz w:val="22"/>
          <w:szCs w:val="22"/>
          <w:color w:val="auto"/>
        </w:rPr>
        <w:t>” means the collective research and related activities contemplated by this Agreement and the Research Plans. Subject to Section 2.3.3, the Collaboration will consist of up to five Programs.</w:t>
      </w:r>
    </w:p>
    <w:p>
      <w:pPr>
        <w:spacing w:after="0" w:line="119" w:lineRule="exact"/>
        <w:rPr>
          <w:sz w:val="20"/>
          <w:szCs w:val="20"/>
          <w:color w:val="auto"/>
        </w:rPr>
      </w:pPr>
    </w:p>
    <w:p>
      <w:pPr>
        <w:ind w:right="140" w:firstLine="877"/>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Collaboration Intellectual Property</w:t>
      </w:r>
      <w:r>
        <w:rPr>
          <w:rFonts w:ascii="Arial" w:cs="Arial" w:eastAsia="Arial" w:hAnsi="Arial"/>
          <w:sz w:val="19"/>
          <w:szCs w:val="19"/>
          <w:color w:val="auto"/>
        </w:rPr>
        <w:t>” means all Intellectual Property Rights created, conceived of, and/or reduced to practice by either of the Parties separately or jointly by the Parties, their Affiliates, or its or their employees, agents, or subcontractors in the conduct of the Collaboration. For the avoidance of doubt, Intellectual Property Rights created, conceived of, and/or reduced to practice outside of the Collaboration, including research, development, manufacturing, and commercialization activities relating to pharmaceutical products conducted after the Research Term has been completed or those that are conducted outside of the scope of the activities contemplated by the Research Plans will not constitute Collaboration Intellectual Property.</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7" w:name="page68"/>
    <w:bookmarkEnd w:id="67"/>
    <w:p>
      <w:pPr>
        <w:ind w:left="9560"/>
        <w:spacing w:after="0"/>
        <w:rPr>
          <w:sz w:val="20"/>
          <w:szCs w:val="20"/>
          <w:color w:val="auto"/>
        </w:rPr>
      </w:pPr>
      <w:r>
        <w:rPr>
          <w:rFonts w:ascii="Arial" w:cs="Arial" w:eastAsia="Arial" w:hAnsi="Arial"/>
          <w:sz w:val="19"/>
          <w:szCs w:val="19"/>
          <w:color w:val="auto"/>
        </w:rPr>
        <w:t>EXECUTION COPY</w:t>
      </w:r>
    </w:p>
    <w:p>
      <w:pPr>
        <w:spacing w:after="0" w:line="268" w:lineRule="exact"/>
        <w:rPr>
          <w:sz w:val="20"/>
          <w:szCs w:val="20"/>
          <w:color w:val="auto"/>
        </w:rPr>
      </w:pPr>
    </w:p>
    <w:p>
      <w:pPr>
        <w:ind w:right="180" w:firstLine="87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Commercialize</w:t>
      </w:r>
      <w:r>
        <w:rPr>
          <w:rFonts w:ascii="Arial" w:cs="Arial" w:eastAsia="Arial" w:hAnsi="Arial"/>
          <w:sz w:val="22"/>
          <w:szCs w:val="22"/>
          <w:color w:val="auto"/>
        </w:rPr>
        <w:t>” means any and all activities directed to manufacturing, marketing, promoting, distributing, importing, exporting, using, offering to sell or selling a Licensed Product, and activities directed to obtaining pricing approvals and medical affairs activities, as applicable.</w:t>
      </w:r>
    </w:p>
    <w:p>
      <w:pPr>
        <w:spacing w:after="0" w:line="132" w:lineRule="exact"/>
        <w:rPr>
          <w:sz w:val="20"/>
          <w:szCs w:val="20"/>
          <w:color w:val="auto"/>
        </w:rPr>
      </w:pPr>
    </w:p>
    <w:p>
      <w:pPr>
        <w:ind w:right="100" w:firstLine="877"/>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Commercially Reasonable Efforts</w:t>
      </w:r>
      <w:r>
        <w:rPr>
          <w:rFonts w:ascii="Arial" w:cs="Arial" w:eastAsia="Arial" w:hAnsi="Arial"/>
          <w:sz w:val="21"/>
          <w:szCs w:val="21"/>
          <w:color w:val="auto"/>
        </w:rPr>
        <w:t>” means, with respect to the efforts to be expended by a Party, the use of reasonable, diligent, good faith efforts and resources to accomplish such objective, as such Party or its Affiliates would normally use to accomplish a similar objective under similar circumstances, it being understood that, with respect to the research, manufacture, Development, or Commercialization of Licensed Product, such efforts and resources shall be substantially equivalent to those efforts and resources commonly used by such Party for a product owned by it or to which it has rights, with similar market and economic potential as the relevant Licensed Product and at a similar stage in its Development or product life as the relevant Licensed Product, taking into account efficacy, safety, approved labeling, the competitiveness of alternative products in the marketplace, applicable intellectual property rights, the likelihood of Regulatory Approval of the relevant Licensed Product and its alternatives, and the actual or anticipated profitability of the relevant Licensed Product, and other relevant factors commonly considered by the Party in similar circumstances. It is anticipated that the level of effort required to constitute “Commercially Reasonable Efforts” may change over time.</w:t>
      </w:r>
    </w:p>
    <w:p>
      <w:pPr>
        <w:spacing w:after="0" w:line="13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Commercial License</w:t>
      </w:r>
      <w:r>
        <w:rPr>
          <w:rFonts w:ascii="Arial" w:cs="Arial" w:eastAsia="Arial" w:hAnsi="Arial"/>
          <w:sz w:val="22"/>
          <w:szCs w:val="22"/>
          <w:color w:val="auto"/>
        </w:rPr>
        <w:t>” has the meaning set forth in Section 3.2.1.</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Commercial License Practice Notice</w:t>
      </w:r>
      <w:r>
        <w:rPr>
          <w:rFonts w:ascii="Arial" w:cs="Arial" w:eastAsia="Arial" w:hAnsi="Arial"/>
          <w:sz w:val="22"/>
          <w:szCs w:val="22"/>
          <w:color w:val="auto"/>
        </w:rPr>
        <w:t>” has the meaning set forth in Section 3.2.2.</w:t>
      </w:r>
    </w:p>
    <w:p>
      <w:pPr>
        <w:spacing w:after="0" w:line="152" w:lineRule="exact"/>
        <w:rPr>
          <w:sz w:val="20"/>
          <w:szCs w:val="20"/>
          <w:color w:val="auto"/>
        </w:rPr>
      </w:pPr>
    </w:p>
    <w:p>
      <w:pPr>
        <w:ind w:right="220" w:firstLine="87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Contingent Development Term</w:t>
      </w:r>
      <w:r>
        <w:rPr>
          <w:rFonts w:ascii="Arial" w:cs="Arial" w:eastAsia="Arial" w:hAnsi="Arial"/>
          <w:sz w:val="22"/>
          <w:szCs w:val="22"/>
          <w:color w:val="auto"/>
        </w:rPr>
        <w:t>” means, on a Program-by-Program basis, the time period commencing on the date that the relevant Designated Target is added to the Collaboration as a Program (for the Initial Designated Target, the Effective Date), and expiring on:</w:t>
      </w:r>
    </w:p>
    <w:p>
      <w:pPr>
        <w:spacing w:after="0" w:line="132" w:lineRule="exact"/>
        <w:rPr>
          <w:sz w:val="20"/>
          <w:szCs w:val="20"/>
          <w:color w:val="auto"/>
        </w:rPr>
      </w:pPr>
    </w:p>
    <w:p>
      <w:pPr>
        <w:ind w:left="880" w:right="220" w:firstLine="816"/>
        <w:spacing w:after="0" w:line="328" w:lineRule="auto"/>
        <w:tabs>
          <w:tab w:leader="none" w:pos="2644" w:val="left"/>
        </w:tabs>
        <w:numPr>
          <w:ilvl w:val="0"/>
          <w:numId w:val="48"/>
        </w:numPr>
        <w:rPr>
          <w:rFonts w:ascii="Arial" w:cs="Arial" w:eastAsia="Arial" w:hAnsi="Arial"/>
          <w:sz w:val="19"/>
          <w:szCs w:val="19"/>
          <w:b w:val="1"/>
          <w:bCs w:val="1"/>
          <w:color w:val="auto"/>
        </w:rPr>
      </w:pPr>
      <w:r>
        <w:rPr>
          <w:rFonts w:ascii="Arial" w:cs="Arial" w:eastAsia="Arial" w:hAnsi="Arial"/>
          <w:sz w:val="19"/>
          <w:szCs w:val="19"/>
          <w:color w:val="auto"/>
        </w:rPr>
        <w:t>the expiration of the Research Term (including any extensions thereto pursuant to Section 2.1.2) of the relevant Program, unless Novartis elects to pay the Annual Maintenance Fee with respect to such Program;</w:t>
      </w:r>
    </w:p>
    <w:p>
      <w:pPr>
        <w:spacing w:after="0" w:line="51" w:lineRule="exact"/>
        <w:rPr>
          <w:rFonts w:ascii="Arial" w:cs="Arial" w:eastAsia="Arial" w:hAnsi="Arial"/>
          <w:sz w:val="19"/>
          <w:szCs w:val="19"/>
          <w:b w:val="1"/>
          <w:bCs w:val="1"/>
          <w:color w:val="auto"/>
        </w:rPr>
      </w:pPr>
    </w:p>
    <w:p>
      <w:pPr>
        <w:ind w:left="880" w:right="480" w:firstLine="816"/>
        <w:spacing w:after="0" w:line="251" w:lineRule="auto"/>
        <w:tabs>
          <w:tab w:leader="none" w:pos="2656" w:val="left"/>
        </w:tabs>
        <w:numPr>
          <w:ilvl w:val="0"/>
          <w:numId w:val="48"/>
        </w:numPr>
        <w:rPr>
          <w:rFonts w:ascii="Arial" w:cs="Arial" w:eastAsia="Arial" w:hAnsi="Arial"/>
          <w:sz w:val="22"/>
          <w:szCs w:val="22"/>
          <w:b w:val="1"/>
          <w:bCs w:val="1"/>
          <w:color w:val="auto"/>
        </w:rPr>
      </w:pPr>
      <w:r>
        <w:rPr>
          <w:rFonts w:ascii="Arial" w:cs="Arial" w:eastAsia="Arial" w:hAnsi="Arial"/>
          <w:sz w:val="22"/>
          <w:szCs w:val="22"/>
          <w:color w:val="auto"/>
        </w:rPr>
        <w:t>such date as Novartis elects to cease to pay or fails to pay the Annual Maintenance Fee for such Program in accordance with Section 5.1.2; or</w:t>
      </w:r>
    </w:p>
    <w:p>
      <w:pPr>
        <w:spacing w:after="0" w:line="119" w:lineRule="exact"/>
        <w:rPr>
          <w:rFonts w:ascii="Arial" w:cs="Arial" w:eastAsia="Arial" w:hAnsi="Arial"/>
          <w:sz w:val="22"/>
          <w:szCs w:val="22"/>
          <w:b w:val="1"/>
          <w:bCs w:val="1"/>
          <w:color w:val="auto"/>
        </w:rPr>
      </w:pPr>
    </w:p>
    <w:p>
      <w:pPr>
        <w:ind w:left="2580" w:hanging="884"/>
        <w:spacing w:after="0"/>
        <w:tabs>
          <w:tab w:leader="none" w:pos="2580" w:val="left"/>
        </w:tabs>
        <w:numPr>
          <w:ilvl w:val="0"/>
          <w:numId w:val="48"/>
        </w:numPr>
        <w:rPr>
          <w:rFonts w:ascii="Arial" w:cs="Arial" w:eastAsia="Arial" w:hAnsi="Arial"/>
          <w:sz w:val="22"/>
          <w:szCs w:val="22"/>
          <w:b w:val="1"/>
          <w:bCs w:val="1"/>
          <w:color w:val="auto"/>
        </w:rPr>
      </w:pPr>
      <w:r>
        <w:rPr>
          <w:rFonts w:ascii="Arial" w:cs="Arial" w:eastAsia="Arial" w:hAnsi="Arial"/>
          <w:sz w:val="22"/>
          <w:szCs w:val="22"/>
          <w:color w:val="auto"/>
        </w:rPr>
        <w:t>such date as Novartis delivers the Commercial License Practice Notice to Cerulean.</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Commercial Rights Fee</w:t>
      </w:r>
      <w:r>
        <w:rPr>
          <w:rFonts w:ascii="Arial" w:cs="Arial" w:eastAsia="Arial" w:hAnsi="Arial"/>
          <w:sz w:val="22"/>
          <w:szCs w:val="22"/>
          <w:color w:val="auto"/>
        </w:rPr>
        <w:t>” has the meaning set forth in Section 5.3.</w:t>
      </w:r>
    </w:p>
    <w:p>
      <w:pPr>
        <w:spacing w:after="0" w:line="152" w:lineRule="exact"/>
        <w:rPr>
          <w:sz w:val="20"/>
          <w:szCs w:val="20"/>
          <w:color w:val="auto"/>
        </w:rPr>
      </w:pPr>
    </w:p>
    <w:p>
      <w:pPr>
        <w:ind w:right="40" w:firstLine="87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w:t>
      </w:r>
      <w:r>
        <w:rPr>
          <w:rFonts w:ascii="Arial" w:cs="Arial" w:eastAsia="Arial" w:hAnsi="Arial"/>
          <w:sz w:val="22"/>
          <w:szCs w:val="22"/>
          <w:color w:val="auto"/>
        </w:rPr>
        <w:t>” or “</w:t>
      </w:r>
      <w:r>
        <w:rPr>
          <w:rFonts w:ascii="Arial" w:cs="Arial" w:eastAsia="Arial" w:hAnsi="Arial"/>
          <w:sz w:val="22"/>
          <w:szCs w:val="22"/>
          <w:u w:val="single" w:color="auto"/>
          <w:color w:val="auto"/>
        </w:rPr>
        <w:t>Controlled</w:t>
      </w:r>
      <w:r>
        <w:rPr>
          <w:rFonts w:ascii="Arial" w:cs="Arial" w:eastAsia="Arial" w:hAnsi="Arial"/>
          <w:sz w:val="22"/>
          <w:szCs w:val="22"/>
          <w:color w:val="auto"/>
        </w:rPr>
        <w:t>” means, with respect to any Intellectual Property Right, the possession by a Party (whether by ownership, license, or otherwise) of the ability (without taking into account any rights granted by one Party to the other Party under the terms of this Agreement) to grant access to, or a license or sublicense of, such rights or property, without violating the terms of any agreement or other arrangement with any Third Party.</w:t>
      </w:r>
    </w:p>
    <w:p>
      <w:pPr>
        <w:spacing w:after="0" w:line="13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means [**].</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Designated Target(s)</w:t>
      </w:r>
      <w:r>
        <w:rPr>
          <w:rFonts w:ascii="Arial" w:cs="Arial" w:eastAsia="Arial" w:hAnsi="Arial"/>
          <w:sz w:val="22"/>
          <w:szCs w:val="22"/>
          <w:color w:val="auto"/>
        </w:rPr>
        <w:t>” has the meaning set forth in Section 2.3.2.</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8" w:name="page69"/>
    <w:bookmarkEnd w:id="68"/>
    <w:p>
      <w:pPr>
        <w:ind w:left="9560"/>
        <w:spacing w:after="0"/>
        <w:rPr>
          <w:sz w:val="20"/>
          <w:szCs w:val="20"/>
          <w:color w:val="auto"/>
        </w:rPr>
      </w:pPr>
      <w:r>
        <w:rPr>
          <w:rFonts w:ascii="Arial" w:cs="Arial" w:eastAsia="Arial" w:hAnsi="Arial"/>
          <w:sz w:val="19"/>
          <w:szCs w:val="19"/>
          <w:color w:val="auto"/>
        </w:rPr>
        <w:t>EXECUTION COPY</w:t>
      </w:r>
    </w:p>
    <w:p>
      <w:pPr>
        <w:spacing w:after="0" w:line="268" w:lineRule="exact"/>
        <w:rPr>
          <w:sz w:val="20"/>
          <w:szCs w:val="20"/>
          <w:color w:val="auto"/>
        </w:rPr>
      </w:pPr>
    </w:p>
    <w:p>
      <w:pPr>
        <w:ind w:right="160" w:firstLine="877"/>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Develop</w:t>
      </w:r>
      <w:r>
        <w:rPr>
          <w:rFonts w:ascii="Arial" w:cs="Arial" w:eastAsia="Arial" w:hAnsi="Arial"/>
          <w:sz w:val="21"/>
          <w:szCs w:val="21"/>
          <w:color w:val="auto"/>
        </w:rPr>
        <w:t>” or “</w:t>
      </w:r>
      <w:r>
        <w:rPr>
          <w:rFonts w:ascii="Arial" w:cs="Arial" w:eastAsia="Arial" w:hAnsi="Arial"/>
          <w:sz w:val="21"/>
          <w:szCs w:val="21"/>
          <w:u w:val="single" w:color="auto"/>
          <w:color w:val="auto"/>
        </w:rPr>
        <w:t>Development</w:t>
      </w:r>
      <w:r>
        <w:rPr>
          <w:rFonts w:ascii="Arial" w:cs="Arial" w:eastAsia="Arial" w:hAnsi="Arial"/>
          <w:sz w:val="21"/>
          <w:szCs w:val="21"/>
          <w:color w:val="auto"/>
        </w:rPr>
        <w:t>” means drug development activities, including test method development and stability testing, assay development and audit development, toxicology, formulation, quality assurance/quality control development, statistical analysis, pre-clinical studies, clinical studies, packaging development, regulatory affairs, and the preparation, filing, and prosecution of INDs and MAAs, interactions with Regulatory Authorities, as well as related medical affairs, as well as manufacturing process development, production and distribution of clinical supply materials.</w:t>
      </w:r>
    </w:p>
    <w:p>
      <w:pPr>
        <w:spacing w:after="0" w:line="12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Development Milestone</w:t>
      </w:r>
      <w:r>
        <w:rPr>
          <w:rFonts w:ascii="Arial" w:cs="Arial" w:eastAsia="Arial" w:hAnsi="Arial"/>
          <w:sz w:val="22"/>
          <w:szCs w:val="22"/>
          <w:color w:val="auto"/>
        </w:rPr>
        <w:t>” has the meaning set forth in Section 5.4.3.</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Disclaiming Party</w:t>
      </w:r>
      <w:r>
        <w:rPr>
          <w:rFonts w:ascii="Arial" w:cs="Arial" w:eastAsia="Arial" w:hAnsi="Arial"/>
          <w:sz w:val="22"/>
          <w:szCs w:val="22"/>
          <w:color w:val="auto"/>
        </w:rPr>
        <w:t>” has the meaning set forth in Section 3.3.1(c).</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Discontinuation Notice</w:t>
      </w:r>
      <w:r>
        <w:rPr>
          <w:rFonts w:ascii="Arial" w:cs="Arial" w:eastAsia="Arial" w:hAnsi="Arial"/>
          <w:sz w:val="22"/>
          <w:szCs w:val="22"/>
          <w:color w:val="auto"/>
        </w:rPr>
        <w:t>” has the meaning set forth in Section 3.3.1(c).</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Exclusively Licensed Intellectual Property</w:t>
      </w:r>
      <w:r>
        <w:rPr>
          <w:rFonts w:ascii="Arial" w:cs="Arial" w:eastAsia="Arial" w:hAnsi="Arial"/>
          <w:sz w:val="22"/>
          <w:szCs w:val="22"/>
          <w:color w:val="auto"/>
        </w:rPr>
        <w:t>” has the meaning set forth in Section 3.2.1.</w:t>
      </w:r>
    </w:p>
    <w:p>
      <w:pPr>
        <w:spacing w:after="0" w:line="152" w:lineRule="exact"/>
        <w:rPr>
          <w:sz w:val="20"/>
          <w:szCs w:val="20"/>
          <w:color w:val="auto"/>
        </w:rPr>
      </w:pPr>
    </w:p>
    <w:p>
      <w:pPr>
        <w:ind w:right="220" w:firstLine="87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Exclusively Licensed Patent Rights</w:t>
      </w:r>
      <w:r>
        <w:rPr>
          <w:rFonts w:ascii="Arial" w:cs="Arial" w:eastAsia="Arial" w:hAnsi="Arial"/>
          <w:sz w:val="22"/>
          <w:szCs w:val="22"/>
          <w:color w:val="auto"/>
        </w:rPr>
        <w:t>” means the portion of the Exclusively Licensed Intellectual Property consisting of Patent Rights.</w:t>
      </w:r>
    </w:p>
    <w:p>
      <w:pPr>
        <w:spacing w:after="0" w:line="119" w:lineRule="exact"/>
        <w:rPr>
          <w:sz w:val="20"/>
          <w:szCs w:val="20"/>
          <w:color w:val="auto"/>
        </w:rPr>
      </w:pPr>
    </w:p>
    <w:p>
      <w:pPr>
        <w:ind w:right="140" w:firstLine="877"/>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First Commercial Sale</w:t>
      </w:r>
      <w:r>
        <w:rPr>
          <w:rFonts w:ascii="Arial" w:cs="Arial" w:eastAsia="Arial" w:hAnsi="Arial"/>
          <w:sz w:val="19"/>
          <w:szCs w:val="19"/>
          <w:color w:val="auto"/>
        </w:rPr>
        <w:t xml:space="preserve">” means, on a Licensed Product-by-Licensed Product, and country-by-country basis, the first commercial sale in an arms’-length transaction of a Licensed Product to a Third Party by Novartis or its Affiliates in such country following receipt of applicable Regulatory Approval of such Licensed Product in such country. For clarity, the First Commercial Sale shall not include </w:t>
      </w:r>
      <w:r>
        <w:rPr>
          <w:rFonts w:ascii="Arial" w:cs="Arial" w:eastAsia="Arial" w:hAnsi="Arial"/>
          <w:sz w:val="19"/>
          <w:szCs w:val="19"/>
          <w:b w:val="1"/>
          <w:bCs w:val="1"/>
          <w:color w:val="auto"/>
        </w:rPr>
        <w:t>(a)</w:t>
      </w:r>
      <w:r>
        <w:rPr>
          <w:rFonts w:ascii="Arial" w:cs="Arial" w:eastAsia="Arial" w:hAnsi="Arial"/>
          <w:sz w:val="19"/>
          <w:szCs w:val="19"/>
          <w:color w:val="auto"/>
        </w:rPr>
        <w:t xml:space="preserve"> any distribution or other sale solely for patient assistance, named patient use, compassionate use, or test marketing programs or non-registrational studies or similar programs or studies, in each case where the Licensed Product is supplied without charge or at the actual manufacturing cost thereof (without allocation of indirect costs or any markup); or </w:t>
      </w:r>
      <w:r>
        <w:rPr>
          <w:rFonts w:ascii="Arial" w:cs="Arial" w:eastAsia="Arial" w:hAnsi="Arial"/>
          <w:sz w:val="19"/>
          <w:szCs w:val="19"/>
          <w:b w:val="1"/>
          <w:bCs w:val="1"/>
          <w:color w:val="auto"/>
        </w:rPr>
        <w:t>(b)</w:t>
      </w:r>
      <w:r>
        <w:rPr>
          <w:rFonts w:ascii="Arial" w:cs="Arial" w:eastAsia="Arial" w:hAnsi="Arial"/>
          <w:sz w:val="19"/>
          <w:szCs w:val="19"/>
          <w:color w:val="auto"/>
        </w:rPr>
        <w:t xml:space="preserve"> any sale by a Party to its Affiliates, sublicensees, or for the purpose of further distribution.</w:t>
      </w:r>
    </w:p>
    <w:p>
      <w:pPr>
        <w:spacing w:after="0" w:line="99"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FDA</w:t>
      </w:r>
      <w:r>
        <w:rPr>
          <w:rFonts w:ascii="Arial" w:cs="Arial" w:eastAsia="Arial" w:hAnsi="Arial"/>
          <w:sz w:val="22"/>
          <w:szCs w:val="22"/>
          <w:color w:val="auto"/>
        </w:rPr>
        <w:t>” means the U. S. Food and Drug Administration or any successor entity thereto.</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FPFD</w:t>
      </w:r>
      <w:r>
        <w:rPr>
          <w:rFonts w:ascii="Arial" w:cs="Arial" w:eastAsia="Arial" w:hAnsi="Arial"/>
          <w:sz w:val="22"/>
          <w:szCs w:val="22"/>
          <w:color w:val="auto"/>
        </w:rPr>
        <w:t>” means first patient, first dose.</w:t>
      </w:r>
    </w:p>
    <w:p>
      <w:pPr>
        <w:spacing w:after="0" w:line="152" w:lineRule="exact"/>
        <w:rPr>
          <w:sz w:val="20"/>
          <w:szCs w:val="20"/>
          <w:color w:val="auto"/>
        </w:rPr>
      </w:pPr>
    </w:p>
    <w:p>
      <w:pPr>
        <w:ind w:right="300" w:firstLine="877"/>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FTE Rate</w:t>
      </w:r>
      <w:r>
        <w:rPr>
          <w:rFonts w:ascii="Arial" w:cs="Arial" w:eastAsia="Arial" w:hAnsi="Arial"/>
          <w:sz w:val="21"/>
          <w:szCs w:val="21"/>
          <w:color w:val="auto"/>
        </w:rPr>
        <w:t>” means a rate of USD$[**] per FTE (as defined herein) per annum based on the yearly time of one of Cerulean’s full-time equivalent Qualified Scientific Personnel during the Research Term, consisting of a total of [**] hours per annum (“</w:t>
      </w:r>
      <w:r>
        <w:rPr>
          <w:rFonts w:ascii="Arial" w:cs="Arial" w:eastAsia="Arial" w:hAnsi="Arial"/>
          <w:sz w:val="21"/>
          <w:szCs w:val="21"/>
          <w:u w:val="single" w:color="auto"/>
          <w:color w:val="auto"/>
        </w:rPr>
        <w:t>FTE</w:t>
      </w:r>
      <w:r>
        <w:rPr>
          <w:rFonts w:ascii="Arial" w:cs="Arial" w:eastAsia="Arial" w:hAnsi="Arial"/>
          <w:sz w:val="21"/>
          <w:szCs w:val="21"/>
          <w:color w:val="auto"/>
        </w:rPr>
        <w:t xml:space="preserve">”), to be </w:t>
      </w:r>
      <w:r>
        <w:rPr>
          <w:rFonts w:ascii="Arial" w:cs="Arial" w:eastAsia="Arial" w:hAnsi="Arial"/>
          <w:sz w:val="21"/>
          <w:szCs w:val="21"/>
          <w:i w:val="1"/>
          <w:iCs w:val="1"/>
          <w:color w:val="auto"/>
        </w:rPr>
        <w:t>pro rated</w:t>
      </w:r>
      <w:r>
        <w:rPr>
          <w:rFonts w:ascii="Arial" w:cs="Arial" w:eastAsia="Arial" w:hAnsi="Arial"/>
          <w:sz w:val="21"/>
          <w:szCs w:val="21"/>
          <w:color w:val="auto"/>
        </w:rPr>
        <w:t xml:space="preserve"> on a daily basis if necessary, such rate to be restricted to scientific work related directly to the Collaboration and will exclude managerial, legal, business development, and alliance management activities. For the purpose of this definition, a “</w:t>
      </w:r>
      <w:r>
        <w:rPr>
          <w:rFonts w:ascii="Arial" w:cs="Arial" w:eastAsia="Arial" w:hAnsi="Arial"/>
          <w:sz w:val="21"/>
          <w:szCs w:val="21"/>
          <w:u w:val="single" w:color="auto"/>
          <w:color w:val="auto"/>
        </w:rPr>
        <w:t>Qualified Scientific Personnel</w:t>
      </w:r>
      <w:r>
        <w:rPr>
          <w:rFonts w:ascii="Arial" w:cs="Arial" w:eastAsia="Arial" w:hAnsi="Arial"/>
          <w:sz w:val="21"/>
          <w:szCs w:val="21"/>
          <w:color w:val="auto"/>
        </w:rPr>
        <w:t xml:space="preserve">” means a scientist with </w:t>
      </w:r>
      <w:r>
        <w:rPr>
          <w:rFonts w:ascii="Arial" w:cs="Arial" w:eastAsia="Arial" w:hAnsi="Arial"/>
          <w:sz w:val="21"/>
          <w:szCs w:val="21"/>
          <w:b w:val="1"/>
          <w:bCs w:val="1"/>
          <w:color w:val="auto"/>
        </w:rPr>
        <w:t>[**]</w:t>
      </w:r>
      <w:r>
        <w:rPr>
          <w:rFonts w:ascii="Arial" w:cs="Arial" w:eastAsia="Arial" w:hAnsi="Arial"/>
          <w:sz w:val="21"/>
          <w:szCs w:val="21"/>
          <w:color w:val="auto"/>
        </w:rPr>
        <w:t>.</w:t>
      </w:r>
    </w:p>
    <w:p>
      <w:pPr>
        <w:spacing w:after="0" w:line="125" w:lineRule="exact"/>
        <w:rPr>
          <w:sz w:val="20"/>
          <w:szCs w:val="20"/>
          <w:color w:val="auto"/>
        </w:rPr>
      </w:pPr>
    </w:p>
    <w:p>
      <w:pPr>
        <w:ind w:right="20" w:firstLine="87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Generic Equivalent</w:t>
      </w:r>
      <w:r>
        <w:rPr>
          <w:rFonts w:ascii="Arial" w:cs="Arial" w:eastAsia="Arial" w:hAnsi="Arial"/>
          <w:sz w:val="22"/>
          <w:szCs w:val="22"/>
          <w:color w:val="auto"/>
        </w:rPr>
        <w:t>” means, as to a Licensed Product, any product (including a “generic product”) approved by way of an Abbreviated New Drug Application by the FDA (or equivalent regulatory mechanism for another Regulatory Authority), in each case, that is sold by a Third Party that is not a sublicensee of Novartis or any of its Affiliates and that has not otherwise been authorized by Novartis or any of its Affiliates,</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9" w:name="page70"/>
    <w:bookmarkEnd w:id="69"/>
    <w:p>
      <w:pPr>
        <w:ind w:left="9560"/>
        <w:spacing w:after="0"/>
        <w:rPr>
          <w:sz w:val="20"/>
          <w:szCs w:val="20"/>
          <w:color w:val="auto"/>
        </w:rPr>
      </w:pPr>
      <w:r>
        <w:rPr>
          <w:rFonts w:ascii="Arial" w:cs="Arial" w:eastAsia="Arial" w:hAnsi="Arial"/>
          <w:sz w:val="19"/>
          <w:szCs w:val="19"/>
          <w:color w:val="auto"/>
        </w:rPr>
        <w:t>EXECUTION COPY</w:t>
      </w:r>
    </w:p>
    <w:p>
      <w:pPr>
        <w:spacing w:after="0" w:line="268" w:lineRule="exact"/>
        <w:rPr>
          <w:sz w:val="20"/>
          <w:szCs w:val="20"/>
          <w:color w:val="auto"/>
        </w:rPr>
      </w:pPr>
    </w:p>
    <w:p>
      <w:pPr>
        <w:ind w:left="880" w:right="420" w:firstLine="816"/>
        <w:spacing w:after="0" w:line="328" w:lineRule="auto"/>
        <w:tabs>
          <w:tab w:leader="none" w:pos="2590" w:val="left"/>
        </w:tabs>
        <w:numPr>
          <w:ilvl w:val="0"/>
          <w:numId w:val="49"/>
        </w:numPr>
        <w:rPr>
          <w:rFonts w:ascii="Arial" w:cs="Arial" w:eastAsia="Arial" w:hAnsi="Arial"/>
          <w:sz w:val="19"/>
          <w:szCs w:val="19"/>
          <w:b w:val="1"/>
          <w:bCs w:val="1"/>
          <w:color w:val="auto"/>
        </w:rPr>
      </w:pPr>
      <w:r>
        <w:rPr>
          <w:rFonts w:ascii="Arial" w:cs="Arial" w:eastAsia="Arial" w:hAnsi="Arial"/>
          <w:sz w:val="19"/>
          <w:szCs w:val="19"/>
          <w:color w:val="auto"/>
        </w:rPr>
        <w:t>under a Regulatory Approval granted by a Regulatory Authority to such Third Party that is based upon or relies upon the Regulatory Approval granted by such Regulatory Authority for such Licensed Product; or</w:t>
      </w:r>
    </w:p>
    <w:p>
      <w:pPr>
        <w:spacing w:after="0" w:line="45" w:lineRule="exact"/>
        <w:rPr>
          <w:sz w:val="20"/>
          <w:szCs w:val="20"/>
          <w:color w:val="auto"/>
        </w:rPr>
      </w:pPr>
    </w:p>
    <w:p>
      <w:pPr>
        <w:ind w:left="1700"/>
        <w:spacing w:after="0"/>
        <w:rPr>
          <w:sz w:val="20"/>
          <w:szCs w:val="20"/>
          <w:color w:val="auto"/>
        </w:rPr>
      </w:pPr>
      <w:r>
        <w:rPr>
          <w:rFonts w:ascii="Arial" w:cs="Arial" w:eastAsia="Arial" w:hAnsi="Arial"/>
          <w:sz w:val="22"/>
          <w:szCs w:val="22"/>
          <w:b w:val="1"/>
          <w:bCs w:val="1"/>
          <w:color w:val="auto"/>
        </w:rPr>
        <w:t>(b)</w:t>
      </w:r>
    </w:p>
    <w:p>
      <w:pPr>
        <w:spacing w:after="0" w:line="158" w:lineRule="exact"/>
        <w:rPr>
          <w:sz w:val="20"/>
          <w:szCs w:val="20"/>
          <w:color w:val="auto"/>
        </w:rPr>
      </w:pPr>
    </w:p>
    <w:p>
      <w:pPr>
        <w:ind w:left="1760" w:right="240" w:firstLine="746"/>
        <w:spacing w:after="0" w:line="287" w:lineRule="auto"/>
        <w:tabs>
          <w:tab w:leader="none" w:pos="3409" w:val="left"/>
        </w:tabs>
        <w:numPr>
          <w:ilvl w:val="0"/>
          <w:numId w:val="50"/>
        </w:numPr>
        <w:rPr>
          <w:rFonts w:ascii="Arial" w:cs="Arial" w:eastAsia="Arial" w:hAnsi="Arial"/>
          <w:sz w:val="19"/>
          <w:szCs w:val="19"/>
          <w:b w:val="1"/>
          <w:bCs w:val="1"/>
          <w:color w:val="auto"/>
        </w:rPr>
      </w:pPr>
      <w:r>
        <w:rPr>
          <w:rFonts w:ascii="Arial" w:cs="Arial" w:eastAsia="Arial" w:hAnsi="Arial"/>
          <w:sz w:val="19"/>
          <w:szCs w:val="19"/>
          <w:color w:val="auto"/>
        </w:rPr>
        <w:t>in the United States, as a “therapeutically equivalent,” “comparable” or “interchangeable” product, as evaluated by the FDA, applying the definition of “therapeutically equivalent” set forth in the preface to the then-current edition of the FDA publication “Approved Drug Products With Therapeutic Equivalence Evaluations” or any other definitions set forth in the Applicable Law or FDA regulations; or</w:t>
      </w:r>
    </w:p>
    <w:p>
      <w:pPr>
        <w:spacing w:after="0" w:line="89" w:lineRule="exact"/>
        <w:rPr>
          <w:rFonts w:ascii="Arial" w:cs="Arial" w:eastAsia="Arial" w:hAnsi="Arial"/>
          <w:sz w:val="19"/>
          <w:szCs w:val="19"/>
          <w:b w:val="1"/>
          <w:bCs w:val="1"/>
          <w:color w:val="auto"/>
        </w:rPr>
      </w:pPr>
    </w:p>
    <w:p>
      <w:pPr>
        <w:ind w:left="1760" w:right="40" w:firstLine="746"/>
        <w:spacing w:after="0" w:line="287" w:lineRule="auto"/>
        <w:tabs>
          <w:tab w:leader="none" w:pos="3415" w:val="left"/>
        </w:tabs>
        <w:numPr>
          <w:ilvl w:val="0"/>
          <w:numId w:val="50"/>
        </w:numPr>
        <w:rPr>
          <w:rFonts w:ascii="Arial" w:cs="Arial" w:eastAsia="Arial" w:hAnsi="Arial"/>
          <w:sz w:val="19"/>
          <w:szCs w:val="19"/>
          <w:b w:val="1"/>
          <w:bCs w:val="1"/>
          <w:color w:val="auto"/>
        </w:rPr>
      </w:pPr>
      <w:r>
        <w:rPr>
          <w:rFonts w:ascii="Arial" w:cs="Arial" w:eastAsia="Arial" w:hAnsi="Arial"/>
          <w:sz w:val="19"/>
          <w:szCs w:val="19"/>
          <w:color w:val="auto"/>
        </w:rPr>
        <w:t>outside the United States, meeting such equivalent determination by the applicable Regulatory Authorities, in each case, as is necessary to permit a pharmacist or other individual authorized to dispense pharmaceuticals under Applicable Law to substitute one product for another product in the absence of specific instruction from a physician or other authorized prescriber under Applicable Law.</w:t>
      </w:r>
    </w:p>
    <w:p>
      <w:pPr>
        <w:spacing w:after="0" w:line="89"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GLP Toxicology Study</w:t>
      </w:r>
      <w:r>
        <w:rPr>
          <w:rFonts w:ascii="Arial" w:cs="Arial" w:eastAsia="Arial" w:hAnsi="Arial"/>
          <w:sz w:val="22"/>
          <w:szCs w:val="22"/>
          <w:color w:val="auto"/>
        </w:rPr>
        <w:t>” means a toxicology study conducted in animals in accordance with cGLP.</w:t>
      </w:r>
    </w:p>
    <w:p>
      <w:pPr>
        <w:spacing w:after="0" w:line="152" w:lineRule="exact"/>
        <w:rPr>
          <w:sz w:val="20"/>
          <w:szCs w:val="20"/>
          <w:color w:val="auto"/>
        </w:rPr>
      </w:pPr>
    </w:p>
    <w:p>
      <w:pPr>
        <w:ind w:right="80" w:firstLine="87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 Authority</w:t>
      </w:r>
      <w:r>
        <w:rPr>
          <w:rFonts w:ascii="Arial" w:cs="Arial" w:eastAsia="Arial" w:hAnsi="Arial"/>
          <w:sz w:val="22"/>
          <w:szCs w:val="22"/>
          <w:color w:val="auto"/>
        </w:rPr>
        <w:t>” means any domestic or foreign entity exercising executive, legislative, judicial, regulatory, or administrative functions of or pertaining to government, including any governmental authority, agency, department, board, commission, court, tribunal, judicial body or instrumentality of any union of nations, federation, nation, state, municipality, county, locality, or other political subdivision thereof.</w:t>
      </w:r>
    </w:p>
    <w:p>
      <w:pPr>
        <w:spacing w:after="0" w:line="13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ICC</w:t>
      </w:r>
      <w:r>
        <w:rPr>
          <w:rFonts w:ascii="Arial" w:cs="Arial" w:eastAsia="Arial" w:hAnsi="Arial"/>
          <w:sz w:val="22"/>
          <w:szCs w:val="22"/>
          <w:color w:val="auto"/>
        </w:rPr>
        <w:t>” has the meaning set forth in Section 9.2.2.</w:t>
      </w:r>
    </w:p>
    <w:p>
      <w:pPr>
        <w:spacing w:after="0" w:line="152" w:lineRule="exact"/>
        <w:rPr>
          <w:sz w:val="20"/>
          <w:szCs w:val="20"/>
          <w:color w:val="auto"/>
        </w:rPr>
      </w:pPr>
    </w:p>
    <w:p>
      <w:pPr>
        <w:ind w:right="260" w:firstLine="87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w:t>
      </w:r>
      <w:r>
        <w:rPr>
          <w:rFonts w:ascii="Arial" w:cs="Arial" w:eastAsia="Arial" w:hAnsi="Arial"/>
          <w:sz w:val="22"/>
          <w:szCs w:val="22"/>
          <w:color w:val="auto"/>
        </w:rPr>
        <w:t>” means an Investigational New Drug application in the U.S. filed with the FDA or the corresponding application for the investigation of a Licensed Product in any other country or group of countries, as defined in the Applicable Laws and regulations and filed with the Regulatory Authority of a given country or group of countries.</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Indemnification Claim Notice</w:t>
      </w:r>
      <w:r>
        <w:rPr>
          <w:rFonts w:ascii="Arial" w:cs="Arial" w:eastAsia="Arial" w:hAnsi="Arial"/>
          <w:sz w:val="22"/>
          <w:szCs w:val="22"/>
          <w:color w:val="auto"/>
        </w:rPr>
        <w:t>” has the meaning set forth in Section 8.3.2.</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Party</w:t>
      </w:r>
      <w:r>
        <w:rPr>
          <w:rFonts w:ascii="Arial" w:cs="Arial" w:eastAsia="Arial" w:hAnsi="Arial"/>
          <w:sz w:val="22"/>
          <w:szCs w:val="22"/>
          <w:color w:val="auto"/>
        </w:rPr>
        <w:t>” has the meaning set forth in Section 8.3.2.</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Indemnifying Party</w:t>
      </w:r>
      <w:r>
        <w:rPr>
          <w:rFonts w:ascii="Arial" w:cs="Arial" w:eastAsia="Arial" w:hAnsi="Arial"/>
          <w:sz w:val="22"/>
          <w:szCs w:val="22"/>
          <w:color w:val="auto"/>
        </w:rPr>
        <w:t>” has the meaning set forth in Section 8.3.2.</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Designated Target</w:t>
      </w:r>
      <w:r>
        <w:rPr>
          <w:rFonts w:ascii="Arial" w:cs="Arial" w:eastAsia="Arial" w:hAnsi="Arial"/>
          <w:sz w:val="22"/>
          <w:szCs w:val="22"/>
          <w:color w:val="auto"/>
        </w:rPr>
        <w:t>” has the meaning set forth in Section 2.3.1.</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Insolvency Event</w:t>
      </w:r>
      <w:r>
        <w:rPr>
          <w:rFonts w:ascii="Arial" w:cs="Arial" w:eastAsia="Arial" w:hAnsi="Arial"/>
          <w:sz w:val="22"/>
          <w:szCs w:val="22"/>
          <w:color w:val="auto"/>
        </w:rPr>
        <w:t>” means:</w:t>
      </w:r>
    </w:p>
    <w:p>
      <w:pPr>
        <w:spacing w:after="0" w:line="152" w:lineRule="exact"/>
        <w:rPr>
          <w:sz w:val="20"/>
          <w:szCs w:val="20"/>
          <w:color w:val="auto"/>
        </w:rPr>
      </w:pPr>
    </w:p>
    <w:p>
      <w:pPr>
        <w:ind w:left="880" w:right="220" w:firstLine="816"/>
        <w:spacing w:after="0" w:line="274" w:lineRule="auto"/>
        <w:tabs>
          <w:tab w:leader="none" w:pos="2590" w:val="left"/>
        </w:tabs>
        <w:numPr>
          <w:ilvl w:val="0"/>
          <w:numId w:val="51"/>
        </w:numPr>
        <w:rPr>
          <w:rFonts w:ascii="Arial" w:cs="Arial" w:eastAsia="Arial" w:hAnsi="Arial"/>
          <w:sz w:val="21"/>
          <w:szCs w:val="21"/>
          <w:b w:val="1"/>
          <w:bCs w:val="1"/>
          <w:color w:val="auto"/>
        </w:rPr>
      </w:pPr>
      <w:r>
        <w:rPr>
          <w:rFonts w:ascii="Arial" w:cs="Arial" w:eastAsia="Arial" w:hAnsi="Arial"/>
          <w:sz w:val="21"/>
          <w:szCs w:val="21"/>
          <w:color w:val="auto"/>
        </w:rPr>
        <w:t>a Party ceases to function as a going concern by suspending or discontinuing its business either as a whole or with respect to the portion of Cerulean’s business to which this Agreement relates;</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0" w:name="page71"/>
    <w:bookmarkEnd w:id="70"/>
    <w:p>
      <w:pPr>
        <w:ind w:left="9560"/>
        <w:spacing w:after="0"/>
        <w:rPr>
          <w:sz w:val="20"/>
          <w:szCs w:val="20"/>
          <w:color w:val="auto"/>
        </w:rPr>
      </w:pPr>
      <w:r>
        <w:rPr>
          <w:rFonts w:ascii="Arial" w:cs="Arial" w:eastAsia="Arial" w:hAnsi="Arial"/>
          <w:sz w:val="19"/>
          <w:szCs w:val="19"/>
          <w:color w:val="auto"/>
        </w:rPr>
        <w:t>EXECUTION COPY</w:t>
      </w:r>
    </w:p>
    <w:p>
      <w:pPr>
        <w:spacing w:after="0" w:line="268" w:lineRule="exact"/>
        <w:rPr>
          <w:sz w:val="20"/>
          <w:szCs w:val="20"/>
          <w:color w:val="auto"/>
        </w:rPr>
      </w:pPr>
    </w:p>
    <w:p>
      <w:pPr>
        <w:ind w:left="2660" w:hanging="964"/>
        <w:spacing w:after="0"/>
        <w:tabs>
          <w:tab w:leader="none" w:pos="2660" w:val="left"/>
        </w:tabs>
        <w:numPr>
          <w:ilvl w:val="0"/>
          <w:numId w:val="52"/>
        </w:numPr>
        <w:rPr>
          <w:rFonts w:ascii="Arial" w:cs="Arial" w:eastAsia="Arial" w:hAnsi="Arial"/>
          <w:sz w:val="22"/>
          <w:szCs w:val="22"/>
          <w:b w:val="1"/>
          <w:bCs w:val="1"/>
          <w:color w:val="auto"/>
        </w:rPr>
      </w:pPr>
      <w:r>
        <w:rPr>
          <w:rFonts w:ascii="Arial" w:cs="Arial" w:eastAsia="Arial" w:hAnsi="Arial"/>
          <w:sz w:val="22"/>
          <w:szCs w:val="22"/>
          <w:color w:val="auto"/>
        </w:rPr>
        <w:t>a Party becomes insolvent (</w:t>
      </w:r>
      <w:r>
        <w:rPr>
          <w:rFonts w:ascii="Arial" w:cs="Arial" w:eastAsia="Arial" w:hAnsi="Arial"/>
          <w:sz w:val="22"/>
          <w:szCs w:val="22"/>
          <w:i w:val="1"/>
          <w:iCs w:val="1"/>
          <w:color w:val="auto"/>
        </w:rPr>
        <w:t>i.e.</w:t>
      </w:r>
      <w:r>
        <w:rPr>
          <w:rFonts w:ascii="Arial" w:cs="Arial" w:eastAsia="Arial" w:hAnsi="Arial"/>
          <w:sz w:val="22"/>
          <w:szCs w:val="22"/>
          <w:color w:val="auto"/>
        </w:rPr>
        <w:t>, is generally unable to pay its debts as they become due);</w:t>
      </w:r>
    </w:p>
    <w:p>
      <w:pPr>
        <w:spacing w:after="0" w:line="152" w:lineRule="exact"/>
        <w:rPr>
          <w:rFonts w:ascii="Arial" w:cs="Arial" w:eastAsia="Arial" w:hAnsi="Arial"/>
          <w:sz w:val="22"/>
          <w:szCs w:val="22"/>
          <w:b w:val="1"/>
          <w:bCs w:val="1"/>
          <w:color w:val="auto"/>
        </w:rPr>
      </w:pPr>
    </w:p>
    <w:p>
      <w:pPr>
        <w:ind w:left="880" w:right="280" w:firstLine="816"/>
        <w:spacing w:after="0" w:line="328" w:lineRule="auto"/>
        <w:tabs>
          <w:tab w:leader="none" w:pos="2632" w:val="left"/>
        </w:tabs>
        <w:numPr>
          <w:ilvl w:val="0"/>
          <w:numId w:val="52"/>
        </w:numPr>
        <w:rPr>
          <w:rFonts w:ascii="Arial" w:cs="Arial" w:eastAsia="Arial" w:hAnsi="Arial"/>
          <w:sz w:val="19"/>
          <w:szCs w:val="19"/>
          <w:b w:val="1"/>
          <w:bCs w:val="1"/>
          <w:color w:val="auto"/>
        </w:rPr>
      </w:pPr>
      <w:r>
        <w:rPr>
          <w:rFonts w:ascii="Arial" w:cs="Arial" w:eastAsia="Arial" w:hAnsi="Arial"/>
          <w:sz w:val="19"/>
          <w:szCs w:val="19"/>
          <w:color w:val="auto"/>
        </w:rPr>
        <w:t>a Party is the subject of voluntary or involuntary bankruptcy proceedings instituted on behalf of or against that Party (except for involuntary bankruptcy proceedings that are dismissed within 90 days);</w:t>
      </w:r>
    </w:p>
    <w:p>
      <w:pPr>
        <w:spacing w:after="0" w:line="51" w:lineRule="exact"/>
        <w:rPr>
          <w:rFonts w:ascii="Arial" w:cs="Arial" w:eastAsia="Arial" w:hAnsi="Arial"/>
          <w:sz w:val="19"/>
          <w:szCs w:val="19"/>
          <w:b w:val="1"/>
          <w:bCs w:val="1"/>
          <w:color w:val="auto"/>
        </w:rPr>
      </w:pPr>
    </w:p>
    <w:p>
      <w:pPr>
        <w:ind w:left="880" w:right="60" w:firstLine="816"/>
        <w:spacing w:after="0" w:line="251" w:lineRule="auto"/>
        <w:tabs>
          <w:tab w:leader="none" w:pos="2656" w:val="left"/>
        </w:tabs>
        <w:numPr>
          <w:ilvl w:val="0"/>
          <w:numId w:val="52"/>
        </w:numPr>
        <w:rPr>
          <w:rFonts w:ascii="Arial" w:cs="Arial" w:eastAsia="Arial" w:hAnsi="Arial"/>
          <w:sz w:val="22"/>
          <w:szCs w:val="22"/>
          <w:b w:val="1"/>
          <w:bCs w:val="1"/>
          <w:color w:val="auto"/>
        </w:rPr>
      </w:pPr>
      <w:r>
        <w:rPr>
          <w:rFonts w:ascii="Arial" w:cs="Arial" w:eastAsia="Arial" w:hAnsi="Arial"/>
          <w:sz w:val="22"/>
          <w:szCs w:val="22"/>
          <w:color w:val="auto"/>
        </w:rPr>
        <w:t>an administrative receiver, receiver and manager, interim receiver, custodian, sequestrator, or similar officer is appointed for a Party;</w:t>
      </w:r>
    </w:p>
    <w:p>
      <w:pPr>
        <w:spacing w:after="0" w:line="119" w:lineRule="exact"/>
        <w:rPr>
          <w:rFonts w:ascii="Arial" w:cs="Arial" w:eastAsia="Arial" w:hAnsi="Arial"/>
          <w:sz w:val="22"/>
          <w:szCs w:val="22"/>
          <w:b w:val="1"/>
          <w:bCs w:val="1"/>
          <w:color w:val="auto"/>
        </w:rPr>
      </w:pPr>
    </w:p>
    <w:p>
      <w:pPr>
        <w:ind w:left="880" w:right="540" w:firstLine="816"/>
        <w:spacing w:after="0" w:line="251" w:lineRule="auto"/>
        <w:tabs>
          <w:tab w:leader="none" w:pos="2632" w:val="left"/>
        </w:tabs>
        <w:numPr>
          <w:ilvl w:val="0"/>
          <w:numId w:val="52"/>
        </w:numPr>
        <w:rPr>
          <w:rFonts w:ascii="Arial" w:cs="Arial" w:eastAsia="Arial" w:hAnsi="Arial"/>
          <w:sz w:val="22"/>
          <w:szCs w:val="22"/>
          <w:b w:val="1"/>
          <w:bCs w:val="1"/>
          <w:color w:val="auto"/>
        </w:rPr>
      </w:pPr>
      <w:r>
        <w:rPr>
          <w:rFonts w:ascii="Arial" w:cs="Arial" w:eastAsia="Arial" w:hAnsi="Arial"/>
          <w:sz w:val="22"/>
          <w:szCs w:val="22"/>
          <w:color w:val="auto"/>
        </w:rPr>
        <w:t>a Party proposes or makes any general assignment, composition, or arrangement with or for the benefit of all or the substantial majority of its creditors; or</w:t>
      </w:r>
    </w:p>
    <w:p>
      <w:pPr>
        <w:spacing w:after="0" w:line="119" w:lineRule="exact"/>
        <w:rPr>
          <w:rFonts w:ascii="Arial" w:cs="Arial" w:eastAsia="Arial" w:hAnsi="Arial"/>
          <w:sz w:val="22"/>
          <w:szCs w:val="22"/>
          <w:b w:val="1"/>
          <w:bCs w:val="1"/>
          <w:color w:val="auto"/>
        </w:rPr>
      </w:pPr>
    </w:p>
    <w:p>
      <w:pPr>
        <w:ind w:left="2560" w:hanging="864"/>
        <w:spacing w:after="0"/>
        <w:tabs>
          <w:tab w:leader="none" w:pos="2560" w:val="left"/>
        </w:tabs>
        <w:numPr>
          <w:ilvl w:val="0"/>
          <w:numId w:val="52"/>
        </w:numPr>
        <w:rPr>
          <w:rFonts w:ascii="Arial" w:cs="Arial" w:eastAsia="Arial" w:hAnsi="Arial"/>
          <w:sz w:val="19"/>
          <w:szCs w:val="19"/>
          <w:b w:val="1"/>
          <w:bCs w:val="1"/>
          <w:color w:val="auto"/>
        </w:rPr>
      </w:pPr>
      <w:r>
        <w:rPr>
          <w:rFonts w:ascii="Arial" w:cs="Arial" w:eastAsia="Arial" w:hAnsi="Arial"/>
          <w:sz w:val="19"/>
          <w:szCs w:val="19"/>
          <w:color w:val="auto"/>
        </w:rPr>
        <w:t>a Party makes or suspends or threatens to suspend making payments to all or the substantial majority</w:t>
      </w:r>
    </w:p>
    <w:p>
      <w:pPr>
        <w:spacing w:after="0" w:line="42" w:lineRule="exact"/>
        <w:rPr>
          <w:rFonts w:ascii="Arial" w:cs="Arial" w:eastAsia="Arial" w:hAnsi="Arial"/>
          <w:sz w:val="19"/>
          <w:szCs w:val="19"/>
          <w:b w:val="1"/>
          <w:bCs w:val="1"/>
          <w:color w:val="auto"/>
        </w:rPr>
      </w:pPr>
    </w:p>
    <w:p>
      <w:pPr>
        <w:ind w:left="880"/>
        <w:spacing w:after="0"/>
        <w:rPr>
          <w:rFonts w:ascii="Arial" w:cs="Arial" w:eastAsia="Arial" w:hAnsi="Arial"/>
          <w:sz w:val="19"/>
          <w:szCs w:val="19"/>
          <w:b w:val="1"/>
          <w:bCs w:val="1"/>
          <w:color w:val="auto"/>
        </w:rPr>
      </w:pPr>
      <w:r>
        <w:rPr>
          <w:rFonts w:ascii="Arial" w:cs="Arial" w:eastAsia="Arial" w:hAnsi="Arial"/>
          <w:sz w:val="22"/>
          <w:szCs w:val="22"/>
          <w:color w:val="auto"/>
        </w:rPr>
        <w:t>of its creditors.</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Intellectual Property Rights</w:t>
      </w:r>
      <w:r>
        <w:rPr>
          <w:rFonts w:ascii="Arial" w:cs="Arial" w:eastAsia="Arial" w:hAnsi="Arial"/>
          <w:sz w:val="22"/>
          <w:szCs w:val="22"/>
          <w:color w:val="auto"/>
        </w:rPr>
        <w:t>” means Patent Rights and Know How.</w:t>
      </w:r>
    </w:p>
    <w:p>
      <w:pPr>
        <w:spacing w:after="0" w:line="152" w:lineRule="exact"/>
        <w:rPr>
          <w:sz w:val="20"/>
          <w:szCs w:val="20"/>
          <w:color w:val="auto"/>
        </w:rPr>
      </w:pPr>
    </w:p>
    <w:p>
      <w:pPr>
        <w:ind w:right="660" w:firstLine="87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Invoice</w:t>
      </w:r>
      <w:r>
        <w:rPr>
          <w:rFonts w:ascii="Arial" w:cs="Arial" w:eastAsia="Arial" w:hAnsi="Arial"/>
          <w:sz w:val="22"/>
          <w:szCs w:val="22"/>
          <w:color w:val="auto"/>
        </w:rPr>
        <w:t xml:space="preserve">” means an invoice containing the same information as the sample invoice included as </w:t>
      </w:r>
      <w:r>
        <w:rPr>
          <w:rFonts w:ascii="Arial" w:cs="Arial" w:eastAsia="Arial" w:hAnsi="Arial"/>
          <w:sz w:val="22"/>
          <w:szCs w:val="22"/>
          <w:i w:val="1"/>
          <w:iCs w:val="1"/>
          <w:color w:val="auto"/>
        </w:rPr>
        <w:t>Exhibit A-</w:t>
      </w:r>
      <w:r>
        <w:rPr>
          <w:rFonts w:ascii="Arial" w:cs="Arial" w:eastAsia="Arial" w:hAnsi="Arial"/>
          <w:sz w:val="22"/>
          <w:szCs w:val="22"/>
          <w:color w:val="auto"/>
        </w:rPr>
        <w:t xml:space="preserve">1 for Milestones #1, and 2, FTE Payments, and Technology Transfer payments and </w:t>
      </w:r>
      <w:r>
        <w:rPr>
          <w:rFonts w:ascii="Arial" w:cs="Arial" w:eastAsia="Arial" w:hAnsi="Arial"/>
          <w:sz w:val="22"/>
          <w:szCs w:val="22"/>
          <w:i w:val="1"/>
          <w:iCs w:val="1"/>
          <w:color w:val="auto"/>
        </w:rPr>
        <w:t>Exhibit A-2</w:t>
      </w:r>
      <w:r>
        <w:rPr>
          <w:rFonts w:ascii="Arial" w:cs="Arial" w:eastAsia="Arial" w:hAnsi="Arial"/>
          <w:sz w:val="22"/>
          <w:szCs w:val="22"/>
          <w:color w:val="auto"/>
        </w:rPr>
        <w:t xml:space="preserve"> for Milestones #3, #4, and #5, any royalties, and any Sales Milestones.</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Joint Collaboration Intellectual Property</w:t>
      </w:r>
      <w:r>
        <w:rPr>
          <w:rFonts w:ascii="Arial" w:cs="Arial" w:eastAsia="Arial" w:hAnsi="Arial"/>
          <w:sz w:val="22"/>
          <w:szCs w:val="22"/>
          <w:color w:val="auto"/>
        </w:rPr>
        <w:t>” has the meaning set forth in Section 3.1.1.</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Joint Patent</w:t>
      </w:r>
      <w:r>
        <w:rPr>
          <w:rFonts w:ascii="Arial" w:cs="Arial" w:eastAsia="Arial" w:hAnsi="Arial"/>
          <w:sz w:val="22"/>
          <w:szCs w:val="22"/>
          <w:color w:val="auto"/>
        </w:rPr>
        <w:t>” has the meaning set forth in Section 3.3.1(c).</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Joint Patent Lead</w:t>
      </w:r>
      <w:r>
        <w:rPr>
          <w:rFonts w:ascii="Arial" w:cs="Arial" w:eastAsia="Arial" w:hAnsi="Arial"/>
          <w:sz w:val="22"/>
          <w:szCs w:val="22"/>
          <w:color w:val="auto"/>
        </w:rPr>
        <w:t>” has the meaning set forth in Section 3.3.1(c).</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Joint Steering Committee</w:t>
      </w:r>
      <w:r>
        <w:rPr>
          <w:rFonts w:ascii="Arial" w:cs="Arial" w:eastAsia="Arial" w:hAnsi="Arial"/>
          <w:sz w:val="22"/>
          <w:szCs w:val="22"/>
          <w:color w:val="auto"/>
        </w:rPr>
        <w:t>” or “</w:t>
      </w:r>
      <w:r>
        <w:rPr>
          <w:rFonts w:ascii="Arial" w:cs="Arial" w:eastAsia="Arial" w:hAnsi="Arial"/>
          <w:sz w:val="22"/>
          <w:szCs w:val="22"/>
          <w:u w:val="single" w:color="auto"/>
          <w:color w:val="auto"/>
        </w:rPr>
        <w:t>JSC</w:t>
      </w:r>
      <w:r>
        <w:rPr>
          <w:rFonts w:ascii="Arial" w:cs="Arial" w:eastAsia="Arial" w:hAnsi="Arial"/>
          <w:sz w:val="22"/>
          <w:szCs w:val="22"/>
          <w:color w:val="auto"/>
        </w:rPr>
        <w:t>” has the meaning set forth in Section 2.2.1.</w:t>
      </w:r>
    </w:p>
    <w:p>
      <w:pPr>
        <w:spacing w:after="0" w:line="152" w:lineRule="exact"/>
        <w:rPr>
          <w:sz w:val="20"/>
          <w:szCs w:val="20"/>
          <w:color w:val="auto"/>
        </w:rPr>
      </w:pPr>
    </w:p>
    <w:p>
      <w:pPr>
        <w:ind w:right="20" w:firstLine="877"/>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Know How</w:t>
      </w:r>
      <w:r>
        <w:rPr>
          <w:rFonts w:ascii="Arial" w:cs="Arial" w:eastAsia="Arial" w:hAnsi="Arial"/>
          <w:sz w:val="19"/>
          <w:szCs w:val="19"/>
          <w:color w:val="auto"/>
        </w:rPr>
        <w:t>” means any information, inventions, trade secrets or technology, whether or not proprietary or patentable and whether stored or transmitted in oral, documentary, electronic, or other form. Know How will include non-patented inventions, ideas, concepts, formulas, methods, procedures, designs, compositions, plans, documents, data, discoveries, developments, techniques, protocols, specifications, works of authorship, biological materials, and any information relating to research and development plans, experiments, results, compounds, therapeutic leads, candidates, and products, services and service protocols, clinical and preclinical data, clinical trial results, and manufacturing information and plans.</w:t>
      </w:r>
    </w:p>
    <w:p>
      <w:pPr>
        <w:spacing w:after="0" w:line="9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Licensed Product</w:t>
      </w:r>
      <w:r>
        <w:rPr>
          <w:rFonts w:ascii="Arial" w:cs="Arial" w:eastAsia="Arial" w:hAnsi="Arial"/>
          <w:sz w:val="22"/>
          <w:szCs w:val="22"/>
          <w:color w:val="auto"/>
        </w:rPr>
        <w:t>” means an NDC Product that</w:t>
      </w:r>
    </w:p>
    <w:p>
      <w:pPr>
        <w:spacing w:after="0" w:line="152" w:lineRule="exact"/>
        <w:rPr>
          <w:sz w:val="20"/>
          <w:szCs w:val="20"/>
          <w:color w:val="auto"/>
        </w:rPr>
      </w:pPr>
    </w:p>
    <w:p>
      <w:pPr>
        <w:ind w:left="880" w:right="600" w:firstLine="816"/>
        <w:spacing w:after="0" w:line="251" w:lineRule="auto"/>
        <w:tabs>
          <w:tab w:leader="none" w:pos="2590" w:val="left"/>
        </w:tabs>
        <w:numPr>
          <w:ilvl w:val="0"/>
          <w:numId w:val="53"/>
        </w:numPr>
        <w:rPr>
          <w:rFonts w:ascii="Arial" w:cs="Arial" w:eastAsia="Arial" w:hAnsi="Arial"/>
          <w:sz w:val="22"/>
          <w:szCs w:val="22"/>
          <w:b w:val="1"/>
          <w:bCs w:val="1"/>
          <w:color w:val="auto"/>
        </w:rPr>
      </w:pPr>
      <w:r>
        <w:rPr>
          <w:rFonts w:ascii="Arial" w:cs="Arial" w:eastAsia="Arial" w:hAnsi="Arial"/>
          <w:sz w:val="22"/>
          <w:szCs w:val="22"/>
          <w:color w:val="auto"/>
        </w:rPr>
        <w:t>is generated or discovered in the Collaboration or from subsequent research, Development, and Commercialization activities conducted by Novartis or its Affiliates; and</w:t>
      </w:r>
    </w:p>
    <w:p>
      <w:pPr>
        <w:spacing w:after="0" w:line="119" w:lineRule="exact"/>
        <w:rPr>
          <w:rFonts w:ascii="Arial" w:cs="Arial" w:eastAsia="Arial" w:hAnsi="Arial"/>
          <w:sz w:val="22"/>
          <w:szCs w:val="22"/>
          <w:b w:val="1"/>
          <w:bCs w:val="1"/>
          <w:color w:val="auto"/>
        </w:rPr>
      </w:pPr>
    </w:p>
    <w:p>
      <w:pPr>
        <w:ind w:left="2600" w:hanging="904"/>
        <w:spacing w:after="0"/>
        <w:tabs>
          <w:tab w:leader="none" w:pos="2600" w:val="left"/>
        </w:tabs>
        <w:numPr>
          <w:ilvl w:val="0"/>
          <w:numId w:val="53"/>
        </w:numPr>
        <w:rPr>
          <w:rFonts w:ascii="Arial" w:cs="Arial" w:eastAsia="Arial" w:hAnsi="Arial"/>
          <w:sz w:val="22"/>
          <w:szCs w:val="22"/>
          <w:b w:val="1"/>
          <w:bCs w:val="1"/>
          <w:color w:val="auto"/>
        </w:rPr>
      </w:pPr>
      <w:r>
        <w:rPr>
          <w:rFonts w:ascii="Arial" w:cs="Arial" w:eastAsia="Arial" w:hAnsi="Arial"/>
          <w:sz w:val="22"/>
          <w:szCs w:val="22"/>
          <w:color w:val="auto"/>
        </w:rPr>
        <w:t>either or both</w:t>
      </w:r>
    </w:p>
    <w:p>
      <w:pPr>
        <w:spacing w:after="0" w:line="152" w:lineRule="exact"/>
        <w:rPr>
          <w:rFonts w:ascii="Arial" w:cs="Arial" w:eastAsia="Arial" w:hAnsi="Arial"/>
          <w:sz w:val="22"/>
          <w:szCs w:val="22"/>
          <w:b w:val="1"/>
          <w:bCs w:val="1"/>
          <w:color w:val="auto"/>
        </w:rPr>
      </w:pPr>
    </w:p>
    <w:p>
      <w:pPr>
        <w:ind w:left="3420" w:hanging="914"/>
        <w:spacing w:after="0"/>
        <w:tabs>
          <w:tab w:leader="none" w:pos="3420" w:val="left"/>
        </w:tabs>
        <w:numPr>
          <w:ilvl w:val="1"/>
          <w:numId w:val="53"/>
        </w:numPr>
        <w:rPr>
          <w:rFonts w:ascii="Arial" w:cs="Arial" w:eastAsia="Arial" w:hAnsi="Arial"/>
          <w:sz w:val="19"/>
          <w:szCs w:val="19"/>
          <w:b w:val="1"/>
          <w:bCs w:val="1"/>
          <w:color w:val="auto"/>
        </w:rPr>
      </w:pPr>
      <w:r>
        <w:rPr>
          <w:rFonts w:ascii="Arial" w:cs="Arial" w:eastAsia="Arial" w:hAnsi="Arial"/>
          <w:sz w:val="19"/>
          <w:szCs w:val="19"/>
          <w:color w:val="auto"/>
        </w:rPr>
        <w:t>is claimed by a Valid Claim of a Patent Right included in Exclusively Licensed Intellectual</w:t>
      </w:r>
    </w:p>
    <w:p>
      <w:pPr>
        <w:spacing w:after="0" w:line="42" w:lineRule="exact"/>
        <w:rPr>
          <w:rFonts w:ascii="Arial" w:cs="Arial" w:eastAsia="Arial" w:hAnsi="Arial"/>
          <w:sz w:val="19"/>
          <w:szCs w:val="19"/>
          <w:b w:val="1"/>
          <w:bCs w:val="1"/>
          <w:color w:val="auto"/>
        </w:rPr>
      </w:pPr>
    </w:p>
    <w:p>
      <w:pPr>
        <w:ind w:left="1760"/>
        <w:spacing w:after="0"/>
        <w:rPr>
          <w:rFonts w:ascii="Arial" w:cs="Arial" w:eastAsia="Arial" w:hAnsi="Arial"/>
          <w:sz w:val="19"/>
          <w:szCs w:val="19"/>
          <w:b w:val="1"/>
          <w:bCs w:val="1"/>
          <w:color w:val="auto"/>
        </w:rPr>
      </w:pPr>
      <w:r>
        <w:rPr>
          <w:rFonts w:ascii="Arial" w:cs="Arial" w:eastAsia="Arial" w:hAnsi="Arial"/>
          <w:sz w:val="22"/>
          <w:szCs w:val="22"/>
          <w:color w:val="auto"/>
        </w:rPr>
        <w:t>Property, and/or</w:t>
      </w:r>
    </w:p>
    <w:p>
      <w:pPr>
        <w:spacing w:after="0" w:line="134" w:lineRule="exact"/>
        <w:rPr>
          <w:rFonts w:ascii="Arial" w:cs="Arial" w:eastAsia="Arial" w:hAnsi="Arial"/>
          <w:sz w:val="19"/>
          <w:szCs w:val="19"/>
          <w:b w:val="1"/>
          <w:bCs w:val="1"/>
          <w:color w:val="auto"/>
        </w:rPr>
      </w:pPr>
    </w:p>
    <w:p>
      <w:pPr>
        <w:ind w:left="3480" w:hanging="974"/>
        <w:spacing w:after="0"/>
        <w:tabs>
          <w:tab w:leader="none" w:pos="3480" w:val="left"/>
        </w:tabs>
        <w:numPr>
          <w:ilvl w:val="1"/>
          <w:numId w:val="53"/>
        </w:numPr>
        <w:rPr>
          <w:rFonts w:ascii="Arial" w:cs="Arial" w:eastAsia="Arial" w:hAnsi="Arial"/>
          <w:sz w:val="22"/>
          <w:szCs w:val="22"/>
          <w:b w:val="1"/>
          <w:bCs w:val="1"/>
          <w:color w:val="auto"/>
        </w:rPr>
      </w:pPr>
      <w:r>
        <w:rPr>
          <w:rFonts w:ascii="Arial" w:cs="Arial" w:eastAsia="Arial" w:hAnsi="Arial"/>
          <w:sz w:val="22"/>
          <w:szCs w:val="22"/>
          <w:color w:val="auto"/>
        </w:rPr>
        <w:t>embodies Know How included in the Exclusively Licensed Intellectual Property.</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1" w:name="page72"/>
    <w:bookmarkEnd w:id="71"/>
    <w:p>
      <w:pPr>
        <w:ind w:left="9560"/>
        <w:spacing w:after="0"/>
        <w:rPr>
          <w:sz w:val="20"/>
          <w:szCs w:val="20"/>
          <w:color w:val="auto"/>
        </w:rPr>
      </w:pPr>
      <w:r>
        <w:rPr>
          <w:rFonts w:ascii="Arial" w:cs="Arial" w:eastAsia="Arial" w:hAnsi="Arial"/>
          <w:sz w:val="19"/>
          <w:szCs w:val="19"/>
          <w:color w:val="auto"/>
        </w:rPr>
        <w:t>EXECUTION COPY</w:t>
      </w:r>
    </w:p>
    <w:p>
      <w:pPr>
        <w:spacing w:after="0" w:line="26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Limited Research Purposes Licenses</w:t>
      </w:r>
      <w:r>
        <w:rPr>
          <w:rFonts w:ascii="Arial" w:cs="Arial" w:eastAsia="Arial" w:hAnsi="Arial"/>
          <w:sz w:val="22"/>
          <w:szCs w:val="22"/>
          <w:color w:val="auto"/>
        </w:rPr>
        <w:t>” means the licenses set forth in Section 3.1.2.</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Loss of Market Exclusivity</w:t>
      </w:r>
      <w:r>
        <w:rPr>
          <w:rFonts w:ascii="Arial" w:cs="Arial" w:eastAsia="Arial" w:hAnsi="Arial"/>
          <w:sz w:val="19"/>
          <w:szCs w:val="19"/>
          <w:color w:val="auto"/>
        </w:rPr>
        <w:t>” means, with respect to any Licensed Product in any country, the following has occurred:</w:t>
      </w:r>
    </w:p>
    <w:p>
      <w:pPr>
        <w:spacing w:after="0" w:line="187" w:lineRule="exact"/>
        <w:rPr>
          <w:sz w:val="20"/>
          <w:szCs w:val="20"/>
          <w:color w:val="auto"/>
        </w:rPr>
      </w:pPr>
    </w:p>
    <w:p>
      <w:pPr>
        <w:ind w:left="880" w:right="40" w:firstLine="816"/>
        <w:spacing w:after="0"/>
        <w:tabs>
          <w:tab w:leader="none" w:pos="2644" w:val="left"/>
        </w:tabs>
        <w:numPr>
          <w:ilvl w:val="0"/>
          <w:numId w:val="54"/>
        </w:numPr>
        <w:rPr>
          <w:rFonts w:ascii="Arial" w:cs="Arial" w:eastAsia="Arial" w:hAnsi="Arial"/>
          <w:sz w:val="22"/>
          <w:szCs w:val="22"/>
          <w:b w:val="1"/>
          <w:bCs w:val="1"/>
          <w:color w:val="auto"/>
        </w:rPr>
      </w:pPr>
      <w:r>
        <w:rPr>
          <w:rFonts w:ascii="Arial" w:cs="Arial" w:eastAsia="Arial" w:hAnsi="Arial"/>
          <w:sz w:val="22"/>
          <w:szCs w:val="22"/>
          <w:color w:val="auto"/>
        </w:rPr>
        <w:t>the Net Sales of such Licensed Product in that country in any Calendar Year are less than [**]% as compared with the Net Sales in that country in the Calendar Year immediately preceding the marketing or sale of the first Generic Equivalent; and</w:t>
      </w:r>
    </w:p>
    <w:p>
      <w:pPr>
        <w:spacing w:after="0" w:line="132" w:lineRule="exact"/>
        <w:rPr>
          <w:rFonts w:ascii="Arial" w:cs="Arial" w:eastAsia="Arial" w:hAnsi="Arial"/>
          <w:sz w:val="22"/>
          <w:szCs w:val="22"/>
          <w:b w:val="1"/>
          <w:bCs w:val="1"/>
          <w:color w:val="auto"/>
        </w:rPr>
      </w:pPr>
    </w:p>
    <w:p>
      <w:pPr>
        <w:ind w:left="880" w:right="340" w:firstLine="816"/>
        <w:spacing w:after="0" w:line="251" w:lineRule="auto"/>
        <w:tabs>
          <w:tab w:leader="none" w:pos="2656" w:val="left"/>
        </w:tabs>
        <w:numPr>
          <w:ilvl w:val="0"/>
          <w:numId w:val="54"/>
        </w:numPr>
        <w:rPr>
          <w:rFonts w:ascii="Arial" w:cs="Arial" w:eastAsia="Arial" w:hAnsi="Arial"/>
          <w:sz w:val="22"/>
          <w:szCs w:val="22"/>
          <w:b w:val="1"/>
          <w:bCs w:val="1"/>
          <w:color w:val="auto"/>
        </w:rPr>
      </w:pPr>
      <w:r>
        <w:rPr>
          <w:rFonts w:ascii="Arial" w:cs="Arial" w:eastAsia="Arial" w:hAnsi="Arial"/>
          <w:sz w:val="22"/>
          <w:szCs w:val="22"/>
          <w:color w:val="auto"/>
        </w:rPr>
        <w:t>the decline in such sales is attributable in material part to the marketing or sale in such country of one or more Generic Equivalent.</w:t>
      </w:r>
    </w:p>
    <w:p>
      <w:pPr>
        <w:spacing w:after="0" w:line="119" w:lineRule="exact"/>
        <w:rPr>
          <w:sz w:val="20"/>
          <w:szCs w:val="20"/>
          <w:color w:val="auto"/>
        </w:rPr>
      </w:pPr>
    </w:p>
    <w:p>
      <w:pPr>
        <w:ind w:right="620" w:firstLine="87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MAA</w:t>
      </w:r>
      <w:r>
        <w:rPr>
          <w:rFonts w:ascii="Arial" w:cs="Arial" w:eastAsia="Arial" w:hAnsi="Arial"/>
          <w:sz w:val="22"/>
          <w:szCs w:val="22"/>
          <w:color w:val="auto"/>
        </w:rPr>
        <w:t>” means a Marketing Authorization Application for authorization to market and sell a Licensed Product in a specified territory.</w:t>
      </w:r>
    </w:p>
    <w:p>
      <w:pPr>
        <w:spacing w:after="0" w:line="119" w:lineRule="exact"/>
        <w:rPr>
          <w:sz w:val="20"/>
          <w:szCs w:val="20"/>
          <w:color w:val="auto"/>
        </w:rPr>
      </w:pPr>
    </w:p>
    <w:p>
      <w:pPr>
        <w:ind w:right="20" w:firstLine="877"/>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Materials</w:t>
      </w:r>
      <w:r>
        <w:rPr>
          <w:rFonts w:ascii="Arial" w:cs="Arial" w:eastAsia="Arial" w:hAnsi="Arial"/>
          <w:sz w:val="19"/>
          <w:szCs w:val="19"/>
          <w:color w:val="auto"/>
        </w:rPr>
        <w:t xml:space="preserve">” means any materials provided or transferred by one Party or its Affiliates to the other Party or its Affiliates in connection with the Collaboration. In the case of biological Materials, the term will encompass any medium in which the Materials are provided, any parts of the Materials (including any reproductive, genetic [DNA or RNA] or other replicable parts), any modified or unmodified progeny of or descendant from the Materials (including embryos, plasmid from plasmid, virus from virus, cell from cell or organism from organism), including any immediate or remote progeny of or descendant from the Materials containing the same genotype or genetic mutation or lesion as the Materials or being a functional equivalent of the Materials, any substance which constitutes a functional sub-unit or an expression product of the Materials (including sub-clones of plasmids, sub-clones of unmodified cell lines, purified or fractionated sub-sets of the Materials, proteins expressed by DNA/RNA, monoclonal antibodies secreted by a hybridoma or other type of cell line, or sub-sets of the Materials such as plasmids or vectors contained therein) and any cells, tissue, blood or blood derivative (e.g. plasma, serum, blood cells) from any animal used in any </w:t>
      </w:r>
      <w:r>
        <w:rPr>
          <w:rFonts w:ascii="Arial" w:cs="Arial" w:eastAsia="Arial" w:hAnsi="Arial"/>
          <w:sz w:val="19"/>
          <w:szCs w:val="19"/>
          <w:i w:val="1"/>
          <w:iCs w:val="1"/>
          <w:color w:val="auto"/>
        </w:rPr>
        <w:t>in vivo</w:t>
      </w:r>
      <w:r>
        <w:rPr>
          <w:rFonts w:ascii="Arial" w:cs="Arial" w:eastAsia="Arial" w:hAnsi="Arial"/>
          <w:sz w:val="19"/>
          <w:szCs w:val="19"/>
          <w:color w:val="auto"/>
        </w:rPr>
        <w:t xml:space="preserve"> study or </w:t>
      </w:r>
      <w:r>
        <w:rPr>
          <w:rFonts w:ascii="Arial" w:cs="Arial" w:eastAsia="Arial" w:hAnsi="Arial"/>
          <w:sz w:val="19"/>
          <w:szCs w:val="19"/>
          <w:i w:val="1"/>
          <w:iCs w:val="1"/>
          <w:color w:val="auto"/>
        </w:rPr>
        <w:t>in vitro</w:t>
      </w:r>
      <w:r>
        <w:rPr>
          <w:rFonts w:ascii="Arial" w:cs="Arial" w:eastAsia="Arial" w:hAnsi="Arial"/>
          <w:sz w:val="19"/>
          <w:szCs w:val="19"/>
          <w:color w:val="auto"/>
        </w:rPr>
        <w:t xml:space="preserve"> study conducted under a Research Plan.</w:t>
      </w:r>
    </w:p>
    <w:p>
      <w:pPr>
        <w:spacing w:after="0" w:line="10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Milestone</w:t>
      </w:r>
      <w:r>
        <w:rPr>
          <w:rFonts w:ascii="Arial" w:cs="Arial" w:eastAsia="Arial" w:hAnsi="Arial"/>
          <w:sz w:val="22"/>
          <w:szCs w:val="22"/>
          <w:color w:val="auto"/>
        </w:rPr>
        <w:t>” has the meaning set forth in Section 5.4.1.</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Milestone Payments</w:t>
      </w:r>
      <w:r>
        <w:rPr>
          <w:rFonts w:ascii="Arial" w:cs="Arial" w:eastAsia="Arial" w:hAnsi="Arial"/>
          <w:sz w:val="22"/>
          <w:szCs w:val="22"/>
          <w:color w:val="auto"/>
        </w:rPr>
        <w:t>” has the meaning set forth in Section 5.4.1.</w:t>
      </w:r>
    </w:p>
    <w:p>
      <w:pPr>
        <w:spacing w:after="0" w:line="152" w:lineRule="exact"/>
        <w:rPr>
          <w:sz w:val="20"/>
          <w:szCs w:val="20"/>
          <w:color w:val="auto"/>
        </w:rPr>
      </w:pPr>
    </w:p>
    <w:p>
      <w:pPr>
        <w:ind w:right="60" w:firstLine="87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NDC Product</w:t>
      </w:r>
      <w:r>
        <w:rPr>
          <w:rFonts w:ascii="Arial" w:cs="Arial" w:eastAsia="Arial" w:hAnsi="Arial"/>
          <w:sz w:val="22"/>
          <w:szCs w:val="22"/>
          <w:color w:val="auto"/>
        </w:rPr>
        <w:t>” means a therapeutic, diagnostic, prophylactic, or palliative nanoparticle-drug conjugate being researched or Developed as part of a Program (including Program activities conducted by Novartis and its Affiliates following the Research Term) that is focused on the creation of a product for use in humans.</w:t>
      </w:r>
    </w:p>
    <w:p>
      <w:pPr>
        <w:spacing w:after="0" w:line="132" w:lineRule="exact"/>
        <w:rPr>
          <w:sz w:val="20"/>
          <w:szCs w:val="20"/>
          <w:color w:val="auto"/>
        </w:rPr>
      </w:pPr>
    </w:p>
    <w:p>
      <w:pPr>
        <w:ind w:right="120" w:firstLine="877"/>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Net Sales</w:t>
      </w:r>
      <w:r>
        <w:rPr>
          <w:rFonts w:ascii="Arial" w:cs="Arial" w:eastAsia="Arial" w:hAnsi="Arial"/>
          <w:sz w:val="22"/>
          <w:szCs w:val="22"/>
          <w:color w:val="auto"/>
        </w:rPr>
        <w:t>” means the net sales recorded by Novartis or any of its Affiliates, licensees (excluding distributors and wholesalers) for any Licensed Product sold to Third Parties (other than licensees), as determined in accordance with the Accounting Standards as consistently applied, less a deduction of [**]% for direct expenses related to the sales of Licensed Product, distribution and warehousing expenses, and uncollectible amounts on previously sold Licensed Products. The deductions booked on an accrual basis by Novartis and its Affiliates under the Accounting Standards to calculate the recorded net sales from gross sales include the following:</w:t>
      </w:r>
    </w:p>
    <w:p>
      <w:pPr>
        <w:spacing w:after="0" w:line="134" w:lineRule="exact"/>
        <w:rPr>
          <w:sz w:val="20"/>
          <w:szCs w:val="20"/>
          <w:color w:val="auto"/>
        </w:rPr>
      </w:pPr>
    </w:p>
    <w:p>
      <w:pPr>
        <w:ind w:left="2620" w:hanging="870"/>
        <w:spacing w:after="0"/>
        <w:tabs>
          <w:tab w:leader="none" w:pos="2620" w:val="left"/>
        </w:tabs>
        <w:numPr>
          <w:ilvl w:val="0"/>
          <w:numId w:val="55"/>
        </w:numPr>
        <w:rPr>
          <w:rFonts w:ascii="Arial" w:cs="Arial" w:eastAsia="Arial" w:hAnsi="Arial"/>
          <w:sz w:val="22"/>
          <w:szCs w:val="22"/>
          <w:b w:val="1"/>
          <w:bCs w:val="1"/>
          <w:color w:val="auto"/>
        </w:rPr>
      </w:pPr>
      <w:r>
        <w:rPr>
          <w:rFonts w:ascii="Arial" w:cs="Arial" w:eastAsia="Arial" w:hAnsi="Arial"/>
          <w:sz w:val="22"/>
          <w:szCs w:val="22"/>
          <w:color w:val="auto"/>
        </w:rPr>
        <w:t>normal trade and cash discounts;</w:t>
      </w:r>
    </w:p>
    <w:p>
      <w:pPr>
        <w:spacing w:after="0" w:line="3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2" w:name="page73"/>
    <w:bookmarkEnd w:id="72"/>
    <w:p>
      <w:pPr>
        <w:ind w:left="9560"/>
        <w:spacing w:after="0"/>
        <w:rPr>
          <w:sz w:val="20"/>
          <w:szCs w:val="20"/>
          <w:color w:val="auto"/>
        </w:rPr>
      </w:pPr>
      <w:r>
        <w:rPr>
          <w:rFonts w:ascii="Arial" w:cs="Arial" w:eastAsia="Arial" w:hAnsi="Arial"/>
          <w:sz w:val="19"/>
          <w:szCs w:val="19"/>
          <w:color w:val="auto"/>
        </w:rPr>
        <w:t>EXECUTION COPY</w:t>
      </w:r>
    </w:p>
    <w:p>
      <w:pPr>
        <w:spacing w:after="0" w:line="268" w:lineRule="exact"/>
        <w:rPr>
          <w:sz w:val="20"/>
          <w:szCs w:val="20"/>
          <w:color w:val="auto"/>
        </w:rPr>
      </w:pPr>
    </w:p>
    <w:p>
      <w:pPr>
        <w:ind w:left="2600" w:hanging="904"/>
        <w:spacing w:after="0"/>
        <w:tabs>
          <w:tab w:leader="none" w:pos="2600" w:val="left"/>
        </w:tabs>
        <w:numPr>
          <w:ilvl w:val="0"/>
          <w:numId w:val="56"/>
        </w:numPr>
        <w:rPr>
          <w:rFonts w:ascii="Arial" w:cs="Arial" w:eastAsia="Arial" w:hAnsi="Arial"/>
          <w:sz w:val="22"/>
          <w:szCs w:val="22"/>
          <w:b w:val="1"/>
          <w:bCs w:val="1"/>
          <w:color w:val="auto"/>
        </w:rPr>
      </w:pPr>
      <w:r>
        <w:rPr>
          <w:rFonts w:ascii="Arial" w:cs="Arial" w:eastAsia="Arial" w:hAnsi="Arial"/>
          <w:sz w:val="22"/>
          <w:szCs w:val="22"/>
          <w:color w:val="auto"/>
        </w:rPr>
        <w:t>amounts repaid or credited by reasons of defects, rejections, recalls, or returns;</w:t>
      </w:r>
    </w:p>
    <w:p>
      <w:pPr>
        <w:spacing w:after="0" w:line="152" w:lineRule="exact"/>
        <w:rPr>
          <w:rFonts w:ascii="Arial" w:cs="Arial" w:eastAsia="Arial" w:hAnsi="Arial"/>
          <w:sz w:val="22"/>
          <w:szCs w:val="22"/>
          <w:b w:val="1"/>
          <w:bCs w:val="1"/>
          <w:color w:val="auto"/>
        </w:rPr>
      </w:pPr>
    </w:p>
    <w:p>
      <w:pPr>
        <w:ind w:left="880" w:right="480" w:firstLine="816"/>
        <w:spacing w:after="0" w:line="251" w:lineRule="auto"/>
        <w:tabs>
          <w:tab w:leader="none" w:pos="2578" w:val="left"/>
        </w:tabs>
        <w:numPr>
          <w:ilvl w:val="0"/>
          <w:numId w:val="56"/>
        </w:numPr>
        <w:rPr>
          <w:rFonts w:ascii="Arial" w:cs="Arial" w:eastAsia="Arial" w:hAnsi="Arial"/>
          <w:sz w:val="22"/>
          <w:szCs w:val="22"/>
          <w:b w:val="1"/>
          <w:bCs w:val="1"/>
          <w:color w:val="auto"/>
        </w:rPr>
      </w:pPr>
      <w:r>
        <w:rPr>
          <w:rFonts w:ascii="Arial" w:cs="Arial" w:eastAsia="Arial" w:hAnsi="Arial"/>
          <w:sz w:val="22"/>
          <w:szCs w:val="22"/>
          <w:color w:val="auto"/>
        </w:rPr>
        <w:t>rebates and chargebacks to customers and third parties (including Medicare, Medicaid, Managed Healthcare, and similar types of rebates);</w:t>
      </w:r>
    </w:p>
    <w:p>
      <w:pPr>
        <w:spacing w:after="0" w:line="119" w:lineRule="exact"/>
        <w:rPr>
          <w:rFonts w:ascii="Arial" w:cs="Arial" w:eastAsia="Arial" w:hAnsi="Arial"/>
          <w:sz w:val="22"/>
          <w:szCs w:val="22"/>
          <w:b w:val="1"/>
          <w:bCs w:val="1"/>
          <w:color w:val="auto"/>
        </w:rPr>
      </w:pPr>
    </w:p>
    <w:p>
      <w:pPr>
        <w:ind w:left="2600" w:hanging="904"/>
        <w:spacing w:after="0"/>
        <w:tabs>
          <w:tab w:leader="none" w:pos="2600" w:val="left"/>
        </w:tabs>
        <w:numPr>
          <w:ilvl w:val="0"/>
          <w:numId w:val="56"/>
        </w:numPr>
        <w:rPr>
          <w:rFonts w:ascii="Arial" w:cs="Arial" w:eastAsia="Arial" w:hAnsi="Arial"/>
          <w:sz w:val="21"/>
          <w:szCs w:val="21"/>
          <w:b w:val="1"/>
          <w:bCs w:val="1"/>
          <w:color w:val="auto"/>
        </w:rPr>
      </w:pPr>
      <w:r>
        <w:rPr>
          <w:rFonts w:ascii="Arial" w:cs="Arial" w:eastAsia="Arial" w:hAnsi="Arial"/>
          <w:sz w:val="21"/>
          <w:szCs w:val="21"/>
          <w:color w:val="auto"/>
        </w:rPr>
        <w:t>any amounts recorded in gross revenue associated with goods provided to customers for free;</w:t>
      </w:r>
    </w:p>
    <w:p>
      <w:pPr>
        <w:spacing w:after="0" w:line="163" w:lineRule="exact"/>
        <w:rPr>
          <w:rFonts w:ascii="Arial" w:cs="Arial" w:eastAsia="Arial" w:hAnsi="Arial"/>
          <w:sz w:val="21"/>
          <w:szCs w:val="21"/>
          <w:b w:val="1"/>
          <w:bCs w:val="1"/>
          <w:color w:val="auto"/>
        </w:rPr>
      </w:pPr>
    </w:p>
    <w:p>
      <w:pPr>
        <w:ind w:left="2580" w:hanging="884"/>
        <w:spacing w:after="0"/>
        <w:tabs>
          <w:tab w:leader="none" w:pos="2580" w:val="left"/>
        </w:tabs>
        <w:numPr>
          <w:ilvl w:val="0"/>
          <w:numId w:val="56"/>
        </w:numPr>
        <w:rPr>
          <w:rFonts w:ascii="Arial" w:cs="Arial" w:eastAsia="Arial" w:hAnsi="Arial"/>
          <w:sz w:val="22"/>
          <w:szCs w:val="22"/>
          <w:b w:val="1"/>
          <w:bCs w:val="1"/>
          <w:color w:val="auto"/>
        </w:rPr>
      </w:pPr>
      <w:r>
        <w:rPr>
          <w:rFonts w:ascii="Arial" w:cs="Arial" w:eastAsia="Arial" w:hAnsi="Arial"/>
          <w:sz w:val="22"/>
          <w:szCs w:val="22"/>
          <w:color w:val="auto"/>
        </w:rPr>
        <w:t>amounts provided or credited to customers through coupons and other discount programs;</w:t>
      </w:r>
    </w:p>
    <w:p>
      <w:pPr>
        <w:spacing w:after="0" w:line="152" w:lineRule="exact"/>
        <w:rPr>
          <w:rFonts w:ascii="Arial" w:cs="Arial" w:eastAsia="Arial" w:hAnsi="Arial"/>
          <w:sz w:val="22"/>
          <w:szCs w:val="22"/>
          <w:b w:val="1"/>
          <w:bCs w:val="1"/>
          <w:color w:val="auto"/>
        </w:rPr>
      </w:pPr>
    </w:p>
    <w:p>
      <w:pPr>
        <w:ind w:left="880" w:right="380" w:firstLine="816"/>
        <w:spacing w:after="0" w:line="251" w:lineRule="auto"/>
        <w:tabs>
          <w:tab w:leader="none" w:pos="2554" w:val="left"/>
        </w:tabs>
        <w:numPr>
          <w:ilvl w:val="0"/>
          <w:numId w:val="56"/>
        </w:numPr>
        <w:rPr>
          <w:rFonts w:ascii="Arial" w:cs="Arial" w:eastAsia="Arial" w:hAnsi="Arial"/>
          <w:sz w:val="22"/>
          <w:szCs w:val="22"/>
          <w:b w:val="1"/>
          <w:bCs w:val="1"/>
          <w:color w:val="auto"/>
        </w:rPr>
      </w:pPr>
      <w:r>
        <w:rPr>
          <w:rFonts w:ascii="Arial" w:cs="Arial" w:eastAsia="Arial" w:hAnsi="Arial"/>
          <w:sz w:val="22"/>
          <w:szCs w:val="22"/>
          <w:color w:val="auto"/>
        </w:rPr>
        <w:t>delayed ship order credits, discounts, or payments related to the impact of price increases between purchase and shipping dates; and</w:t>
      </w:r>
    </w:p>
    <w:p>
      <w:pPr>
        <w:spacing w:after="0" w:line="119" w:lineRule="exact"/>
        <w:rPr>
          <w:rFonts w:ascii="Arial" w:cs="Arial" w:eastAsia="Arial" w:hAnsi="Arial"/>
          <w:sz w:val="22"/>
          <w:szCs w:val="22"/>
          <w:b w:val="1"/>
          <w:bCs w:val="1"/>
          <w:color w:val="auto"/>
        </w:rPr>
      </w:pPr>
    </w:p>
    <w:p>
      <w:pPr>
        <w:ind w:left="880" w:right="360" w:firstLine="816"/>
        <w:spacing w:after="0" w:line="251" w:lineRule="auto"/>
        <w:tabs>
          <w:tab w:leader="none" w:pos="2590" w:val="left"/>
        </w:tabs>
        <w:numPr>
          <w:ilvl w:val="0"/>
          <w:numId w:val="56"/>
        </w:numPr>
        <w:rPr>
          <w:rFonts w:ascii="Arial" w:cs="Arial" w:eastAsia="Arial" w:hAnsi="Arial"/>
          <w:sz w:val="22"/>
          <w:szCs w:val="22"/>
          <w:b w:val="1"/>
          <w:bCs w:val="1"/>
          <w:color w:val="auto"/>
        </w:rPr>
      </w:pPr>
      <w:r>
        <w:rPr>
          <w:rFonts w:ascii="Arial" w:cs="Arial" w:eastAsia="Arial" w:hAnsi="Arial"/>
          <w:sz w:val="22"/>
          <w:szCs w:val="22"/>
          <w:color w:val="auto"/>
        </w:rPr>
        <w:t>fee for service payments to customers for any non-separable services (including compensation for maintaining agreed inventory levels and providing information); and</w:t>
      </w:r>
    </w:p>
    <w:p>
      <w:pPr>
        <w:spacing w:after="0" w:line="119" w:lineRule="exact"/>
        <w:rPr>
          <w:rFonts w:ascii="Arial" w:cs="Arial" w:eastAsia="Arial" w:hAnsi="Arial"/>
          <w:sz w:val="22"/>
          <w:szCs w:val="22"/>
          <w:b w:val="1"/>
          <w:bCs w:val="1"/>
          <w:color w:val="auto"/>
        </w:rPr>
      </w:pPr>
    </w:p>
    <w:p>
      <w:pPr>
        <w:ind w:left="880" w:right="560" w:firstLine="816"/>
        <w:spacing w:after="0" w:line="251" w:lineRule="auto"/>
        <w:tabs>
          <w:tab w:leader="none" w:pos="2602" w:val="left"/>
        </w:tabs>
        <w:numPr>
          <w:ilvl w:val="0"/>
          <w:numId w:val="56"/>
        </w:numPr>
        <w:rPr>
          <w:rFonts w:ascii="Arial" w:cs="Arial" w:eastAsia="Arial" w:hAnsi="Arial"/>
          <w:sz w:val="22"/>
          <w:szCs w:val="22"/>
          <w:b w:val="1"/>
          <w:bCs w:val="1"/>
          <w:color w:val="auto"/>
        </w:rPr>
      </w:pPr>
      <w:r>
        <w:rPr>
          <w:rFonts w:ascii="Arial" w:cs="Arial" w:eastAsia="Arial" w:hAnsi="Arial"/>
          <w:sz w:val="22"/>
          <w:szCs w:val="22"/>
          <w:color w:val="auto"/>
        </w:rPr>
        <w:t>other reductions or specifically identifiable amounts deducted for reasons similar to those listed above in accordance with the Accounting Standards.</w:t>
      </w:r>
    </w:p>
    <w:p>
      <w:pPr>
        <w:spacing w:after="0" w:line="119"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With respect to the calculation of Net Sales:</w:t>
      </w:r>
    </w:p>
    <w:p>
      <w:pPr>
        <w:spacing w:after="0" w:line="152" w:lineRule="exact"/>
        <w:rPr>
          <w:sz w:val="20"/>
          <w:szCs w:val="20"/>
          <w:color w:val="auto"/>
        </w:rPr>
      </w:pPr>
    </w:p>
    <w:p>
      <w:pPr>
        <w:ind w:left="880" w:right="360" w:firstLine="816"/>
        <w:spacing w:after="0"/>
        <w:tabs>
          <w:tab w:leader="none" w:pos="2542" w:val="left"/>
        </w:tabs>
        <w:numPr>
          <w:ilvl w:val="0"/>
          <w:numId w:val="57"/>
        </w:numPr>
        <w:rPr>
          <w:rFonts w:ascii="Arial" w:cs="Arial" w:eastAsia="Arial" w:hAnsi="Arial"/>
          <w:sz w:val="22"/>
          <w:szCs w:val="22"/>
          <w:b w:val="1"/>
          <w:bCs w:val="1"/>
          <w:color w:val="auto"/>
        </w:rPr>
      </w:pPr>
      <w:r>
        <w:rPr>
          <w:rFonts w:ascii="Arial" w:cs="Arial" w:eastAsia="Arial" w:hAnsi="Arial"/>
          <w:sz w:val="22"/>
          <w:szCs w:val="22"/>
          <w:color w:val="auto"/>
        </w:rPr>
        <w:t>Net Sales only include the value charged or invoiced on the first arm’s length sale to a Third Party, and sales between or among Novartis and its Affiliates, licensees will be disregarded for purposes of calculating Net Sales;</w:t>
      </w:r>
    </w:p>
    <w:p>
      <w:pPr>
        <w:spacing w:after="0" w:line="132" w:lineRule="exact"/>
        <w:rPr>
          <w:rFonts w:ascii="Arial" w:cs="Arial" w:eastAsia="Arial" w:hAnsi="Arial"/>
          <w:sz w:val="22"/>
          <w:szCs w:val="22"/>
          <w:b w:val="1"/>
          <w:bCs w:val="1"/>
          <w:color w:val="auto"/>
        </w:rPr>
      </w:pPr>
    </w:p>
    <w:p>
      <w:pPr>
        <w:ind w:left="880" w:right="260" w:firstLine="816"/>
        <w:spacing w:after="0" w:line="328" w:lineRule="auto"/>
        <w:tabs>
          <w:tab w:leader="none" w:pos="2602" w:val="left"/>
        </w:tabs>
        <w:numPr>
          <w:ilvl w:val="0"/>
          <w:numId w:val="57"/>
        </w:numPr>
        <w:rPr>
          <w:rFonts w:ascii="Arial" w:cs="Arial" w:eastAsia="Arial" w:hAnsi="Arial"/>
          <w:sz w:val="19"/>
          <w:szCs w:val="19"/>
          <w:b w:val="1"/>
          <w:bCs w:val="1"/>
          <w:color w:val="auto"/>
        </w:rPr>
      </w:pPr>
      <w:r>
        <w:rPr>
          <w:rFonts w:ascii="Arial" w:cs="Arial" w:eastAsia="Arial" w:hAnsi="Arial"/>
          <w:sz w:val="19"/>
          <w:szCs w:val="19"/>
          <w:color w:val="auto"/>
        </w:rPr>
        <w:t>if a Licensed Product is delivered to the Third Party before being invoiced (or is not invoiced), Net Sales will be calculated at the time all the revenue recognition criteria under the Accounting Standards are met; and</w:t>
      </w:r>
    </w:p>
    <w:p>
      <w:pPr>
        <w:spacing w:after="0" w:line="51" w:lineRule="exact"/>
        <w:rPr>
          <w:rFonts w:ascii="Arial" w:cs="Arial" w:eastAsia="Arial" w:hAnsi="Arial"/>
          <w:sz w:val="19"/>
          <w:szCs w:val="19"/>
          <w:b w:val="1"/>
          <w:bCs w:val="1"/>
          <w:color w:val="auto"/>
        </w:rPr>
      </w:pPr>
    </w:p>
    <w:p>
      <w:pPr>
        <w:ind w:left="880" w:firstLine="816"/>
        <w:spacing w:after="0" w:line="272" w:lineRule="auto"/>
        <w:tabs>
          <w:tab w:leader="none" w:pos="2662" w:val="left"/>
        </w:tabs>
        <w:numPr>
          <w:ilvl w:val="0"/>
          <w:numId w:val="57"/>
        </w:numPr>
        <w:rPr>
          <w:rFonts w:ascii="Arial" w:cs="Arial" w:eastAsia="Arial" w:hAnsi="Arial"/>
          <w:sz w:val="19"/>
          <w:szCs w:val="19"/>
          <w:b w:val="1"/>
          <w:bCs w:val="1"/>
          <w:color w:val="auto"/>
        </w:rPr>
      </w:pPr>
      <w:r>
        <w:rPr>
          <w:rFonts w:ascii="Arial" w:cs="Arial" w:eastAsia="Arial" w:hAnsi="Arial"/>
          <w:sz w:val="19"/>
          <w:szCs w:val="19"/>
          <w:color w:val="auto"/>
        </w:rPr>
        <w:t>if a Licensed Product is sold in a finished dosage form containing a Licensed Product, as applicable, in combination with one or more other active ingredients (a “</w:t>
      </w:r>
      <w:r>
        <w:rPr>
          <w:rFonts w:ascii="Arial" w:cs="Arial" w:eastAsia="Arial" w:hAnsi="Arial"/>
          <w:sz w:val="19"/>
          <w:szCs w:val="19"/>
          <w:u w:val="single" w:color="auto"/>
          <w:color w:val="auto"/>
        </w:rPr>
        <w:t>Combination Product</w:t>
      </w:r>
      <w:r>
        <w:rPr>
          <w:rFonts w:ascii="Arial" w:cs="Arial" w:eastAsia="Arial" w:hAnsi="Arial"/>
          <w:sz w:val="19"/>
          <w:szCs w:val="19"/>
          <w:color w:val="auto"/>
        </w:rPr>
        <w:t>”), the Net Sales will be calculated by multiplying the Net Sales of the Combination Product by the fraction, X/(X+Y) where X is the weighted (by sales volume) average net sale price in the relevant country of the Licensed Product as the sole active ingredient in finished form, and Y is the weighted average net sale price (by sales volume) in that country of the pharmaceutical product(s) containing the other component(s) as the sole active ingredient(s) in finished form. Regarding prices comprised in the weighted average net sale price when sold separately, if these are available for different dosages from the dosages of the Licensed Product and other active ingredient components that are included in the Combination Product, then Novartis will be entitled to make a proportional adjustment to such prices in calculating the Royalty-bearing Net Sales of the Combination Product. If the weighted average net sale price cannot be determined for the Combination Product, the calculation of Net Sales for Combination Products will be agreed by the Parties based on the relative value contributed by each component (each Party’s agreement not to be unreasonably withheld or delayed).</w:t>
      </w:r>
    </w:p>
    <w:p>
      <w:pPr>
        <w:spacing w:after="0" w:line="16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3" w:name="page74"/>
    <w:bookmarkEnd w:id="73"/>
    <w:p>
      <w:pPr>
        <w:ind w:left="9560"/>
        <w:spacing w:after="0"/>
        <w:rPr>
          <w:sz w:val="20"/>
          <w:szCs w:val="20"/>
          <w:color w:val="auto"/>
        </w:rPr>
      </w:pPr>
      <w:r>
        <w:rPr>
          <w:rFonts w:ascii="Arial" w:cs="Arial" w:eastAsia="Arial" w:hAnsi="Arial"/>
          <w:sz w:val="19"/>
          <w:szCs w:val="19"/>
          <w:color w:val="auto"/>
        </w:rPr>
        <w:t>EXECUTION COPY</w:t>
      </w:r>
    </w:p>
    <w:p>
      <w:pPr>
        <w:spacing w:after="0" w:line="26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Novartis Indemnitee</w:t>
      </w:r>
      <w:r>
        <w:rPr>
          <w:rFonts w:ascii="Arial" w:cs="Arial" w:eastAsia="Arial" w:hAnsi="Arial"/>
          <w:sz w:val="22"/>
          <w:szCs w:val="22"/>
          <w:color w:val="auto"/>
        </w:rPr>
        <w:t>” has the meaning set forth in Section 8.1.</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Novartis Sole Collaboration Intellectual Property</w:t>
      </w:r>
      <w:r>
        <w:rPr>
          <w:rFonts w:ascii="Arial" w:cs="Arial" w:eastAsia="Arial" w:hAnsi="Arial"/>
          <w:sz w:val="22"/>
          <w:szCs w:val="22"/>
          <w:color w:val="auto"/>
        </w:rPr>
        <w:t>” has the meaning set forth in Section 3.1.1.</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Party</w:t>
      </w:r>
      <w:r>
        <w:rPr>
          <w:rFonts w:ascii="Arial" w:cs="Arial" w:eastAsia="Arial" w:hAnsi="Arial"/>
          <w:sz w:val="22"/>
          <w:szCs w:val="22"/>
          <w:color w:val="auto"/>
        </w:rPr>
        <w:t>” and “</w:t>
      </w:r>
      <w:r>
        <w:rPr>
          <w:rFonts w:ascii="Arial" w:cs="Arial" w:eastAsia="Arial" w:hAnsi="Arial"/>
          <w:sz w:val="22"/>
          <w:szCs w:val="22"/>
          <w:u w:val="single" w:color="auto"/>
          <w:color w:val="auto"/>
        </w:rPr>
        <w:t>Parties</w:t>
      </w:r>
      <w:r>
        <w:rPr>
          <w:rFonts w:ascii="Arial" w:cs="Arial" w:eastAsia="Arial" w:hAnsi="Arial"/>
          <w:sz w:val="22"/>
          <w:szCs w:val="22"/>
          <w:color w:val="auto"/>
        </w:rPr>
        <w:t>” has the meaning set forth in the preamble.</w:t>
      </w:r>
    </w:p>
    <w:p>
      <w:pPr>
        <w:spacing w:after="0" w:line="152" w:lineRule="exact"/>
        <w:rPr>
          <w:sz w:val="20"/>
          <w:szCs w:val="20"/>
          <w:color w:val="auto"/>
        </w:rPr>
      </w:pPr>
    </w:p>
    <w:p>
      <w:pPr>
        <w:ind w:right="200" w:firstLine="87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Patent Rights</w:t>
      </w:r>
      <w:r>
        <w:rPr>
          <w:rFonts w:ascii="Arial" w:cs="Arial" w:eastAsia="Arial" w:hAnsi="Arial"/>
          <w:sz w:val="22"/>
          <w:szCs w:val="22"/>
          <w:color w:val="auto"/>
        </w:rPr>
        <w:t>” means patents and all substitutions, divisions, continuations, continuations-in-part, reissues, reexaminations, and extensions thereof and supplemental protection certificates relating thereto, and all counterparts thereof or substantial equivalents in any country (collectively, “</w:t>
      </w:r>
      <w:r>
        <w:rPr>
          <w:rFonts w:ascii="Arial" w:cs="Arial" w:eastAsia="Arial" w:hAnsi="Arial"/>
          <w:sz w:val="22"/>
          <w:szCs w:val="22"/>
          <w:u w:val="single" w:color="auto"/>
          <w:color w:val="auto"/>
        </w:rPr>
        <w:t>Patents</w:t>
      </w:r>
      <w:r>
        <w:rPr>
          <w:rFonts w:ascii="Arial" w:cs="Arial" w:eastAsia="Arial" w:hAnsi="Arial"/>
          <w:sz w:val="22"/>
          <w:szCs w:val="22"/>
          <w:color w:val="auto"/>
        </w:rPr>
        <w:t>”), and any applications or provisional applications for any of the foregoing (“</w:t>
      </w:r>
      <w:r>
        <w:rPr>
          <w:rFonts w:ascii="Arial" w:cs="Arial" w:eastAsia="Arial" w:hAnsi="Arial"/>
          <w:sz w:val="22"/>
          <w:szCs w:val="22"/>
          <w:u w:val="single" w:color="auto"/>
          <w:color w:val="auto"/>
        </w:rPr>
        <w:t>Patent Applications</w:t>
      </w:r>
      <w:r>
        <w:rPr>
          <w:rFonts w:ascii="Arial" w:cs="Arial" w:eastAsia="Arial" w:hAnsi="Arial"/>
          <w:sz w:val="22"/>
          <w:szCs w:val="22"/>
          <w:color w:val="auto"/>
        </w:rPr>
        <w:t>”) and including the right to claim all benefits and priority rights to any Patent Applications under any applicable convention.</w:t>
      </w:r>
    </w:p>
    <w:p>
      <w:pPr>
        <w:spacing w:after="0" w:line="134" w:lineRule="exact"/>
        <w:rPr>
          <w:sz w:val="20"/>
          <w:szCs w:val="20"/>
          <w:color w:val="auto"/>
        </w:rPr>
      </w:pPr>
    </w:p>
    <w:p>
      <w:pPr>
        <w:ind w:right="1040" w:firstLine="87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Person</w:t>
      </w:r>
      <w:r>
        <w:rPr>
          <w:rFonts w:ascii="Arial" w:cs="Arial" w:eastAsia="Arial" w:hAnsi="Arial"/>
          <w:sz w:val="19"/>
          <w:szCs w:val="19"/>
          <w:color w:val="auto"/>
        </w:rPr>
        <w:t>” means any corporation, limited or general partnership, limited liability company, joint venture, trust, unincorporated association, governmental body, authority, bureau or agency, any other entity or body, or an individual.</w:t>
      </w:r>
    </w:p>
    <w:p>
      <w:pPr>
        <w:spacing w:after="0" w:line="5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Personal Information</w:t>
      </w:r>
      <w:r>
        <w:rPr>
          <w:rFonts w:ascii="Arial" w:cs="Arial" w:eastAsia="Arial" w:hAnsi="Arial"/>
          <w:sz w:val="22"/>
          <w:szCs w:val="22"/>
          <w:color w:val="auto"/>
        </w:rPr>
        <w:t>” has the meaning set forth in Section 2.7.</w:t>
      </w:r>
    </w:p>
    <w:p>
      <w:pPr>
        <w:spacing w:after="0" w:line="152" w:lineRule="exact"/>
        <w:rPr>
          <w:sz w:val="20"/>
          <w:szCs w:val="20"/>
          <w:color w:val="auto"/>
        </w:rPr>
      </w:pPr>
    </w:p>
    <w:p>
      <w:pPr>
        <w:ind w:firstLine="877"/>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Phase 1 Trial</w:t>
      </w:r>
      <w:r>
        <w:rPr>
          <w:rFonts w:ascii="Arial" w:cs="Arial" w:eastAsia="Arial" w:hAnsi="Arial"/>
          <w:sz w:val="19"/>
          <w:szCs w:val="19"/>
          <w:color w:val="auto"/>
        </w:rPr>
        <w:t>” means a phase 1 clinical study of an investigational Licensed Product in human patients with the primary objective of characterizing its safety, tolerability, and pharmacokinetics and identifying a recommended dose and regimen for future studies as described in 21 CFR §312.21(a), or a comparable clinical study prescribed by the relevant Regulatory Authority in a country other than the United States. The investigational product can be administered to patients as a single agent or in combination with other investigational or marketed agents, and a Phase 1 Trial shall be deemed commenced upon FPFD.</w:t>
      </w:r>
    </w:p>
    <w:p>
      <w:pPr>
        <w:spacing w:after="0" w:line="94"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Phase 2b Trial</w:t>
      </w:r>
      <w:r>
        <w:rPr>
          <w:rFonts w:ascii="Arial" w:cs="Arial" w:eastAsia="Arial" w:hAnsi="Arial"/>
          <w:sz w:val="22"/>
          <w:szCs w:val="22"/>
          <w:color w:val="auto"/>
        </w:rPr>
        <w:t>” means a controlled phase 2b clinical study carried out prior to the</w:t>
      </w:r>
    </w:p>
    <w:p>
      <w:pPr>
        <w:spacing w:after="0" w:line="8" w:lineRule="exact"/>
        <w:rPr>
          <w:sz w:val="20"/>
          <w:szCs w:val="20"/>
          <w:color w:val="auto"/>
        </w:rPr>
      </w:pPr>
    </w:p>
    <w:p>
      <w:pPr>
        <w:ind w:right="40"/>
        <w:spacing w:after="0" w:line="244" w:lineRule="auto"/>
        <w:rPr>
          <w:sz w:val="20"/>
          <w:szCs w:val="20"/>
          <w:color w:val="auto"/>
        </w:rPr>
      </w:pPr>
      <w:r>
        <w:rPr>
          <w:rFonts w:ascii="Arial" w:cs="Arial" w:eastAsia="Arial" w:hAnsi="Arial"/>
          <w:sz w:val="21"/>
          <w:szCs w:val="21"/>
          <w:color w:val="auto"/>
        </w:rPr>
        <w:t>initiation of pivotal Phase 3 Trials (described below) that is intended to be the definitive dose range finding study in patients with efficacy as primary endpoint, as well as safety, initiated after determination of the recommended phase 2 dose of the relevant Licensed Product, that will evaluate the dose-dependent effectiveness of a pharmaceutical product for a particular indication or indications in patients with the disease or condition under study, as well as to collect further adverse effects and safety data to assess the risks associated with the pharmaceutical product, and further pharmacokinetic data. The investigational product can be administered to patients as a single agent or in combination with other investigational or marketed agents and a Phase 2b Trial shall be deemed commenced upon FPFD.</w:t>
      </w:r>
    </w:p>
    <w:p>
      <w:pPr>
        <w:spacing w:after="0" w:line="208" w:lineRule="exact"/>
        <w:rPr>
          <w:sz w:val="20"/>
          <w:szCs w:val="20"/>
          <w:color w:val="auto"/>
        </w:rPr>
      </w:pPr>
    </w:p>
    <w:p>
      <w:pPr>
        <w:ind w:right="20" w:firstLine="877"/>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Phase 3 Trial</w:t>
      </w:r>
      <w:r>
        <w:rPr>
          <w:rFonts w:ascii="Arial" w:cs="Arial" w:eastAsia="Arial" w:hAnsi="Arial"/>
          <w:sz w:val="21"/>
          <w:szCs w:val="21"/>
          <w:color w:val="auto"/>
        </w:rPr>
        <w:t>” means a clinical study of an investigational product in human patients that incorporates accepted endpoints for confirmation of statistical significance of efficacy and safety with the aim to obtain Regulatory Approval in any country as described in 21 CFR §312.21, or a comparable clinical study prescribed by the relevant Regulatory Authority in a country other than the United States. The investigational product can be administered to patients as a single agent or in combination with other investigational or marketed agents and a Phase 3 Trial shall be deemed commenced upon FPFD.</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Poly-Tech Transfer</w:t>
      </w:r>
      <w:r>
        <w:rPr>
          <w:rFonts w:ascii="Arial" w:cs="Arial" w:eastAsia="Arial" w:hAnsi="Arial"/>
          <w:sz w:val="22"/>
          <w:szCs w:val="22"/>
          <w:color w:val="auto"/>
        </w:rPr>
        <w:t>” has the meaning set forth in Section 2.6.1.</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4" w:name="page75"/>
    <w:bookmarkEnd w:id="74"/>
    <w:p>
      <w:pPr>
        <w:ind w:left="9560"/>
        <w:spacing w:after="0"/>
        <w:rPr>
          <w:sz w:val="20"/>
          <w:szCs w:val="20"/>
          <w:color w:val="auto"/>
        </w:rPr>
      </w:pPr>
      <w:r>
        <w:rPr>
          <w:rFonts w:ascii="Arial" w:cs="Arial" w:eastAsia="Arial" w:hAnsi="Arial"/>
          <w:sz w:val="19"/>
          <w:szCs w:val="19"/>
          <w:color w:val="auto"/>
        </w:rPr>
        <w:t>EXECUTION COPY</w:t>
      </w:r>
    </w:p>
    <w:p>
      <w:pPr>
        <w:spacing w:after="0" w:line="268" w:lineRule="exact"/>
        <w:rPr>
          <w:sz w:val="20"/>
          <w:szCs w:val="20"/>
          <w:color w:val="auto"/>
        </w:rPr>
      </w:pPr>
    </w:p>
    <w:p>
      <w:pPr>
        <w:jc w:val="both"/>
        <w:ind w:right="400" w:firstLine="87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Practice</w:t>
      </w:r>
      <w:r>
        <w:rPr>
          <w:rFonts w:ascii="Arial" w:cs="Arial" w:eastAsia="Arial" w:hAnsi="Arial"/>
          <w:sz w:val="22"/>
          <w:szCs w:val="22"/>
          <w:color w:val="auto"/>
        </w:rPr>
        <w:t>” means, with respect to Patent Rights, to make, use, sell, offer for sale, or import (or have made, have used, have sold, have offered for sale, or have imported), and, with respect to Know How, to use, practice and disclose (or have used, practiced and disclosed).</w:t>
      </w:r>
    </w:p>
    <w:p>
      <w:pPr>
        <w:spacing w:after="0" w:line="132" w:lineRule="exact"/>
        <w:rPr>
          <w:sz w:val="20"/>
          <w:szCs w:val="20"/>
          <w:color w:val="auto"/>
        </w:rPr>
      </w:pPr>
    </w:p>
    <w:p>
      <w:pPr>
        <w:ind w:right="440" w:firstLine="87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Program</w:t>
      </w:r>
      <w:r>
        <w:rPr>
          <w:rFonts w:ascii="Arial" w:cs="Arial" w:eastAsia="Arial" w:hAnsi="Arial"/>
          <w:sz w:val="19"/>
          <w:szCs w:val="19"/>
          <w:color w:val="auto"/>
        </w:rPr>
        <w:t>” means the separate Collaboration activities directed to each of the individual Designated Targets. For the avoidance of doubt, and consistent with Section 2.3.3, each Program shall focus on one, and only one, Designated Target.</w:t>
      </w:r>
    </w:p>
    <w:p>
      <w:pPr>
        <w:spacing w:after="0" w:line="51" w:lineRule="exact"/>
        <w:rPr>
          <w:sz w:val="20"/>
          <w:szCs w:val="20"/>
          <w:color w:val="auto"/>
        </w:rPr>
      </w:pPr>
    </w:p>
    <w:p>
      <w:pPr>
        <w:ind w:right="80" w:firstLine="877"/>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Proprietary Information</w:t>
      </w:r>
      <w:r>
        <w:rPr>
          <w:rFonts w:ascii="Arial" w:cs="Arial" w:eastAsia="Arial" w:hAnsi="Arial"/>
          <w:sz w:val="19"/>
          <w:szCs w:val="19"/>
          <w:color w:val="auto"/>
        </w:rPr>
        <w:t>” means all Know How or other information, including proprietary information and materials (whether or not patentable) regarding a Party’s or its Affiliate’s technology, products, services, business information, or objectives, that is treated as confidential by the disclosing Party or its Affiliates in the regular course of its business or is otherwise designated as confidential by the disclosing Party or its Affiliates, whether existing before or after the Effective Date, that is provided or supplied to the other Party or its Affiliates in connection with this Agreement or the Collaboration. For the avoidance of doubt, the terms of this Agreement will be deemed to be the Proprietary Information of both Parties.</w:t>
      </w:r>
    </w:p>
    <w:p>
      <w:pPr>
        <w:spacing w:after="0" w:line="97" w:lineRule="exact"/>
        <w:rPr>
          <w:sz w:val="20"/>
          <w:szCs w:val="20"/>
          <w:color w:val="auto"/>
        </w:rPr>
      </w:pPr>
    </w:p>
    <w:p>
      <w:pPr>
        <w:ind w:right="160" w:firstLine="87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Qualified Commercial Entity</w:t>
      </w:r>
      <w:r>
        <w:rPr>
          <w:rFonts w:ascii="Arial" w:cs="Arial" w:eastAsia="Arial" w:hAnsi="Arial"/>
          <w:sz w:val="19"/>
          <w:szCs w:val="19"/>
          <w:color w:val="auto"/>
        </w:rPr>
        <w:t>” means a company in the business of developing and commercializing pharmaceuticals that, together with its affiliates, during the most recently ended Calendar Year as of the date of a relevant assignment or sublicense as described in this Agreement, had aggregate pharmaceutical sales revenue in excess of [**] dollars (USD$[**]).</w:t>
      </w:r>
    </w:p>
    <w:p>
      <w:pPr>
        <w:spacing w:after="0" w:line="80" w:lineRule="exact"/>
        <w:rPr>
          <w:sz w:val="20"/>
          <w:szCs w:val="20"/>
          <w:color w:val="auto"/>
        </w:rPr>
      </w:pPr>
    </w:p>
    <w:p>
      <w:pPr>
        <w:ind w:right="220" w:firstLine="87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Regulatory Approval</w:t>
      </w:r>
      <w:r>
        <w:rPr>
          <w:rFonts w:ascii="Arial" w:cs="Arial" w:eastAsia="Arial" w:hAnsi="Arial"/>
          <w:sz w:val="22"/>
          <w:szCs w:val="22"/>
          <w:color w:val="auto"/>
        </w:rPr>
        <w:t xml:space="preserve">” means, with respect to a pharmaceutical product in any country or jurisdiction, any approval, registration, license or authorization from a Regulatory Authority in a country or other jurisdiction that is reasonably necessary to market and sell a pharmaceutical product or to provide a service in such country or jurisdiction (including, </w:t>
      </w:r>
      <w:r>
        <w:rPr>
          <w:rFonts w:ascii="Arial" w:cs="Arial" w:eastAsia="Arial" w:hAnsi="Arial"/>
          <w:sz w:val="22"/>
          <w:szCs w:val="22"/>
          <w:i w:val="1"/>
          <w:iCs w:val="1"/>
          <w:color w:val="auto"/>
        </w:rPr>
        <w:t>e.g.</w:t>
      </w:r>
      <w:r>
        <w:rPr>
          <w:rFonts w:ascii="Arial" w:cs="Arial" w:eastAsia="Arial" w:hAnsi="Arial"/>
          <w:sz w:val="22"/>
          <w:szCs w:val="22"/>
          <w:color w:val="auto"/>
        </w:rPr>
        <w:t>, any applicable pricing and reimbursement approvals).</w:t>
      </w:r>
    </w:p>
    <w:p>
      <w:pPr>
        <w:spacing w:after="0" w:line="131" w:lineRule="exact"/>
        <w:rPr>
          <w:sz w:val="20"/>
          <w:szCs w:val="20"/>
          <w:color w:val="auto"/>
        </w:rPr>
      </w:pPr>
    </w:p>
    <w:p>
      <w:pPr>
        <w:ind w:right="300" w:firstLine="877"/>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Regulatory Authority</w:t>
      </w:r>
      <w:r>
        <w:rPr>
          <w:rFonts w:ascii="Arial" w:cs="Arial" w:eastAsia="Arial" w:hAnsi="Arial"/>
          <w:sz w:val="21"/>
          <w:szCs w:val="21"/>
          <w:color w:val="auto"/>
        </w:rPr>
        <w:t>” means any Governmental Authority responsible for authorizing or approving the marketing and/or sale of pharmaceutical products or services in a jurisdiction (</w:t>
      </w:r>
      <w:r>
        <w:rPr>
          <w:rFonts w:ascii="Arial" w:cs="Arial" w:eastAsia="Arial" w:hAnsi="Arial"/>
          <w:sz w:val="21"/>
          <w:szCs w:val="21"/>
          <w:i w:val="1"/>
          <w:iCs w:val="1"/>
          <w:color w:val="auto"/>
        </w:rPr>
        <w:t>e.g.</w:t>
      </w:r>
      <w:r>
        <w:rPr>
          <w:rFonts w:ascii="Arial" w:cs="Arial" w:eastAsia="Arial" w:hAnsi="Arial"/>
          <w:sz w:val="21"/>
          <w:szCs w:val="21"/>
          <w:color w:val="auto"/>
        </w:rPr>
        <w:t>, the FDA, EMA, the Japanese Ministry of Health, Labor and Welfare, and corresponding national or regional regulatory agencies or organizations).</w:t>
      </w:r>
    </w:p>
    <w:p>
      <w:pPr>
        <w:spacing w:after="0" w:line="113" w:lineRule="exact"/>
        <w:rPr>
          <w:sz w:val="20"/>
          <w:szCs w:val="20"/>
          <w:color w:val="auto"/>
        </w:rPr>
      </w:pPr>
    </w:p>
    <w:p>
      <w:pPr>
        <w:ind w:right="260" w:firstLine="87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Regulatory Filing</w:t>
      </w:r>
      <w:r>
        <w:rPr>
          <w:rFonts w:ascii="Arial" w:cs="Arial" w:eastAsia="Arial" w:hAnsi="Arial"/>
          <w:sz w:val="22"/>
          <w:szCs w:val="22"/>
          <w:color w:val="auto"/>
        </w:rPr>
        <w:t>” means, with respect to any pharmaceutical product or service, any submission to a Regulatory Authority of any appropriate regulatory application, and will include, without limitation, any submission to a regulatory advisory board, marketing authorization application, and any supplement or amendment thereto.</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Researchers</w:t>
      </w:r>
      <w:r>
        <w:rPr>
          <w:rFonts w:ascii="Arial" w:cs="Arial" w:eastAsia="Arial" w:hAnsi="Arial"/>
          <w:sz w:val="22"/>
          <w:szCs w:val="22"/>
          <w:color w:val="auto"/>
        </w:rPr>
        <w:t>” has the meaning set forth in Section 7.1(f).</w:t>
      </w:r>
    </w:p>
    <w:p>
      <w:pPr>
        <w:spacing w:after="0" w:line="152" w:lineRule="exact"/>
        <w:rPr>
          <w:sz w:val="20"/>
          <w:szCs w:val="20"/>
          <w:color w:val="auto"/>
        </w:rPr>
      </w:pPr>
    </w:p>
    <w:p>
      <w:pPr>
        <w:jc w:val="both"/>
        <w:ind w:right="160" w:firstLine="87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Research Plans</w:t>
      </w:r>
      <w:r>
        <w:rPr>
          <w:rFonts w:ascii="Arial" w:cs="Arial" w:eastAsia="Arial" w:hAnsi="Arial"/>
          <w:sz w:val="22"/>
          <w:szCs w:val="22"/>
          <w:color w:val="auto"/>
        </w:rPr>
        <w:t>” means, collectively and without distinction, the written research and work plan for each of the various Programs.</w:t>
      </w:r>
    </w:p>
    <w:p>
      <w:pPr>
        <w:spacing w:after="0" w:line="119" w:lineRule="exact"/>
        <w:rPr>
          <w:sz w:val="20"/>
          <w:szCs w:val="20"/>
          <w:color w:val="auto"/>
        </w:rPr>
      </w:pPr>
    </w:p>
    <w:p>
      <w:pPr>
        <w:jc w:val="both"/>
        <w:ind w:right="140" w:firstLine="87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Research Purposes</w:t>
      </w:r>
      <w:r>
        <w:rPr>
          <w:rFonts w:ascii="Arial" w:cs="Arial" w:eastAsia="Arial" w:hAnsi="Arial"/>
          <w:sz w:val="22"/>
          <w:szCs w:val="22"/>
          <w:color w:val="auto"/>
        </w:rPr>
        <w:t>” means the Practice of Intellectual Property Rights in connection with the research and pre-clinical development of therapeutic, diagnostic, prophylactic, or palliative products, but will not include the right to Practice in connection with human clinical trials or Commercialization.</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Research Term</w:t>
      </w:r>
      <w:r>
        <w:rPr>
          <w:rFonts w:ascii="Arial" w:cs="Arial" w:eastAsia="Arial" w:hAnsi="Arial"/>
          <w:sz w:val="22"/>
          <w:szCs w:val="22"/>
          <w:color w:val="auto"/>
        </w:rPr>
        <w:t>” has the meaning set forth in Section 2.1.2.</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5" w:name="page76"/>
    <w:bookmarkEnd w:id="75"/>
    <w:p>
      <w:pPr>
        <w:ind w:left="9560"/>
        <w:spacing w:after="0"/>
        <w:rPr>
          <w:sz w:val="20"/>
          <w:szCs w:val="20"/>
          <w:color w:val="auto"/>
        </w:rPr>
      </w:pPr>
      <w:r>
        <w:rPr>
          <w:rFonts w:ascii="Arial" w:cs="Arial" w:eastAsia="Arial" w:hAnsi="Arial"/>
          <w:sz w:val="19"/>
          <w:szCs w:val="19"/>
          <w:color w:val="auto"/>
        </w:rPr>
        <w:t>EXECUTION COPY</w:t>
      </w:r>
    </w:p>
    <w:p>
      <w:pPr>
        <w:spacing w:after="0" w:line="268" w:lineRule="exact"/>
        <w:rPr>
          <w:sz w:val="20"/>
          <w:szCs w:val="20"/>
          <w:color w:val="auto"/>
        </w:rPr>
      </w:pPr>
    </w:p>
    <w:p>
      <w:pPr>
        <w:ind w:right="180" w:firstLine="87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Royalty Term</w:t>
      </w:r>
      <w:r>
        <w:rPr>
          <w:rFonts w:ascii="Arial" w:cs="Arial" w:eastAsia="Arial" w:hAnsi="Arial"/>
          <w:sz w:val="22"/>
          <w:szCs w:val="22"/>
          <w:color w:val="auto"/>
        </w:rPr>
        <w:t>” means, with respect to each Licensed Product, the period commencing on the First Commercial Sale of such Licensed Product in a specified jurisdiction until the later of</w:t>
      </w:r>
    </w:p>
    <w:p>
      <w:pPr>
        <w:spacing w:after="0" w:line="119" w:lineRule="exact"/>
        <w:rPr>
          <w:sz w:val="20"/>
          <w:szCs w:val="20"/>
          <w:color w:val="auto"/>
        </w:rPr>
      </w:pPr>
    </w:p>
    <w:p>
      <w:pPr>
        <w:ind w:left="880" w:right="640" w:firstLine="816"/>
        <w:spacing w:after="0"/>
        <w:tabs>
          <w:tab w:leader="none" w:pos="2590" w:val="left"/>
        </w:tabs>
        <w:numPr>
          <w:ilvl w:val="0"/>
          <w:numId w:val="58"/>
        </w:numPr>
        <w:rPr>
          <w:rFonts w:ascii="Arial" w:cs="Arial" w:eastAsia="Arial" w:hAnsi="Arial"/>
          <w:sz w:val="22"/>
          <w:szCs w:val="22"/>
          <w:b w:val="1"/>
          <w:bCs w:val="1"/>
          <w:color w:val="auto"/>
        </w:rPr>
      </w:pPr>
      <w:r>
        <w:rPr>
          <w:rFonts w:ascii="Arial" w:cs="Arial" w:eastAsia="Arial" w:hAnsi="Arial"/>
          <w:sz w:val="22"/>
          <w:szCs w:val="22"/>
          <w:color w:val="auto"/>
        </w:rPr>
        <w:t>the expiration of the last to expire Valid Claim of the Patent Rights included in the Exclusively Licensed Intellectual Property that, but for the licenses granted in this Agreement, would be infringed by the Commercialization of such Licensed Product in such jurisdiction; or</w:t>
      </w:r>
    </w:p>
    <w:p>
      <w:pPr>
        <w:spacing w:after="0" w:line="132" w:lineRule="exact"/>
        <w:rPr>
          <w:rFonts w:ascii="Arial" w:cs="Arial" w:eastAsia="Arial" w:hAnsi="Arial"/>
          <w:sz w:val="22"/>
          <w:szCs w:val="22"/>
          <w:b w:val="1"/>
          <w:bCs w:val="1"/>
          <w:color w:val="auto"/>
        </w:rPr>
      </w:pPr>
    </w:p>
    <w:p>
      <w:pPr>
        <w:ind w:left="2600" w:hanging="904"/>
        <w:spacing w:after="0"/>
        <w:tabs>
          <w:tab w:leader="none" w:pos="2600" w:val="left"/>
        </w:tabs>
        <w:numPr>
          <w:ilvl w:val="0"/>
          <w:numId w:val="58"/>
        </w:numPr>
        <w:rPr>
          <w:rFonts w:ascii="Arial" w:cs="Arial" w:eastAsia="Arial" w:hAnsi="Arial"/>
          <w:sz w:val="22"/>
          <w:szCs w:val="22"/>
          <w:b w:val="1"/>
          <w:bCs w:val="1"/>
          <w:color w:val="auto"/>
        </w:rPr>
      </w:pPr>
      <w:r>
        <w:rPr>
          <w:rFonts w:ascii="Arial" w:cs="Arial" w:eastAsia="Arial" w:hAnsi="Arial"/>
          <w:sz w:val="22"/>
          <w:szCs w:val="22"/>
          <w:color w:val="auto"/>
        </w:rPr>
        <w:t>ten years from the First Commercial Sale of such Licensed Product in such jurisdiction.</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For the avoidance of doubt, the length of the Royalty Term will be determined on a jurisdiction-by-jurisdiction basis.</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Sales &amp; Royalty Report</w:t>
      </w:r>
      <w:r>
        <w:rPr>
          <w:rFonts w:ascii="Arial" w:cs="Arial" w:eastAsia="Arial" w:hAnsi="Arial"/>
          <w:sz w:val="22"/>
          <w:szCs w:val="22"/>
          <w:color w:val="auto"/>
        </w:rPr>
        <w:t>” means a written report or reports showing each of:</w:t>
      </w:r>
    </w:p>
    <w:p>
      <w:pPr>
        <w:spacing w:after="0" w:line="152" w:lineRule="exact"/>
        <w:rPr>
          <w:sz w:val="20"/>
          <w:szCs w:val="20"/>
          <w:color w:val="auto"/>
        </w:rPr>
      </w:pPr>
    </w:p>
    <w:p>
      <w:pPr>
        <w:ind w:left="880" w:right="520" w:firstLine="816"/>
        <w:spacing w:after="0" w:line="251" w:lineRule="auto"/>
        <w:tabs>
          <w:tab w:leader="none" w:pos="2590" w:val="left"/>
        </w:tabs>
        <w:numPr>
          <w:ilvl w:val="0"/>
          <w:numId w:val="59"/>
        </w:numPr>
        <w:rPr>
          <w:rFonts w:ascii="Arial" w:cs="Arial" w:eastAsia="Arial" w:hAnsi="Arial"/>
          <w:sz w:val="22"/>
          <w:szCs w:val="22"/>
          <w:b w:val="1"/>
          <w:bCs w:val="1"/>
          <w:color w:val="auto"/>
        </w:rPr>
      </w:pPr>
      <w:r>
        <w:rPr>
          <w:rFonts w:ascii="Arial" w:cs="Arial" w:eastAsia="Arial" w:hAnsi="Arial"/>
          <w:sz w:val="22"/>
          <w:szCs w:val="22"/>
          <w:color w:val="auto"/>
        </w:rPr>
        <w:t>Net Sales, on a jurisdiction-by-jurisdiction basis, during the reporting period by Novartis and its Affiliates and sublicensees; and</w:t>
      </w:r>
    </w:p>
    <w:p>
      <w:pPr>
        <w:spacing w:after="0" w:line="119" w:lineRule="exact"/>
        <w:rPr>
          <w:rFonts w:ascii="Arial" w:cs="Arial" w:eastAsia="Arial" w:hAnsi="Arial"/>
          <w:sz w:val="22"/>
          <w:szCs w:val="22"/>
          <w:b w:val="1"/>
          <w:bCs w:val="1"/>
          <w:color w:val="auto"/>
        </w:rPr>
      </w:pPr>
    </w:p>
    <w:p>
      <w:pPr>
        <w:ind w:left="2600" w:hanging="904"/>
        <w:spacing w:after="0"/>
        <w:tabs>
          <w:tab w:leader="none" w:pos="2600" w:val="left"/>
        </w:tabs>
        <w:numPr>
          <w:ilvl w:val="0"/>
          <w:numId w:val="59"/>
        </w:numPr>
        <w:rPr>
          <w:rFonts w:ascii="Arial" w:cs="Arial" w:eastAsia="Arial" w:hAnsi="Arial"/>
          <w:sz w:val="19"/>
          <w:szCs w:val="19"/>
          <w:b w:val="1"/>
          <w:bCs w:val="1"/>
          <w:color w:val="auto"/>
        </w:rPr>
      </w:pPr>
      <w:r>
        <w:rPr>
          <w:rFonts w:ascii="Arial" w:cs="Arial" w:eastAsia="Arial" w:hAnsi="Arial"/>
          <w:sz w:val="19"/>
          <w:szCs w:val="19"/>
          <w:color w:val="auto"/>
        </w:rPr>
        <w:t>the royalties payable, in United States Dollars, which will have accrued hereunder with respect to</w:t>
      </w:r>
    </w:p>
    <w:p>
      <w:pPr>
        <w:spacing w:after="0" w:line="42" w:lineRule="exact"/>
        <w:rPr>
          <w:rFonts w:ascii="Arial" w:cs="Arial" w:eastAsia="Arial" w:hAnsi="Arial"/>
          <w:sz w:val="19"/>
          <w:szCs w:val="19"/>
          <w:b w:val="1"/>
          <w:bCs w:val="1"/>
          <w:color w:val="auto"/>
        </w:rPr>
      </w:pPr>
    </w:p>
    <w:p>
      <w:pPr>
        <w:ind w:left="880"/>
        <w:spacing w:after="0"/>
        <w:rPr>
          <w:rFonts w:ascii="Arial" w:cs="Arial" w:eastAsia="Arial" w:hAnsi="Arial"/>
          <w:sz w:val="19"/>
          <w:szCs w:val="19"/>
          <w:b w:val="1"/>
          <w:bCs w:val="1"/>
          <w:color w:val="auto"/>
        </w:rPr>
      </w:pPr>
      <w:r>
        <w:rPr>
          <w:rFonts w:ascii="Arial" w:cs="Arial" w:eastAsia="Arial" w:hAnsi="Arial"/>
          <w:sz w:val="22"/>
          <w:szCs w:val="22"/>
          <w:color w:val="auto"/>
        </w:rPr>
        <w:t>such Net Sales.</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Sales Milestone</w:t>
      </w:r>
      <w:r>
        <w:rPr>
          <w:rFonts w:ascii="Arial" w:cs="Arial" w:eastAsia="Arial" w:hAnsi="Arial"/>
          <w:sz w:val="22"/>
          <w:szCs w:val="22"/>
          <w:color w:val="auto"/>
        </w:rPr>
        <w:t>” has the meaning set forth in Section 5.5.1.</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Sales Milestone Payment</w:t>
      </w:r>
      <w:r>
        <w:rPr>
          <w:rFonts w:ascii="Arial" w:cs="Arial" w:eastAsia="Arial" w:hAnsi="Arial"/>
          <w:sz w:val="22"/>
          <w:szCs w:val="22"/>
          <w:color w:val="auto"/>
        </w:rPr>
        <w:t>” has the meaning set forth in Section 5.5.1.</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Secretary</w:t>
      </w:r>
      <w:r>
        <w:rPr>
          <w:rFonts w:ascii="Arial" w:cs="Arial" w:eastAsia="Arial" w:hAnsi="Arial"/>
          <w:sz w:val="22"/>
          <w:szCs w:val="22"/>
          <w:color w:val="auto"/>
        </w:rPr>
        <w:t>” has the meaning set forth in Section 2.2.4.</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Senior Officers</w:t>
      </w:r>
      <w:r>
        <w:rPr>
          <w:rFonts w:ascii="Arial" w:cs="Arial" w:eastAsia="Arial" w:hAnsi="Arial"/>
          <w:sz w:val="19"/>
          <w:szCs w:val="19"/>
          <w:color w:val="auto"/>
        </w:rPr>
        <w:t>” means the Chief Executive Officer of Cerulean and the President, Novartis Institutes of Biomedical</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Research.</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Specific NDC Product Tech Transfer</w:t>
      </w:r>
      <w:r>
        <w:rPr>
          <w:rFonts w:ascii="Arial" w:cs="Arial" w:eastAsia="Arial" w:hAnsi="Arial"/>
          <w:sz w:val="22"/>
          <w:szCs w:val="22"/>
          <w:color w:val="auto"/>
        </w:rPr>
        <w:t>” has the meaning set forth in Section 2.6.1.</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Technology Transfer</w:t>
      </w:r>
      <w:r>
        <w:rPr>
          <w:rFonts w:ascii="Arial" w:cs="Arial" w:eastAsia="Arial" w:hAnsi="Arial"/>
          <w:sz w:val="22"/>
          <w:szCs w:val="22"/>
          <w:color w:val="auto"/>
        </w:rPr>
        <w:t>” has the meaning set forth in Section 2.6.1.</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Third Party</w:t>
      </w:r>
      <w:r>
        <w:rPr>
          <w:rFonts w:ascii="Arial" w:cs="Arial" w:eastAsia="Arial" w:hAnsi="Arial"/>
          <w:sz w:val="22"/>
          <w:szCs w:val="22"/>
          <w:color w:val="auto"/>
        </w:rPr>
        <w:t>” means any Person other than Cerulean or Novartis and their respective Affiliates.</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Third Party Infringement</w:t>
      </w:r>
      <w:r>
        <w:rPr>
          <w:rFonts w:ascii="Arial" w:cs="Arial" w:eastAsia="Arial" w:hAnsi="Arial"/>
          <w:sz w:val="22"/>
          <w:szCs w:val="22"/>
          <w:color w:val="auto"/>
        </w:rPr>
        <w:t>” has the meaning set forth in Section 3.3.2.</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Valid Claim</w:t>
      </w:r>
      <w:r>
        <w:rPr>
          <w:rFonts w:ascii="Arial" w:cs="Arial" w:eastAsia="Arial" w:hAnsi="Arial"/>
          <w:sz w:val="22"/>
          <w:szCs w:val="22"/>
          <w:color w:val="auto"/>
        </w:rPr>
        <w:t>” means a</w:t>
      </w:r>
    </w:p>
    <w:p>
      <w:pPr>
        <w:spacing w:after="0" w:line="152" w:lineRule="exact"/>
        <w:rPr>
          <w:sz w:val="20"/>
          <w:szCs w:val="20"/>
          <w:color w:val="auto"/>
        </w:rPr>
      </w:pPr>
    </w:p>
    <w:p>
      <w:pPr>
        <w:ind w:left="880" w:right="40" w:firstLine="816"/>
        <w:spacing w:after="0" w:line="251" w:lineRule="auto"/>
        <w:tabs>
          <w:tab w:leader="none" w:pos="2590" w:val="left"/>
        </w:tabs>
        <w:numPr>
          <w:ilvl w:val="0"/>
          <w:numId w:val="60"/>
        </w:numPr>
        <w:rPr>
          <w:rFonts w:ascii="Arial" w:cs="Arial" w:eastAsia="Arial" w:hAnsi="Arial"/>
          <w:sz w:val="22"/>
          <w:szCs w:val="22"/>
          <w:b w:val="1"/>
          <w:bCs w:val="1"/>
          <w:color w:val="auto"/>
        </w:rPr>
      </w:pPr>
      <w:r>
        <w:rPr>
          <w:rFonts w:ascii="Arial" w:cs="Arial" w:eastAsia="Arial" w:hAnsi="Arial"/>
          <w:sz w:val="22"/>
          <w:szCs w:val="22"/>
          <w:color w:val="auto"/>
        </w:rPr>
        <w:t>claim of an issued and unexpired Patent included within the Collaboration Intellectual Property or the Cerulean Background Intellectual Property that (in either case)</w:t>
      </w:r>
    </w:p>
    <w:p>
      <w:pPr>
        <w:spacing w:after="0" w:line="119" w:lineRule="exact"/>
        <w:rPr>
          <w:rFonts w:ascii="Arial" w:cs="Arial" w:eastAsia="Arial" w:hAnsi="Arial"/>
          <w:sz w:val="22"/>
          <w:szCs w:val="22"/>
          <w:b w:val="1"/>
          <w:bCs w:val="1"/>
          <w:color w:val="auto"/>
        </w:rPr>
      </w:pPr>
    </w:p>
    <w:p>
      <w:pPr>
        <w:ind w:left="3360" w:hanging="854"/>
        <w:spacing w:after="0"/>
        <w:tabs>
          <w:tab w:leader="none" w:pos="3360" w:val="left"/>
        </w:tabs>
        <w:numPr>
          <w:ilvl w:val="1"/>
          <w:numId w:val="60"/>
        </w:numPr>
        <w:rPr>
          <w:rFonts w:ascii="Arial" w:cs="Arial" w:eastAsia="Arial" w:hAnsi="Arial"/>
          <w:sz w:val="22"/>
          <w:szCs w:val="22"/>
          <w:b w:val="1"/>
          <w:bCs w:val="1"/>
          <w:color w:val="auto"/>
        </w:rPr>
      </w:pPr>
      <w:r>
        <w:rPr>
          <w:rFonts w:ascii="Arial" w:cs="Arial" w:eastAsia="Arial" w:hAnsi="Arial"/>
          <w:sz w:val="22"/>
          <w:szCs w:val="22"/>
          <w:color w:val="auto"/>
        </w:rPr>
        <w:t>covers the Practice of the relevant Licensed Product in the relevant jurisdiction;</w:t>
      </w:r>
    </w:p>
    <w:p>
      <w:pPr>
        <w:spacing w:after="0" w:line="152" w:lineRule="exact"/>
        <w:rPr>
          <w:rFonts w:ascii="Arial" w:cs="Arial" w:eastAsia="Arial" w:hAnsi="Arial"/>
          <w:sz w:val="22"/>
          <w:szCs w:val="22"/>
          <w:b w:val="1"/>
          <w:bCs w:val="1"/>
          <w:color w:val="auto"/>
        </w:rPr>
      </w:pPr>
    </w:p>
    <w:p>
      <w:pPr>
        <w:ind w:left="1760" w:right="420" w:firstLine="746"/>
        <w:spacing w:after="0"/>
        <w:tabs>
          <w:tab w:leader="none" w:pos="3469" w:val="left"/>
        </w:tabs>
        <w:numPr>
          <w:ilvl w:val="1"/>
          <w:numId w:val="60"/>
        </w:numPr>
        <w:rPr>
          <w:rFonts w:ascii="Arial" w:cs="Arial" w:eastAsia="Arial" w:hAnsi="Arial"/>
          <w:sz w:val="22"/>
          <w:szCs w:val="22"/>
          <w:b w:val="1"/>
          <w:bCs w:val="1"/>
          <w:color w:val="auto"/>
        </w:rPr>
      </w:pPr>
      <w:r>
        <w:rPr>
          <w:rFonts w:ascii="Arial" w:cs="Arial" w:eastAsia="Arial" w:hAnsi="Arial"/>
          <w:sz w:val="22"/>
          <w:szCs w:val="22"/>
          <w:color w:val="auto"/>
        </w:rPr>
        <w:t>has not been irrevocably or unappealably disclaimed or abandoned, or been held unenforceable, unpatentable or invalid by a decision of a court or other governmental agency of competent jurisdiction; and</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6" w:name="page77"/>
    <w:bookmarkEnd w:id="76"/>
    <w:p>
      <w:pPr>
        <w:ind w:left="9560"/>
        <w:spacing w:after="0"/>
        <w:rPr>
          <w:sz w:val="20"/>
          <w:szCs w:val="20"/>
          <w:color w:val="auto"/>
        </w:rPr>
      </w:pPr>
      <w:r>
        <w:rPr>
          <w:rFonts w:ascii="Arial" w:cs="Arial" w:eastAsia="Arial" w:hAnsi="Arial"/>
          <w:sz w:val="19"/>
          <w:szCs w:val="19"/>
          <w:color w:val="auto"/>
        </w:rPr>
        <w:t>EXECUTION COPY</w:t>
      </w:r>
    </w:p>
    <w:p>
      <w:pPr>
        <w:spacing w:after="0" w:line="268" w:lineRule="exact"/>
        <w:rPr>
          <w:sz w:val="20"/>
          <w:szCs w:val="20"/>
          <w:color w:val="auto"/>
        </w:rPr>
      </w:pPr>
    </w:p>
    <w:p>
      <w:pPr>
        <w:ind w:left="3540" w:hanging="1034"/>
        <w:spacing w:after="0"/>
        <w:tabs>
          <w:tab w:leader="none" w:pos="3540" w:val="left"/>
        </w:tabs>
        <w:numPr>
          <w:ilvl w:val="1"/>
          <w:numId w:val="61"/>
        </w:numPr>
        <w:rPr>
          <w:rFonts w:ascii="Arial" w:cs="Arial" w:eastAsia="Arial" w:hAnsi="Arial"/>
          <w:sz w:val="21"/>
          <w:szCs w:val="21"/>
          <w:b w:val="1"/>
          <w:bCs w:val="1"/>
          <w:color w:val="auto"/>
        </w:rPr>
      </w:pPr>
      <w:r>
        <w:rPr>
          <w:rFonts w:ascii="Arial" w:cs="Arial" w:eastAsia="Arial" w:hAnsi="Arial"/>
          <w:sz w:val="21"/>
          <w:szCs w:val="21"/>
          <w:color w:val="auto"/>
        </w:rPr>
        <w:t>has not been admitted to be invalid or unenforceable through reissue, disclaimer, or</w:t>
      </w:r>
    </w:p>
    <w:p>
      <w:pPr>
        <w:spacing w:after="0" w:line="19" w:lineRule="exact"/>
        <w:rPr>
          <w:rFonts w:ascii="Arial" w:cs="Arial" w:eastAsia="Arial" w:hAnsi="Arial"/>
          <w:sz w:val="21"/>
          <w:szCs w:val="21"/>
          <w:b w:val="1"/>
          <w:bCs w:val="1"/>
          <w:color w:val="auto"/>
        </w:rPr>
      </w:pPr>
    </w:p>
    <w:p>
      <w:pPr>
        <w:ind w:left="1760"/>
        <w:spacing w:after="0"/>
        <w:rPr>
          <w:rFonts w:ascii="Arial" w:cs="Arial" w:eastAsia="Arial" w:hAnsi="Arial"/>
          <w:sz w:val="21"/>
          <w:szCs w:val="21"/>
          <w:b w:val="1"/>
          <w:bCs w:val="1"/>
          <w:color w:val="auto"/>
        </w:rPr>
      </w:pPr>
      <w:r>
        <w:rPr>
          <w:rFonts w:ascii="Arial" w:cs="Arial" w:eastAsia="Arial" w:hAnsi="Arial"/>
          <w:sz w:val="22"/>
          <w:szCs w:val="22"/>
          <w:color w:val="auto"/>
        </w:rPr>
        <w:t>otherwise; or</w:t>
      </w:r>
    </w:p>
    <w:p>
      <w:pPr>
        <w:spacing w:after="0" w:line="134" w:lineRule="exact"/>
        <w:rPr>
          <w:rFonts w:ascii="Arial" w:cs="Arial" w:eastAsia="Arial" w:hAnsi="Arial"/>
          <w:sz w:val="21"/>
          <w:szCs w:val="21"/>
          <w:b w:val="1"/>
          <w:bCs w:val="1"/>
          <w:color w:val="auto"/>
        </w:rPr>
      </w:pPr>
    </w:p>
    <w:p>
      <w:pPr>
        <w:ind w:left="2660" w:hanging="964"/>
        <w:spacing w:after="0"/>
        <w:tabs>
          <w:tab w:leader="none" w:pos="2660" w:val="left"/>
        </w:tabs>
        <w:numPr>
          <w:ilvl w:val="0"/>
          <w:numId w:val="62"/>
        </w:numPr>
        <w:rPr>
          <w:rFonts w:ascii="Arial" w:cs="Arial" w:eastAsia="Arial" w:hAnsi="Arial"/>
          <w:sz w:val="22"/>
          <w:szCs w:val="22"/>
          <w:b w:val="1"/>
          <w:bCs w:val="1"/>
          <w:color w:val="auto"/>
        </w:rPr>
      </w:pPr>
      <w:r>
        <w:rPr>
          <w:rFonts w:ascii="Arial" w:cs="Arial" w:eastAsia="Arial" w:hAnsi="Arial"/>
          <w:sz w:val="22"/>
          <w:szCs w:val="22"/>
          <w:color w:val="auto"/>
        </w:rPr>
        <w:t>a claim included in a patent application that</w:t>
      </w:r>
    </w:p>
    <w:p>
      <w:pPr>
        <w:spacing w:after="0" w:line="152" w:lineRule="exact"/>
        <w:rPr>
          <w:rFonts w:ascii="Arial" w:cs="Arial" w:eastAsia="Arial" w:hAnsi="Arial"/>
          <w:sz w:val="22"/>
          <w:szCs w:val="22"/>
          <w:b w:val="1"/>
          <w:bCs w:val="1"/>
          <w:color w:val="auto"/>
        </w:rPr>
      </w:pPr>
    </w:p>
    <w:p>
      <w:pPr>
        <w:ind w:left="1760" w:right="20" w:firstLine="746"/>
        <w:spacing w:after="0" w:line="251" w:lineRule="auto"/>
        <w:tabs>
          <w:tab w:leader="none" w:pos="3355" w:val="left"/>
        </w:tabs>
        <w:numPr>
          <w:ilvl w:val="1"/>
          <w:numId w:val="62"/>
        </w:numPr>
        <w:rPr>
          <w:rFonts w:ascii="Arial" w:cs="Arial" w:eastAsia="Arial" w:hAnsi="Arial"/>
          <w:sz w:val="22"/>
          <w:szCs w:val="22"/>
          <w:b w:val="1"/>
          <w:bCs w:val="1"/>
          <w:color w:val="auto"/>
        </w:rPr>
      </w:pPr>
      <w:r>
        <w:rPr>
          <w:rFonts w:ascii="Arial" w:cs="Arial" w:eastAsia="Arial" w:hAnsi="Arial"/>
          <w:sz w:val="22"/>
          <w:szCs w:val="22"/>
          <w:color w:val="auto"/>
        </w:rPr>
        <w:t>would cover the practices of the relevant Licensed Product in the relevant jurisdiction if such claim was to issue; and</w:t>
      </w:r>
    </w:p>
    <w:p>
      <w:pPr>
        <w:spacing w:after="0" w:line="119" w:lineRule="exact"/>
        <w:rPr>
          <w:sz w:val="20"/>
          <w:szCs w:val="20"/>
          <w:color w:val="auto"/>
        </w:rPr>
      </w:pPr>
    </w:p>
    <w:p>
      <w:pPr>
        <w:ind w:left="1760" w:right="40" w:firstLine="746"/>
        <w:spacing w:after="0" w:line="251" w:lineRule="auto"/>
        <w:tabs>
          <w:tab w:leader="none" w:pos="3415" w:val="left"/>
        </w:tabs>
        <w:numPr>
          <w:ilvl w:val="0"/>
          <w:numId w:val="63"/>
        </w:numPr>
        <w:rPr>
          <w:rFonts w:ascii="Arial" w:cs="Arial" w:eastAsia="Arial" w:hAnsi="Arial"/>
          <w:sz w:val="22"/>
          <w:szCs w:val="22"/>
          <w:b w:val="1"/>
          <w:bCs w:val="1"/>
          <w:color w:val="auto"/>
        </w:rPr>
      </w:pPr>
      <w:r>
        <w:rPr>
          <w:rFonts w:ascii="Arial" w:cs="Arial" w:eastAsia="Arial" w:hAnsi="Arial"/>
          <w:sz w:val="22"/>
          <w:szCs w:val="22"/>
          <w:color w:val="auto"/>
        </w:rPr>
        <w:t>has not been cancelled, withdrawn or abandoned, nor been pending for more than [**] years from the earliest filing date to which such patent application or claim is entitled.</w:t>
      </w:r>
    </w:p>
    <w:p>
      <w:pPr>
        <w:spacing w:after="0" w:line="113" w:lineRule="exact"/>
        <w:rPr>
          <w:sz w:val="20"/>
          <w:szCs w:val="20"/>
          <w:color w:val="auto"/>
        </w:rPr>
      </w:pPr>
    </w:p>
    <w:p>
      <w:pPr>
        <w:spacing w:after="0"/>
        <w:tabs>
          <w:tab w:leader="none" w:pos="1640" w:val="left"/>
        </w:tabs>
        <w:rPr>
          <w:sz w:val="20"/>
          <w:szCs w:val="20"/>
          <w:color w:val="auto"/>
        </w:rPr>
      </w:pPr>
      <w:r>
        <w:rPr>
          <w:rFonts w:ascii="Arial" w:cs="Arial" w:eastAsia="Arial" w:hAnsi="Arial"/>
          <w:sz w:val="22"/>
          <w:szCs w:val="22"/>
          <w:b w:val="1"/>
          <w:bCs w:val="1"/>
          <w:color w:val="auto"/>
        </w:rPr>
        <w:t>Section 1.2</w:t>
      </w:r>
      <w:r>
        <w:rPr>
          <w:sz w:val="20"/>
          <w:szCs w:val="20"/>
          <w:color w:val="auto"/>
        </w:rPr>
        <w:tab/>
      </w:r>
      <w:r>
        <w:rPr>
          <w:rFonts w:ascii="Arial" w:cs="Arial" w:eastAsia="Arial" w:hAnsi="Arial"/>
          <w:sz w:val="19"/>
          <w:szCs w:val="19"/>
          <w:b w:val="1"/>
          <w:bCs w:val="1"/>
          <w:color w:val="auto"/>
        </w:rPr>
        <w:t>Rules of Interpretation.</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In this Agreement, unless otherwise specified:</w:t>
      </w:r>
    </w:p>
    <w:p>
      <w:pPr>
        <w:spacing w:after="0" w:line="152" w:lineRule="exact"/>
        <w:rPr>
          <w:sz w:val="20"/>
          <w:szCs w:val="20"/>
          <w:color w:val="auto"/>
        </w:rPr>
      </w:pPr>
    </w:p>
    <w:p>
      <w:pPr>
        <w:ind w:left="2600" w:hanging="904"/>
        <w:spacing w:after="0"/>
        <w:tabs>
          <w:tab w:leader="none" w:pos="2600" w:val="left"/>
        </w:tabs>
        <w:numPr>
          <w:ilvl w:val="0"/>
          <w:numId w:val="64"/>
        </w:numPr>
        <w:rPr>
          <w:rFonts w:ascii="Arial" w:cs="Arial" w:eastAsia="Arial" w:hAnsi="Arial"/>
          <w:sz w:val="22"/>
          <w:szCs w:val="22"/>
          <w:b w:val="1"/>
          <w:bCs w:val="1"/>
          <w:color w:val="auto"/>
        </w:rPr>
      </w:pPr>
      <w:r>
        <w:rPr>
          <w:rFonts w:ascii="Arial" w:cs="Arial" w:eastAsia="Arial" w:hAnsi="Arial"/>
          <w:sz w:val="22"/>
          <w:szCs w:val="22"/>
          <w:color w:val="auto"/>
        </w:rPr>
        <w:t>“includes” and “including” will mean including without limitation, and “or” will mean “and/or”;</w:t>
      </w:r>
    </w:p>
    <w:p>
      <w:pPr>
        <w:spacing w:after="0" w:line="152" w:lineRule="exact"/>
        <w:rPr>
          <w:rFonts w:ascii="Arial" w:cs="Arial" w:eastAsia="Arial" w:hAnsi="Arial"/>
          <w:sz w:val="22"/>
          <w:szCs w:val="22"/>
          <w:b w:val="1"/>
          <w:bCs w:val="1"/>
          <w:color w:val="auto"/>
        </w:rPr>
      </w:pPr>
    </w:p>
    <w:p>
      <w:pPr>
        <w:ind w:left="880" w:right="160" w:firstLine="816"/>
        <w:spacing w:after="0" w:line="251" w:lineRule="auto"/>
        <w:tabs>
          <w:tab w:leader="none" w:pos="2602" w:val="left"/>
        </w:tabs>
        <w:numPr>
          <w:ilvl w:val="0"/>
          <w:numId w:val="64"/>
        </w:numPr>
        <w:rPr>
          <w:rFonts w:ascii="Arial" w:cs="Arial" w:eastAsia="Arial" w:hAnsi="Arial"/>
          <w:sz w:val="22"/>
          <w:szCs w:val="22"/>
          <w:b w:val="1"/>
          <w:bCs w:val="1"/>
          <w:color w:val="auto"/>
        </w:rPr>
      </w:pPr>
      <w:r>
        <w:rPr>
          <w:rFonts w:ascii="Arial" w:cs="Arial" w:eastAsia="Arial" w:hAnsi="Arial"/>
          <w:sz w:val="22"/>
          <w:szCs w:val="22"/>
          <w:color w:val="auto"/>
        </w:rPr>
        <w:t>a reference to an Article of this Agreement includes all Sections in such Article, and a reference to a Section of this Agreement includes all subsections of that Section;</w:t>
      </w:r>
    </w:p>
    <w:p>
      <w:pPr>
        <w:spacing w:after="0" w:line="119" w:lineRule="exact"/>
        <w:rPr>
          <w:rFonts w:ascii="Arial" w:cs="Arial" w:eastAsia="Arial" w:hAnsi="Arial"/>
          <w:sz w:val="22"/>
          <w:szCs w:val="22"/>
          <w:b w:val="1"/>
          <w:bCs w:val="1"/>
          <w:color w:val="auto"/>
        </w:rPr>
      </w:pPr>
    </w:p>
    <w:p>
      <w:pPr>
        <w:ind w:left="880" w:right="260" w:firstLine="816"/>
        <w:spacing w:after="0" w:line="274" w:lineRule="auto"/>
        <w:tabs>
          <w:tab w:leader="none" w:pos="2578" w:val="left"/>
        </w:tabs>
        <w:numPr>
          <w:ilvl w:val="0"/>
          <w:numId w:val="64"/>
        </w:numPr>
        <w:rPr>
          <w:rFonts w:ascii="Arial" w:cs="Arial" w:eastAsia="Arial" w:hAnsi="Arial"/>
          <w:sz w:val="21"/>
          <w:szCs w:val="21"/>
          <w:b w:val="1"/>
          <w:bCs w:val="1"/>
          <w:color w:val="auto"/>
        </w:rPr>
      </w:pPr>
      <w:r>
        <w:rPr>
          <w:rFonts w:ascii="Arial" w:cs="Arial" w:eastAsia="Arial" w:hAnsi="Arial"/>
          <w:sz w:val="21"/>
          <w:szCs w:val="21"/>
          <w:color w:val="auto"/>
        </w:rPr>
        <w:t>“herein,” “hereby,” “hereunder,” “hereof” and other equivalent words refer to this Agreement as an entirety and not solely to the particular portion of this Agreement in which any such word is used;</w:t>
      </w:r>
    </w:p>
    <w:p>
      <w:pPr>
        <w:spacing w:after="0" w:line="96" w:lineRule="exact"/>
        <w:rPr>
          <w:rFonts w:ascii="Arial" w:cs="Arial" w:eastAsia="Arial" w:hAnsi="Arial"/>
          <w:sz w:val="21"/>
          <w:szCs w:val="21"/>
          <w:b w:val="1"/>
          <w:bCs w:val="1"/>
          <w:color w:val="auto"/>
        </w:rPr>
      </w:pPr>
    </w:p>
    <w:p>
      <w:pPr>
        <w:ind w:left="880" w:right="120" w:firstLine="816"/>
        <w:spacing w:after="0" w:line="251" w:lineRule="auto"/>
        <w:tabs>
          <w:tab w:leader="none" w:pos="2602" w:val="left"/>
        </w:tabs>
        <w:numPr>
          <w:ilvl w:val="0"/>
          <w:numId w:val="64"/>
        </w:numPr>
        <w:rPr>
          <w:rFonts w:ascii="Arial" w:cs="Arial" w:eastAsia="Arial" w:hAnsi="Arial"/>
          <w:sz w:val="22"/>
          <w:szCs w:val="22"/>
          <w:b w:val="1"/>
          <w:bCs w:val="1"/>
          <w:color w:val="auto"/>
        </w:rPr>
      </w:pPr>
      <w:r>
        <w:rPr>
          <w:rFonts w:ascii="Arial" w:cs="Arial" w:eastAsia="Arial" w:hAnsi="Arial"/>
          <w:sz w:val="22"/>
          <w:szCs w:val="22"/>
          <w:color w:val="auto"/>
        </w:rPr>
        <w:t>a “Party” includes its permitted assignees and/or the respective successors in title to substantially the whole of its undertaking;</w:t>
      </w:r>
    </w:p>
    <w:p>
      <w:pPr>
        <w:spacing w:after="0" w:line="119" w:lineRule="exact"/>
        <w:rPr>
          <w:rFonts w:ascii="Arial" w:cs="Arial" w:eastAsia="Arial" w:hAnsi="Arial"/>
          <w:sz w:val="22"/>
          <w:szCs w:val="22"/>
          <w:b w:val="1"/>
          <w:bCs w:val="1"/>
          <w:color w:val="auto"/>
        </w:rPr>
      </w:pPr>
    </w:p>
    <w:p>
      <w:pPr>
        <w:ind w:left="880" w:right="440" w:firstLine="816"/>
        <w:spacing w:after="0"/>
        <w:tabs>
          <w:tab w:leader="none" w:pos="2578" w:val="left"/>
        </w:tabs>
        <w:numPr>
          <w:ilvl w:val="0"/>
          <w:numId w:val="64"/>
        </w:numPr>
        <w:rPr>
          <w:rFonts w:ascii="Arial" w:cs="Arial" w:eastAsia="Arial" w:hAnsi="Arial"/>
          <w:sz w:val="22"/>
          <w:szCs w:val="22"/>
          <w:b w:val="1"/>
          <w:bCs w:val="1"/>
          <w:color w:val="auto"/>
        </w:rPr>
      </w:pPr>
      <w:r>
        <w:rPr>
          <w:rFonts w:ascii="Arial" w:cs="Arial" w:eastAsia="Arial" w:hAnsi="Arial"/>
          <w:sz w:val="22"/>
          <w:szCs w:val="22"/>
          <w:color w:val="auto"/>
        </w:rPr>
        <w:t>a statute or statutory instrument or any of their provisions is to be construed as a reference to that statute or statutory instrument or provision as the same may be amended or re-enacted from time to time after the Effective Date;</w:t>
      </w:r>
    </w:p>
    <w:p>
      <w:pPr>
        <w:spacing w:after="0" w:line="132" w:lineRule="exact"/>
        <w:rPr>
          <w:rFonts w:ascii="Arial" w:cs="Arial" w:eastAsia="Arial" w:hAnsi="Arial"/>
          <w:sz w:val="22"/>
          <w:szCs w:val="22"/>
          <w:b w:val="1"/>
          <w:bCs w:val="1"/>
          <w:color w:val="auto"/>
        </w:rPr>
      </w:pPr>
    </w:p>
    <w:p>
      <w:pPr>
        <w:ind w:left="880" w:right="60" w:firstLine="816"/>
        <w:spacing w:after="0" w:line="251" w:lineRule="auto"/>
        <w:tabs>
          <w:tab w:leader="none" w:pos="2554" w:val="left"/>
        </w:tabs>
        <w:numPr>
          <w:ilvl w:val="0"/>
          <w:numId w:val="64"/>
        </w:numPr>
        <w:rPr>
          <w:rFonts w:ascii="Arial" w:cs="Arial" w:eastAsia="Arial" w:hAnsi="Arial"/>
          <w:sz w:val="22"/>
          <w:szCs w:val="22"/>
          <w:b w:val="1"/>
          <w:bCs w:val="1"/>
          <w:color w:val="auto"/>
        </w:rPr>
      </w:pPr>
      <w:r>
        <w:rPr>
          <w:rFonts w:ascii="Arial" w:cs="Arial" w:eastAsia="Arial" w:hAnsi="Arial"/>
          <w:sz w:val="22"/>
          <w:szCs w:val="22"/>
          <w:color w:val="auto"/>
        </w:rPr>
        <w:t>words denoting the singular will include the plural and vice versa and words denoting any gender will include all genders;</w:t>
      </w:r>
    </w:p>
    <w:p>
      <w:pPr>
        <w:spacing w:after="0" w:line="119" w:lineRule="exact"/>
        <w:rPr>
          <w:rFonts w:ascii="Arial" w:cs="Arial" w:eastAsia="Arial" w:hAnsi="Arial"/>
          <w:sz w:val="22"/>
          <w:szCs w:val="22"/>
          <w:b w:val="1"/>
          <w:bCs w:val="1"/>
          <w:color w:val="auto"/>
        </w:rPr>
      </w:pPr>
    </w:p>
    <w:p>
      <w:pPr>
        <w:ind w:left="880" w:right="200" w:firstLine="816"/>
        <w:spacing w:after="0" w:line="251" w:lineRule="auto"/>
        <w:tabs>
          <w:tab w:leader="none" w:pos="2590" w:val="left"/>
        </w:tabs>
        <w:numPr>
          <w:ilvl w:val="0"/>
          <w:numId w:val="64"/>
        </w:numPr>
        <w:rPr>
          <w:rFonts w:ascii="Arial" w:cs="Arial" w:eastAsia="Arial" w:hAnsi="Arial"/>
          <w:sz w:val="22"/>
          <w:szCs w:val="22"/>
          <w:b w:val="1"/>
          <w:bCs w:val="1"/>
          <w:color w:val="auto"/>
        </w:rPr>
      </w:pPr>
      <w:r>
        <w:rPr>
          <w:rFonts w:ascii="Arial" w:cs="Arial" w:eastAsia="Arial" w:hAnsi="Arial"/>
          <w:sz w:val="22"/>
          <w:szCs w:val="22"/>
          <w:color w:val="auto"/>
        </w:rPr>
        <w:t>except where otherwise indicated, references to a “license” will include “sublicense” and references to a “licensee” will include “sublicensee”, unless the context otherwise provides;</w:t>
      </w:r>
    </w:p>
    <w:p>
      <w:pPr>
        <w:spacing w:after="0" w:line="119" w:lineRule="exact"/>
        <w:rPr>
          <w:rFonts w:ascii="Arial" w:cs="Arial" w:eastAsia="Arial" w:hAnsi="Arial"/>
          <w:sz w:val="22"/>
          <w:szCs w:val="22"/>
          <w:b w:val="1"/>
          <w:bCs w:val="1"/>
          <w:color w:val="auto"/>
        </w:rPr>
      </w:pPr>
    </w:p>
    <w:p>
      <w:pPr>
        <w:ind w:left="880" w:right="100" w:firstLine="816"/>
        <w:spacing w:after="0" w:line="251" w:lineRule="auto"/>
        <w:tabs>
          <w:tab w:leader="none" w:pos="2602" w:val="left"/>
        </w:tabs>
        <w:numPr>
          <w:ilvl w:val="0"/>
          <w:numId w:val="64"/>
        </w:numPr>
        <w:rPr>
          <w:rFonts w:ascii="Arial" w:cs="Arial" w:eastAsia="Arial" w:hAnsi="Arial"/>
          <w:sz w:val="22"/>
          <w:szCs w:val="22"/>
          <w:b w:val="1"/>
          <w:bCs w:val="1"/>
          <w:color w:val="auto"/>
        </w:rPr>
      </w:pPr>
      <w:r>
        <w:rPr>
          <w:rFonts w:ascii="Arial" w:cs="Arial" w:eastAsia="Arial" w:hAnsi="Arial"/>
          <w:sz w:val="22"/>
          <w:szCs w:val="22"/>
          <w:color w:val="auto"/>
        </w:rPr>
        <w:t>the Exhibits form part of the operative provision of this Agreement and references to this Agreement will, unless the context otherwise requires, include references to the Exhibits;</w:t>
      </w:r>
    </w:p>
    <w:p>
      <w:pPr>
        <w:spacing w:after="0" w:line="119" w:lineRule="exact"/>
        <w:rPr>
          <w:rFonts w:ascii="Arial" w:cs="Arial" w:eastAsia="Arial" w:hAnsi="Arial"/>
          <w:sz w:val="22"/>
          <w:szCs w:val="22"/>
          <w:b w:val="1"/>
          <w:bCs w:val="1"/>
          <w:color w:val="auto"/>
        </w:rPr>
      </w:pPr>
    </w:p>
    <w:p>
      <w:pPr>
        <w:ind w:left="880" w:right="1120" w:firstLine="816"/>
        <w:spacing w:after="0" w:line="251" w:lineRule="auto"/>
        <w:tabs>
          <w:tab w:leader="none" w:pos="2542" w:val="left"/>
        </w:tabs>
        <w:numPr>
          <w:ilvl w:val="0"/>
          <w:numId w:val="64"/>
        </w:numPr>
        <w:rPr>
          <w:rFonts w:ascii="Arial" w:cs="Arial" w:eastAsia="Arial" w:hAnsi="Arial"/>
          <w:sz w:val="22"/>
          <w:szCs w:val="22"/>
          <w:b w:val="1"/>
          <w:bCs w:val="1"/>
          <w:color w:val="auto"/>
        </w:rPr>
      </w:pPr>
      <w:r>
        <w:rPr>
          <w:rFonts w:ascii="Arial" w:cs="Arial" w:eastAsia="Arial" w:hAnsi="Arial"/>
          <w:sz w:val="22"/>
          <w:szCs w:val="22"/>
          <w:color w:val="auto"/>
        </w:rPr>
        <w:t>the headings in this Agreement are for convenience only and will not be considered in the interpretation of this Agreement; and</w:t>
      </w:r>
    </w:p>
    <w:p>
      <w:pPr>
        <w:spacing w:after="0" w:line="119" w:lineRule="exact"/>
        <w:rPr>
          <w:rFonts w:ascii="Arial" w:cs="Arial" w:eastAsia="Arial" w:hAnsi="Arial"/>
          <w:sz w:val="22"/>
          <w:szCs w:val="22"/>
          <w:b w:val="1"/>
          <w:bCs w:val="1"/>
          <w:color w:val="auto"/>
        </w:rPr>
      </w:pPr>
    </w:p>
    <w:p>
      <w:pPr>
        <w:ind w:left="880" w:firstLine="816"/>
        <w:spacing w:after="0"/>
        <w:tabs>
          <w:tab w:leader="none" w:pos="2554" w:val="left"/>
        </w:tabs>
        <w:numPr>
          <w:ilvl w:val="0"/>
          <w:numId w:val="64"/>
        </w:numPr>
        <w:rPr>
          <w:rFonts w:ascii="Arial" w:cs="Arial" w:eastAsia="Arial" w:hAnsi="Arial"/>
          <w:sz w:val="22"/>
          <w:szCs w:val="22"/>
          <w:b w:val="1"/>
          <w:bCs w:val="1"/>
          <w:color w:val="auto"/>
        </w:rPr>
      </w:pPr>
      <w:r>
        <w:rPr>
          <w:rFonts w:ascii="Arial" w:cs="Arial" w:eastAsia="Arial" w:hAnsi="Arial"/>
          <w:sz w:val="22"/>
          <w:szCs w:val="22"/>
          <w:color w:val="auto"/>
        </w:rPr>
        <w:t>the terms and conditions of this Agreement are the result of negotiations between the Parties and this Agreement will not be construed in favor of or against any Party by reason of the extent to which either Party participated in the preparation of this Agreement.</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7" w:name="page78"/>
    <w:bookmarkEnd w:id="77"/>
    <w:p>
      <w:pPr>
        <w:ind w:left="9560"/>
        <w:spacing w:after="0"/>
        <w:rPr>
          <w:sz w:val="20"/>
          <w:szCs w:val="20"/>
          <w:color w:val="auto"/>
        </w:rPr>
      </w:pPr>
      <w:r>
        <w:rPr>
          <w:rFonts w:ascii="Arial" w:cs="Arial" w:eastAsia="Arial" w:hAnsi="Arial"/>
          <w:sz w:val="19"/>
          <w:szCs w:val="19"/>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RESEARCH COLLABORATION</w:t>
      </w:r>
    </w:p>
    <w:p>
      <w:pPr>
        <w:spacing w:after="0" w:line="128" w:lineRule="exact"/>
        <w:rPr>
          <w:sz w:val="20"/>
          <w:szCs w:val="20"/>
          <w:color w:val="auto"/>
        </w:rPr>
      </w:pPr>
    </w:p>
    <w:p>
      <w:pPr>
        <w:spacing w:after="0"/>
        <w:tabs>
          <w:tab w:leader="none" w:pos="1640" w:val="left"/>
        </w:tabs>
        <w:rPr>
          <w:sz w:val="20"/>
          <w:szCs w:val="20"/>
          <w:color w:val="auto"/>
        </w:rPr>
      </w:pPr>
      <w:r>
        <w:rPr>
          <w:rFonts w:ascii="Arial" w:cs="Arial" w:eastAsia="Arial" w:hAnsi="Arial"/>
          <w:sz w:val="22"/>
          <w:szCs w:val="22"/>
          <w:b w:val="1"/>
          <w:bCs w:val="1"/>
          <w:color w:val="auto"/>
        </w:rPr>
        <w:t>Section 2.1</w:t>
      </w:r>
      <w:r>
        <w:rPr>
          <w:sz w:val="20"/>
          <w:szCs w:val="20"/>
          <w:color w:val="auto"/>
        </w:rPr>
        <w:tab/>
      </w:r>
      <w:r>
        <w:rPr>
          <w:rFonts w:ascii="Arial" w:cs="Arial" w:eastAsia="Arial" w:hAnsi="Arial"/>
          <w:sz w:val="19"/>
          <w:szCs w:val="19"/>
          <w:b w:val="1"/>
          <w:bCs w:val="1"/>
          <w:color w:val="auto"/>
        </w:rPr>
        <w:t>Scope and Governance of Collaboration.</w:t>
      </w:r>
    </w:p>
    <w:p>
      <w:pPr>
        <w:spacing w:after="0" w:line="152" w:lineRule="exact"/>
        <w:rPr>
          <w:sz w:val="20"/>
          <w:szCs w:val="20"/>
          <w:color w:val="auto"/>
        </w:rPr>
      </w:pPr>
    </w:p>
    <w:p>
      <w:pPr>
        <w:ind w:right="120" w:firstLine="877"/>
        <w:spacing w:after="0" w:line="284" w:lineRule="auto"/>
        <w:rPr>
          <w:sz w:val="20"/>
          <w:szCs w:val="20"/>
          <w:color w:val="auto"/>
        </w:rPr>
      </w:pPr>
      <w:r>
        <w:rPr>
          <w:rFonts w:ascii="Arial" w:cs="Arial" w:eastAsia="Arial" w:hAnsi="Arial"/>
          <w:sz w:val="19"/>
          <w:szCs w:val="19"/>
          <w:b w:val="1"/>
          <w:bCs w:val="1"/>
          <w:color w:val="auto"/>
        </w:rPr>
        <w:t xml:space="preserve">2.1.1 Research Obligations. </w:t>
      </w:r>
      <w:r>
        <w:rPr>
          <w:rFonts w:ascii="Arial" w:cs="Arial" w:eastAsia="Arial" w:hAnsi="Arial"/>
          <w:sz w:val="19"/>
          <w:szCs w:val="19"/>
          <w:color w:val="auto"/>
        </w:rPr>
        <w:t>During the Research Term, each of the Parties will use Commercially Reasonable</w:t>
      </w:r>
      <w:r>
        <w:rPr>
          <w:rFonts w:ascii="Arial" w:cs="Arial" w:eastAsia="Arial" w:hAnsi="Arial"/>
          <w:sz w:val="19"/>
          <w:szCs w:val="19"/>
          <w:b w:val="1"/>
          <w:bCs w:val="1"/>
          <w:color w:val="auto"/>
        </w:rPr>
        <w:t xml:space="preserve"> </w:t>
      </w:r>
      <w:r>
        <w:rPr>
          <w:rFonts w:ascii="Arial" w:cs="Arial" w:eastAsia="Arial" w:hAnsi="Arial"/>
          <w:sz w:val="19"/>
          <w:szCs w:val="19"/>
          <w:color w:val="auto"/>
        </w:rPr>
        <w:t>Efforts to conduct the research and pre-clinical Development activities assigned to it in the relevant Research Plans, which will be divided into Programs directed to each of the Designated Targets. Without limiting the generality of the foregoing, the Parties will undertake joint pre-clinical research and development activities to research and pre-clinically Develop NDC Products for therapeutic use, including the following activities, all as set forth more fully in the relevant Research Plan:</w:t>
      </w:r>
    </w:p>
    <w:p>
      <w:pPr>
        <w:spacing w:after="0" w:line="91" w:lineRule="exact"/>
        <w:rPr>
          <w:sz w:val="20"/>
          <w:szCs w:val="20"/>
          <w:color w:val="auto"/>
        </w:rPr>
      </w:pPr>
    </w:p>
    <w:p>
      <w:pPr>
        <w:ind w:left="880" w:right="340" w:firstLine="816"/>
        <w:spacing w:after="0"/>
        <w:tabs>
          <w:tab w:leader="none" w:pos="2644" w:val="left"/>
        </w:tabs>
        <w:numPr>
          <w:ilvl w:val="0"/>
          <w:numId w:val="65"/>
        </w:numPr>
        <w:rPr>
          <w:rFonts w:ascii="Arial" w:cs="Arial" w:eastAsia="Arial" w:hAnsi="Arial"/>
          <w:sz w:val="22"/>
          <w:szCs w:val="22"/>
          <w:b w:val="1"/>
          <w:bCs w:val="1"/>
          <w:color w:val="auto"/>
        </w:rPr>
      </w:pPr>
      <w:r>
        <w:rPr>
          <w:rFonts w:ascii="Arial" w:cs="Arial" w:eastAsia="Arial" w:hAnsi="Arial"/>
          <w:sz w:val="22"/>
          <w:szCs w:val="22"/>
          <w:color w:val="auto"/>
        </w:rPr>
        <w:t>Novartis will supply Cerulean with sufficient quantities of Novartis’ selected compounds and any other agreed upon active pharmaceutical ingredients (“</w:t>
      </w:r>
      <w:r>
        <w:rPr>
          <w:rFonts w:ascii="Arial" w:cs="Arial" w:eastAsia="Arial" w:hAnsi="Arial"/>
          <w:sz w:val="22"/>
          <w:szCs w:val="22"/>
          <w:u w:val="single" w:color="auto"/>
          <w:color w:val="auto"/>
        </w:rPr>
        <w:t>API</w:t>
      </w:r>
      <w:r>
        <w:rPr>
          <w:rFonts w:ascii="Arial" w:cs="Arial" w:eastAsia="Arial" w:hAnsi="Arial"/>
          <w:sz w:val="22"/>
          <w:szCs w:val="22"/>
          <w:color w:val="auto"/>
        </w:rPr>
        <w:t>”) for Cerulean to perform its responsibilities under the various Research Plans;</w:t>
      </w:r>
    </w:p>
    <w:p>
      <w:pPr>
        <w:spacing w:after="0" w:line="132" w:lineRule="exact"/>
        <w:rPr>
          <w:rFonts w:ascii="Arial" w:cs="Arial" w:eastAsia="Arial" w:hAnsi="Arial"/>
          <w:sz w:val="22"/>
          <w:szCs w:val="22"/>
          <w:b w:val="1"/>
          <w:bCs w:val="1"/>
          <w:color w:val="auto"/>
        </w:rPr>
      </w:pPr>
    </w:p>
    <w:p>
      <w:pPr>
        <w:ind w:left="880" w:right="440" w:firstLine="816"/>
        <w:spacing w:after="0"/>
        <w:tabs>
          <w:tab w:leader="none" w:pos="2602" w:val="left"/>
        </w:tabs>
        <w:numPr>
          <w:ilvl w:val="0"/>
          <w:numId w:val="65"/>
        </w:numPr>
        <w:rPr>
          <w:rFonts w:ascii="Arial" w:cs="Arial" w:eastAsia="Arial" w:hAnsi="Arial"/>
          <w:sz w:val="22"/>
          <w:szCs w:val="22"/>
          <w:b w:val="1"/>
          <w:bCs w:val="1"/>
          <w:color w:val="auto"/>
        </w:rPr>
      </w:pPr>
      <w:r>
        <w:rPr>
          <w:rFonts w:ascii="Arial" w:cs="Arial" w:eastAsia="Arial" w:hAnsi="Arial"/>
          <w:sz w:val="22"/>
          <w:szCs w:val="22"/>
          <w:color w:val="auto"/>
        </w:rPr>
        <w:t>Novartis will provide its expertise with respect to the Novartis APIs, the Designated Targets, and certain other aspects of the Collaboration, including linkers and linker design, to the extent reasonably necessary to support Cerulean’s effort to create NDC Products;</w:t>
      </w:r>
    </w:p>
    <w:p>
      <w:pPr>
        <w:spacing w:after="0" w:line="132" w:lineRule="exact"/>
        <w:rPr>
          <w:rFonts w:ascii="Arial" w:cs="Arial" w:eastAsia="Arial" w:hAnsi="Arial"/>
          <w:sz w:val="22"/>
          <w:szCs w:val="22"/>
          <w:b w:val="1"/>
          <w:bCs w:val="1"/>
          <w:color w:val="auto"/>
        </w:rPr>
      </w:pPr>
    </w:p>
    <w:p>
      <w:pPr>
        <w:ind w:left="880" w:right="220" w:firstLine="816"/>
        <w:spacing w:after="0" w:line="251" w:lineRule="auto"/>
        <w:tabs>
          <w:tab w:leader="none" w:pos="2578" w:val="left"/>
        </w:tabs>
        <w:numPr>
          <w:ilvl w:val="0"/>
          <w:numId w:val="65"/>
        </w:numPr>
        <w:rPr>
          <w:rFonts w:ascii="Arial" w:cs="Arial" w:eastAsia="Arial" w:hAnsi="Arial"/>
          <w:sz w:val="22"/>
          <w:szCs w:val="22"/>
          <w:b w:val="1"/>
          <w:bCs w:val="1"/>
          <w:color w:val="auto"/>
        </w:rPr>
      </w:pPr>
      <w:r>
        <w:rPr>
          <w:rFonts w:ascii="Arial" w:cs="Arial" w:eastAsia="Arial" w:hAnsi="Arial"/>
          <w:sz w:val="22"/>
          <w:szCs w:val="22"/>
          <w:color w:val="auto"/>
        </w:rPr>
        <w:t>Cerulean will design, synthesize, characterize, and supply NDC Products in sufficient quantities for the activities agreed upon in the Research Plan;</w:t>
      </w:r>
    </w:p>
    <w:p>
      <w:pPr>
        <w:spacing w:after="0" w:line="119" w:lineRule="exact"/>
        <w:rPr>
          <w:rFonts w:ascii="Arial" w:cs="Arial" w:eastAsia="Arial" w:hAnsi="Arial"/>
          <w:sz w:val="22"/>
          <w:szCs w:val="22"/>
          <w:b w:val="1"/>
          <w:bCs w:val="1"/>
          <w:color w:val="auto"/>
        </w:rPr>
      </w:pPr>
    </w:p>
    <w:p>
      <w:pPr>
        <w:ind w:left="880" w:right="280" w:firstLine="816"/>
        <w:spacing w:after="0" w:line="251" w:lineRule="auto"/>
        <w:tabs>
          <w:tab w:leader="none" w:pos="2602" w:val="left"/>
        </w:tabs>
        <w:numPr>
          <w:ilvl w:val="0"/>
          <w:numId w:val="65"/>
        </w:numPr>
        <w:rPr>
          <w:rFonts w:ascii="Arial" w:cs="Arial" w:eastAsia="Arial" w:hAnsi="Arial"/>
          <w:sz w:val="22"/>
          <w:szCs w:val="22"/>
          <w:b w:val="1"/>
          <w:bCs w:val="1"/>
          <w:color w:val="auto"/>
        </w:rPr>
      </w:pPr>
      <w:r>
        <w:rPr>
          <w:rFonts w:ascii="Arial" w:cs="Arial" w:eastAsia="Arial" w:hAnsi="Arial"/>
          <w:sz w:val="22"/>
          <w:szCs w:val="22"/>
          <w:color w:val="auto"/>
        </w:rPr>
        <w:t xml:space="preserve">Cerulean will conduct </w:t>
      </w:r>
      <w:r>
        <w:rPr>
          <w:rFonts w:ascii="Arial" w:cs="Arial" w:eastAsia="Arial" w:hAnsi="Arial"/>
          <w:sz w:val="22"/>
          <w:szCs w:val="22"/>
          <w:i w:val="1"/>
          <w:iCs w:val="1"/>
          <w:color w:val="auto"/>
        </w:rPr>
        <w:t>in vitro</w:t>
      </w:r>
      <w:r>
        <w:rPr>
          <w:rFonts w:ascii="Arial" w:cs="Arial" w:eastAsia="Arial" w:hAnsi="Arial"/>
          <w:sz w:val="22"/>
          <w:szCs w:val="22"/>
          <w:color w:val="auto"/>
        </w:rPr>
        <w:t xml:space="preserve"> release characterization studies and, at Novartis’ election (subject to Section 5.2.3), additional preclinical studies of the NDC Products; and</w:t>
      </w:r>
    </w:p>
    <w:p>
      <w:pPr>
        <w:spacing w:after="0" w:line="119" w:lineRule="exact"/>
        <w:rPr>
          <w:rFonts w:ascii="Arial" w:cs="Arial" w:eastAsia="Arial" w:hAnsi="Arial"/>
          <w:sz w:val="22"/>
          <w:szCs w:val="22"/>
          <w:b w:val="1"/>
          <w:bCs w:val="1"/>
          <w:color w:val="auto"/>
        </w:rPr>
      </w:pPr>
    </w:p>
    <w:p>
      <w:pPr>
        <w:ind w:left="880" w:right="540" w:firstLine="816"/>
        <w:spacing w:after="0" w:line="328" w:lineRule="auto"/>
        <w:tabs>
          <w:tab w:leader="none" w:pos="2578" w:val="left"/>
        </w:tabs>
        <w:numPr>
          <w:ilvl w:val="0"/>
          <w:numId w:val="65"/>
        </w:numPr>
        <w:rPr>
          <w:rFonts w:ascii="Arial" w:cs="Arial" w:eastAsia="Arial" w:hAnsi="Arial"/>
          <w:sz w:val="19"/>
          <w:szCs w:val="19"/>
          <w:b w:val="1"/>
          <w:bCs w:val="1"/>
          <w:color w:val="auto"/>
        </w:rPr>
      </w:pPr>
      <w:r>
        <w:rPr>
          <w:rFonts w:ascii="Arial" w:cs="Arial" w:eastAsia="Arial" w:hAnsi="Arial"/>
          <w:sz w:val="19"/>
          <w:szCs w:val="19"/>
          <w:color w:val="auto"/>
        </w:rPr>
        <w:t>Novartis will perform additional preclinical studies to characterize the NDC Products, including target biology, pharmacokinetics, pharmacodynamics, efficacy, tolerability, and IND-enabling studies.</w:t>
      </w:r>
    </w:p>
    <w:p>
      <w:pPr>
        <w:spacing w:after="0" w:line="45" w:lineRule="exact"/>
        <w:rPr>
          <w:sz w:val="20"/>
          <w:szCs w:val="20"/>
          <w:color w:val="auto"/>
        </w:rPr>
      </w:pPr>
    </w:p>
    <w:p>
      <w:pPr>
        <w:ind w:right="20" w:firstLine="877"/>
        <w:spacing w:after="0" w:line="276" w:lineRule="auto"/>
        <w:rPr>
          <w:sz w:val="20"/>
          <w:szCs w:val="20"/>
          <w:color w:val="auto"/>
        </w:rPr>
      </w:pPr>
      <w:r>
        <w:rPr>
          <w:rFonts w:ascii="Arial" w:cs="Arial" w:eastAsia="Arial" w:hAnsi="Arial"/>
          <w:sz w:val="19"/>
          <w:szCs w:val="19"/>
          <w:b w:val="1"/>
          <w:bCs w:val="1"/>
          <w:color w:val="auto"/>
        </w:rPr>
        <w:t xml:space="preserve">2.1.2 Research Term. </w:t>
      </w:r>
      <w:r>
        <w:rPr>
          <w:rFonts w:ascii="Arial" w:cs="Arial" w:eastAsia="Arial" w:hAnsi="Arial"/>
          <w:sz w:val="19"/>
          <w:szCs w:val="19"/>
          <w:color w:val="auto"/>
        </w:rPr>
        <w:t>Unless terminated in accordance with Section 10.2 or Section 10.3, the Collaboration will</w:t>
      </w:r>
      <w:r>
        <w:rPr>
          <w:rFonts w:ascii="Arial" w:cs="Arial" w:eastAsia="Arial" w:hAnsi="Arial"/>
          <w:sz w:val="19"/>
          <w:szCs w:val="19"/>
          <w:b w:val="1"/>
          <w:bCs w:val="1"/>
          <w:color w:val="auto"/>
        </w:rPr>
        <w:t xml:space="preserve"> </w:t>
      </w:r>
      <w:r>
        <w:rPr>
          <w:rFonts w:ascii="Arial" w:cs="Arial" w:eastAsia="Arial" w:hAnsi="Arial"/>
          <w:sz w:val="19"/>
          <w:szCs w:val="19"/>
          <w:color w:val="auto"/>
        </w:rPr>
        <w:t>commence on the Effective Date and expire on the second anniversary of such date (the “</w:t>
      </w:r>
      <w:r>
        <w:rPr>
          <w:rFonts w:ascii="Arial" w:cs="Arial" w:eastAsia="Arial" w:hAnsi="Arial"/>
          <w:sz w:val="19"/>
          <w:szCs w:val="19"/>
          <w:u w:val="single" w:color="auto"/>
          <w:color w:val="auto"/>
        </w:rPr>
        <w:t>Research Term</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Novartis may extend the Research Term by up to two additional one year periods, so long as notice of such extension is given at least 90 days prior to the expiration of the then applicable Research Term. The Parties acknowledge that the Research Term may be extended on a Program-by-Program basis, and the number of FTEs necessary for such extension terms may be less than the number of FTEs contemplated during the initial Research Term; </w:t>
      </w:r>
      <w:r>
        <w:rPr>
          <w:rFonts w:ascii="Arial" w:cs="Arial" w:eastAsia="Arial" w:hAnsi="Arial"/>
          <w:sz w:val="19"/>
          <w:szCs w:val="19"/>
          <w:i w:val="1"/>
          <w:iCs w:val="1"/>
          <w:color w:val="auto"/>
        </w:rPr>
        <w:t>provided, however</w:t>
      </w:r>
      <w:r>
        <w:rPr>
          <w:rFonts w:ascii="Arial" w:cs="Arial" w:eastAsia="Arial" w:hAnsi="Arial"/>
          <w:sz w:val="19"/>
          <w:szCs w:val="19"/>
          <w:color w:val="auto"/>
        </w:rPr>
        <w:t>, that in no event will any extension of the Research Term result in Novartis agreeing to less than [**] FTEs of research funding per additional year of the Research Term. The JSC will review and approve the revised Research Plans for any Programs affected by the extended Research Term.</w:t>
      </w:r>
    </w:p>
    <w:p>
      <w:pPr>
        <w:spacing w:after="0" w:line="97" w:lineRule="exact"/>
        <w:rPr>
          <w:sz w:val="20"/>
          <w:szCs w:val="20"/>
          <w:color w:val="auto"/>
        </w:rPr>
      </w:pPr>
    </w:p>
    <w:p>
      <w:pPr>
        <w:jc w:val="both"/>
        <w:ind w:right="60" w:firstLine="877"/>
        <w:spacing w:after="0" w:line="243" w:lineRule="auto"/>
        <w:rPr>
          <w:sz w:val="20"/>
          <w:szCs w:val="20"/>
          <w:color w:val="auto"/>
        </w:rPr>
      </w:pPr>
      <w:r>
        <w:rPr>
          <w:rFonts w:ascii="Arial" w:cs="Arial" w:eastAsia="Arial" w:hAnsi="Arial"/>
          <w:sz w:val="22"/>
          <w:szCs w:val="22"/>
          <w:b w:val="1"/>
          <w:bCs w:val="1"/>
          <w:color w:val="auto"/>
        </w:rPr>
        <w:t xml:space="preserve">2.1.3 Information Sharing. </w:t>
      </w:r>
      <w:r>
        <w:rPr>
          <w:rFonts w:ascii="Arial" w:cs="Arial" w:eastAsia="Arial" w:hAnsi="Arial"/>
          <w:sz w:val="22"/>
          <w:szCs w:val="22"/>
          <w:color w:val="auto"/>
        </w:rPr>
        <w:t>Without limiting any other obligations set forth in this Agreement, at all times during</w:t>
      </w:r>
      <w:r>
        <w:rPr>
          <w:rFonts w:ascii="Arial" w:cs="Arial" w:eastAsia="Arial" w:hAnsi="Arial"/>
          <w:sz w:val="22"/>
          <w:szCs w:val="22"/>
          <w:b w:val="1"/>
          <w:bCs w:val="1"/>
          <w:color w:val="auto"/>
        </w:rPr>
        <w:t xml:space="preserve"> </w:t>
      </w:r>
      <w:r>
        <w:rPr>
          <w:rFonts w:ascii="Arial" w:cs="Arial" w:eastAsia="Arial" w:hAnsi="Arial"/>
          <w:sz w:val="22"/>
          <w:szCs w:val="22"/>
          <w:color w:val="auto"/>
        </w:rPr>
        <w:t>the Research Term, each Party will keep the other Party reasonably and timely informed as to its Collaboration research efforts and any results.</w:t>
      </w:r>
    </w:p>
    <w:p>
      <w:pPr>
        <w:spacing w:after="0" w:line="1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8" w:name="page79"/>
    <w:bookmarkEnd w:id="78"/>
    <w:p>
      <w:pPr>
        <w:ind w:left="9560"/>
        <w:spacing w:after="0"/>
        <w:rPr>
          <w:sz w:val="20"/>
          <w:szCs w:val="20"/>
          <w:color w:val="auto"/>
        </w:rPr>
      </w:pPr>
      <w:r>
        <w:rPr>
          <w:rFonts w:ascii="Arial" w:cs="Arial" w:eastAsia="Arial" w:hAnsi="Arial"/>
          <w:sz w:val="19"/>
          <w:szCs w:val="19"/>
          <w:color w:val="auto"/>
        </w:rPr>
        <w:t>EXECUTION COPY</w:t>
      </w:r>
    </w:p>
    <w:p>
      <w:pPr>
        <w:spacing w:after="0" w:line="262" w:lineRule="exact"/>
        <w:rPr>
          <w:sz w:val="20"/>
          <w:szCs w:val="20"/>
          <w:color w:val="auto"/>
        </w:rPr>
      </w:pPr>
    </w:p>
    <w:p>
      <w:pPr>
        <w:spacing w:after="0"/>
        <w:tabs>
          <w:tab w:leader="none" w:pos="1640" w:val="left"/>
        </w:tabs>
        <w:rPr>
          <w:sz w:val="20"/>
          <w:szCs w:val="20"/>
          <w:color w:val="auto"/>
        </w:rPr>
      </w:pPr>
      <w:r>
        <w:rPr>
          <w:rFonts w:ascii="Arial" w:cs="Arial" w:eastAsia="Arial" w:hAnsi="Arial"/>
          <w:sz w:val="22"/>
          <w:szCs w:val="22"/>
          <w:b w:val="1"/>
          <w:bCs w:val="1"/>
          <w:color w:val="auto"/>
        </w:rPr>
        <w:t>Section 2.2</w:t>
      </w:r>
      <w:r>
        <w:rPr>
          <w:sz w:val="20"/>
          <w:szCs w:val="20"/>
          <w:color w:val="auto"/>
        </w:rPr>
        <w:tab/>
      </w:r>
      <w:r>
        <w:rPr>
          <w:rFonts w:ascii="Arial" w:cs="Arial" w:eastAsia="Arial" w:hAnsi="Arial"/>
          <w:sz w:val="19"/>
          <w:szCs w:val="19"/>
          <w:b w:val="1"/>
          <w:bCs w:val="1"/>
          <w:color w:val="auto"/>
        </w:rPr>
        <w:t>Collaboration Governance; Addition of Designated Targets.</w:t>
      </w:r>
    </w:p>
    <w:p>
      <w:pPr>
        <w:spacing w:after="0" w:line="152" w:lineRule="exact"/>
        <w:rPr>
          <w:sz w:val="20"/>
          <w:szCs w:val="20"/>
          <w:color w:val="auto"/>
        </w:rPr>
      </w:pPr>
    </w:p>
    <w:p>
      <w:pPr>
        <w:ind w:right="180" w:firstLine="877"/>
        <w:spacing w:after="0" w:line="237" w:lineRule="auto"/>
        <w:rPr>
          <w:sz w:val="20"/>
          <w:szCs w:val="20"/>
          <w:color w:val="auto"/>
        </w:rPr>
      </w:pPr>
      <w:r>
        <w:rPr>
          <w:rFonts w:ascii="Arial" w:cs="Arial" w:eastAsia="Arial" w:hAnsi="Arial"/>
          <w:sz w:val="22"/>
          <w:szCs w:val="22"/>
          <w:b w:val="1"/>
          <w:bCs w:val="1"/>
          <w:color w:val="auto"/>
        </w:rPr>
        <w:t xml:space="preserve">2.2.1 Establishment and Powers of the Joint Steering Committee. </w:t>
      </w:r>
      <w:r>
        <w:rPr>
          <w:rFonts w:ascii="Arial" w:cs="Arial" w:eastAsia="Arial" w:hAnsi="Arial"/>
          <w:sz w:val="22"/>
          <w:szCs w:val="22"/>
          <w:color w:val="auto"/>
        </w:rPr>
        <w:t>Not later than [**] days after the Effective</w:t>
      </w:r>
      <w:r>
        <w:rPr>
          <w:rFonts w:ascii="Arial" w:cs="Arial" w:eastAsia="Arial" w:hAnsi="Arial"/>
          <w:sz w:val="22"/>
          <w:szCs w:val="22"/>
          <w:b w:val="1"/>
          <w:bCs w:val="1"/>
          <w:color w:val="auto"/>
        </w:rPr>
        <w:t xml:space="preserve"> </w:t>
      </w:r>
      <w:r>
        <w:rPr>
          <w:rFonts w:ascii="Arial" w:cs="Arial" w:eastAsia="Arial" w:hAnsi="Arial"/>
          <w:sz w:val="22"/>
          <w:szCs w:val="22"/>
          <w:color w:val="auto"/>
        </w:rPr>
        <w:t>Date, the Parties will establish a Joint Steering Committee (the “</w:t>
      </w:r>
      <w:r>
        <w:rPr>
          <w:rFonts w:ascii="Arial" w:cs="Arial" w:eastAsia="Arial" w:hAnsi="Arial"/>
          <w:sz w:val="22"/>
          <w:szCs w:val="22"/>
          <w:u w:val="single" w:color="auto"/>
          <w:color w:val="auto"/>
        </w:rPr>
        <w:t>Joint Steering Committee</w:t>
      </w:r>
      <w:r>
        <w:rPr>
          <w:rFonts w:ascii="Arial" w:cs="Arial" w:eastAsia="Arial" w:hAnsi="Arial"/>
          <w:sz w:val="22"/>
          <w:szCs w:val="22"/>
          <w:color w:val="auto"/>
        </w:rPr>
        <w:t>” or “</w:t>
      </w:r>
      <w:r>
        <w:rPr>
          <w:rFonts w:ascii="Arial" w:cs="Arial" w:eastAsia="Arial" w:hAnsi="Arial"/>
          <w:sz w:val="22"/>
          <w:szCs w:val="22"/>
          <w:u w:val="single" w:color="auto"/>
          <w:color w:val="auto"/>
        </w:rPr>
        <w:t>JSC</w:t>
      </w:r>
      <w:r>
        <w:rPr>
          <w:rFonts w:ascii="Arial" w:cs="Arial" w:eastAsia="Arial" w:hAnsi="Arial"/>
          <w:sz w:val="22"/>
          <w:szCs w:val="22"/>
          <w:color w:val="auto"/>
        </w:rPr>
        <w:t>”). The JSC will have responsibility for the overall management and oversight of the Collaboration, resource allocation, and general alliance management. Specifically, prior to the payment of the Commercial License Fee with respect to a Program, the JSC will have responsibility for:</w:t>
      </w:r>
    </w:p>
    <w:p>
      <w:pPr>
        <w:spacing w:after="0" w:line="135" w:lineRule="exact"/>
        <w:rPr>
          <w:sz w:val="20"/>
          <w:szCs w:val="20"/>
          <w:color w:val="auto"/>
        </w:rPr>
      </w:pPr>
    </w:p>
    <w:p>
      <w:pPr>
        <w:ind w:left="2600" w:hanging="904"/>
        <w:spacing w:after="0"/>
        <w:tabs>
          <w:tab w:leader="none" w:pos="2600" w:val="left"/>
        </w:tabs>
        <w:numPr>
          <w:ilvl w:val="0"/>
          <w:numId w:val="66"/>
        </w:numPr>
        <w:rPr>
          <w:rFonts w:ascii="Arial" w:cs="Arial" w:eastAsia="Arial" w:hAnsi="Arial"/>
          <w:sz w:val="19"/>
          <w:szCs w:val="19"/>
          <w:b w:val="1"/>
          <w:bCs w:val="1"/>
          <w:color w:val="auto"/>
        </w:rPr>
      </w:pPr>
      <w:r>
        <w:rPr>
          <w:rFonts w:ascii="Arial" w:cs="Arial" w:eastAsia="Arial" w:hAnsi="Arial"/>
          <w:sz w:val="19"/>
          <w:szCs w:val="19"/>
          <w:color w:val="auto"/>
        </w:rPr>
        <w:t>establishing mutually acceptable Research Plans (including personnel and materials budgets) for each</w:t>
      </w:r>
    </w:p>
    <w:p>
      <w:pPr>
        <w:spacing w:after="0" w:line="42" w:lineRule="exact"/>
        <w:rPr>
          <w:rFonts w:ascii="Arial" w:cs="Arial" w:eastAsia="Arial" w:hAnsi="Arial"/>
          <w:sz w:val="19"/>
          <w:szCs w:val="19"/>
          <w:b w:val="1"/>
          <w:bCs w:val="1"/>
          <w:color w:val="auto"/>
        </w:rPr>
      </w:pPr>
    </w:p>
    <w:p>
      <w:pPr>
        <w:ind w:left="880"/>
        <w:spacing w:after="0"/>
        <w:rPr>
          <w:rFonts w:ascii="Arial" w:cs="Arial" w:eastAsia="Arial" w:hAnsi="Arial"/>
          <w:sz w:val="19"/>
          <w:szCs w:val="19"/>
          <w:b w:val="1"/>
          <w:bCs w:val="1"/>
          <w:color w:val="auto"/>
        </w:rPr>
      </w:pPr>
      <w:r>
        <w:rPr>
          <w:rFonts w:ascii="Arial" w:cs="Arial" w:eastAsia="Arial" w:hAnsi="Arial"/>
          <w:sz w:val="22"/>
          <w:szCs w:val="22"/>
          <w:color w:val="auto"/>
        </w:rPr>
        <w:t>of the Programs;</w:t>
      </w:r>
    </w:p>
    <w:p>
      <w:pPr>
        <w:spacing w:after="0" w:line="134" w:lineRule="exact"/>
        <w:rPr>
          <w:rFonts w:ascii="Arial" w:cs="Arial" w:eastAsia="Arial" w:hAnsi="Arial"/>
          <w:sz w:val="19"/>
          <w:szCs w:val="19"/>
          <w:b w:val="1"/>
          <w:bCs w:val="1"/>
          <w:color w:val="auto"/>
        </w:rPr>
      </w:pPr>
    </w:p>
    <w:p>
      <w:pPr>
        <w:ind w:left="2600" w:hanging="904"/>
        <w:spacing w:after="0"/>
        <w:tabs>
          <w:tab w:leader="none" w:pos="2600" w:val="left"/>
        </w:tabs>
        <w:numPr>
          <w:ilvl w:val="0"/>
          <w:numId w:val="66"/>
        </w:numPr>
        <w:rPr>
          <w:rFonts w:ascii="Arial" w:cs="Arial" w:eastAsia="Arial" w:hAnsi="Arial"/>
          <w:sz w:val="22"/>
          <w:szCs w:val="22"/>
          <w:b w:val="1"/>
          <w:bCs w:val="1"/>
          <w:color w:val="auto"/>
        </w:rPr>
      </w:pPr>
      <w:r>
        <w:rPr>
          <w:rFonts w:ascii="Arial" w:cs="Arial" w:eastAsia="Arial" w:hAnsi="Arial"/>
          <w:sz w:val="22"/>
          <w:szCs w:val="22"/>
          <w:color w:val="auto"/>
        </w:rPr>
        <w:t>revising and updating the Research Plans for each of the Programs;</w:t>
      </w:r>
    </w:p>
    <w:p>
      <w:pPr>
        <w:spacing w:after="0" w:line="152" w:lineRule="exact"/>
        <w:rPr>
          <w:rFonts w:ascii="Arial" w:cs="Arial" w:eastAsia="Arial" w:hAnsi="Arial"/>
          <w:sz w:val="22"/>
          <w:szCs w:val="22"/>
          <w:b w:val="1"/>
          <w:bCs w:val="1"/>
          <w:color w:val="auto"/>
        </w:rPr>
      </w:pPr>
    </w:p>
    <w:p>
      <w:pPr>
        <w:ind w:left="2580" w:hanging="884"/>
        <w:spacing w:after="0"/>
        <w:tabs>
          <w:tab w:leader="none" w:pos="2580" w:val="left"/>
        </w:tabs>
        <w:numPr>
          <w:ilvl w:val="0"/>
          <w:numId w:val="66"/>
        </w:numPr>
        <w:rPr>
          <w:rFonts w:ascii="Arial" w:cs="Arial" w:eastAsia="Arial" w:hAnsi="Arial"/>
          <w:sz w:val="22"/>
          <w:szCs w:val="22"/>
          <w:b w:val="1"/>
          <w:bCs w:val="1"/>
          <w:color w:val="auto"/>
        </w:rPr>
      </w:pPr>
      <w:r>
        <w:rPr>
          <w:rFonts w:ascii="Arial" w:cs="Arial" w:eastAsia="Arial" w:hAnsi="Arial"/>
          <w:sz w:val="22"/>
          <w:szCs w:val="22"/>
          <w:color w:val="auto"/>
        </w:rPr>
        <w:t>coordinating research activities for the Collaboration;</w:t>
      </w:r>
    </w:p>
    <w:p>
      <w:pPr>
        <w:spacing w:after="0" w:line="152" w:lineRule="exact"/>
        <w:rPr>
          <w:rFonts w:ascii="Arial" w:cs="Arial" w:eastAsia="Arial" w:hAnsi="Arial"/>
          <w:sz w:val="22"/>
          <w:szCs w:val="22"/>
          <w:b w:val="1"/>
          <w:bCs w:val="1"/>
          <w:color w:val="auto"/>
        </w:rPr>
      </w:pPr>
    </w:p>
    <w:p>
      <w:pPr>
        <w:ind w:left="2600" w:hanging="904"/>
        <w:spacing w:after="0"/>
        <w:tabs>
          <w:tab w:leader="none" w:pos="2600" w:val="left"/>
        </w:tabs>
        <w:numPr>
          <w:ilvl w:val="0"/>
          <w:numId w:val="66"/>
        </w:numPr>
        <w:rPr>
          <w:rFonts w:ascii="Arial" w:cs="Arial" w:eastAsia="Arial" w:hAnsi="Arial"/>
          <w:sz w:val="22"/>
          <w:szCs w:val="22"/>
          <w:b w:val="1"/>
          <w:bCs w:val="1"/>
          <w:color w:val="auto"/>
        </w:rPr>
      </w:pPr>
      <w:r>
        <w:rPr>
          <w:rFonts w:ascii="Arial" w:cs="Arial" w:eastAsia="Arial" w:hAnsi="Arial"/>
          <w:sz w:val="22"/>
          <w:szCs w:val="22"/>
          <w:color w:val="auto"/>
        </w:rPr>
        <w:t>facilitating communications between the Parties with respect to Collaboration activities;</w:t>
      </w:r>
    </w:p>
    <w:p>
      <w:pPr>
        <w:spacing w:after="0" w:line="152" w:lineRule="exact"/>
        <w:rPr>
          <w:rFonts w:ascii="Arial" w:cs="Arial" w:eastAsia="Arial" w:hAnsi="Arial"/>
          <w:sz w:val="22"/>
          <w:szCs w:val="22"/>
          <w:b w:val="1"/>
          <w:bCs w:val="1"/>
          <w:color w:val="auto"/>
        </w:rPr>
      </w:pPr>
    </w:p>
    <w:p>
      <w:pPr>
        <w:ind w:left="2580" w:hanging="884"/>
        <w:spacing w:after="0"/>
        <w:tabs>
          <w:tab w:leader="none" w:pos="2580" w:val="left"/>
        </w:tabs>
        <w:numPr>
          <w:ilvl w:val="0"/>
          <w:numId w:val="66"/>
        </w:numPr>
        <w:rPr>
          <w:rFonts w:ascii="Arial" w:cs="Arial" w:eastAsia="Arial" w:hAnsi="Arial"/>
          <w:sz w:val="21"/>
          <w:szCs w:val="21"/>
          <w:b w:val="1"/>
          <w:bCs w:val="1"/>
          <w:color w:val="auto"/>
        </w:rPr>
      </w:pPr>
      <w:r>
        <w:rPr>
          <w:rFonts w:ascii="Arial" w:cs="Arial" w:eastAsia="Arial" w:hAnsi="Arial"/>
          <w:sz w:val="21"/>
          <w:szCs w:val="21"/>
          <w:color w:val="auto"/>
        </w:rPr>
        <w:t>coordinating intellectual property activities relating to inventions arising from the Collaboration;</w:t>
      </w:r>
    </w:p>
    <w:p>
      <w:pPr>
        <w:spacing w:after="0" w:line="163" w:lineRule="exact"/>
        <w:rPr>
          <w:rFonts w:ascii="Arial" w:cs="Arial" w:eastAsia="Arial" w:hAnsi="Arial"/>
          <w:sz w:val="21"/>
          <w:szCs w:val="21"/>
          <w:b w:val="1"/>
          <w:bCs w:val="1"/>
          <w:color w:val="auto"/>
        </w:rPr>
      </w:pPr>
    </w:p>
    <w:p>
      <w:pPr>
        <w:ind w:left="2560" w:hanging="864"/>
        <w:spacing w:after="0"/>
        <w:tabs>
          <w:tab w:leader="none" w:pos="2560" w:val="left"/>
        </w:tabs>
        <w:numPr>
          <w:ilvl w:val="0"/>
          <w:numId w:val="66"/>
        </w:numPr>
        <w:rPr>
          <w:rFonts w:ascii="Arial" w:cs="Arial" w:eastAsia="Arial" w:hAnsi="Arial"/>
          <w:sz w:val="22"/>
          <w:szCs w:val="22"/>
          <w:b w:val="1"/>
          <w:bCs w:val="1"/>
          <w:color w:val="auto"/>
        </w:rPr>
      </w:pPr>
      <w:r>
        <w:rPr>
          <w:rFonts w:ascii="Arial" w:cs="Arial" w:eastAsia="Arial" w:hAnsi="Arial"/>
          <w:sz w:val="22"/>
          <w:szCs w:val="22"/>
          <w:color w:val="auto"/>
        </w:rPr>
        <w:t>coordinating publication activities relating to results arising from the Collaboration; and</w:t>
      </w:r>
    </w:p>
    <w:p>
      <w:pPr>
        <w:spacing w:after="0" w:line="152" w:lineRule="exact"/>
        <w:rPr>
          <w:rFonts w:ascii="Arial" w:cs="Arial" w:eastAsia="Arial" w:hAnsi="Arial"/>
          <w:sz w:val="22"/>
          <w:szCs w:val="22"/>
          <w:b w:val="1"/>
          <w:bCs w:val="1"/>
          <w:color w:val="auto"/>
        </w:rPr>
      </w:pPr>
    </w:p>
    <w:p>
      <w:pPr>
        <w:ind w:left="2600" w:hanging="904"/>
        <w:spacing w:after="0"/>
        <w:tabs>
          <w:tab w:leader="none" w:pos="2600" w:val="left"/>
        </w:tabs>
        <w:numPr>
          <w:ilvl w:val="0"/>
          <w:numId w:val="66"/>
        </w:numPr>
        <w:rPr>
          <w:rFonts w:ascii="Arial" w:cs="Arial" w:eastAsia="Arial" w:hAnsi="Arial"/>
          <w:sz w:val="22"/>
          <w:szCs w:val="22"/>
          <w:b w:val="1"/>
          <w:bCs w:val="1"/>
          <w:color w:val="auto"/>
        </w:rPr>
      </w:pPr>
      <w:r>
        <w:rPr>
          <w:rFonts w:ascii="Arial" w:cs="Arial" w:eastAsia="Arial" w:hAnsi="Arial"/>
          <w:sz w:val="22"/>
          <w:szCs w:val="22"/>
          <w:color w:val="auto"/>
        </w:rPr>
        <w:t>informally resolving disagreements between the Parties; and</w:t>
      </w:r>
    </w:p>
    <w:p>
      <w:pPr>
        <w:spacing w:after="0" w:line="152" w:lineRule="exact"/>
        <w:rPr>
          <w:rFonts w:ascii="Arial" w:cs="Arial" w:eastAsia="Arial" w:hAnsi="Arial"/>
          <w:sz w:val="22"/>
          <w:szCs w:val="22"/>
          <w:b w:val="1"/>
          <w:bCs w:val="1"/>
          <w:color w:val="auto"/>
        </w:rPr>
      </w:pPr>
    </w:p>
    <w:p>
      <w:pPr>
        <w:ind w:left="880" w:right="80" w:firstLine="816"/>
        <w:spacing w:after="0" w:line="251" w:lineRule="auto"/>
        <w:tabs>
          <w:tab w:leader="none" w:pos="2602" w:val="left"/>
        </w:tabs>
        <w:numPr>
          <w:ilvl w:val="0"/>
          <w:numId w:val="66"/>
        </w:numPr>
        <w:rPr>
          <w:rFonts w:ascii="Arial" w:cs="Arial" w:eastAsia="Arial" w:hAnsi="Arial"/>
          <w:sz w:val="22"/>
          <w:szCs w:val="22"/>
          <w:b w:val="1"/>
          <w:bCs w:val="1"/>
          <w:color w:val="auto"/>
        </w:rPr>
      </w:pPr>
      <w:r>
        <w:rPr>
          <w:rFonts w:ascii="Arial" w:cs="Arial" w:eastAsia="Arial" w:hAnsi="Arial"/>
          <w:sz w:val="22"/>
          <w:szCs w:val="22"/>
          <w:color w:val="auto"/>
        </w:rPr>
        <w:t>such other matters that are within the scope of the JSC’s powers, as either Party requests be reviewed and considered by the JSC.</w:t>
      </w:r>
    </w:p>
    <w:p>
      <w:pPr>
        <w:spacing w:after="0" w:line="113"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2"/>
          <w:szCs w:val="22"/>
          <w:b w:val="1"/>
          <w:bCs w:val="1"/>
          <w:color w:val="auto"/>
        </w:rPr>
        <w:t>2.2.2</w:t>
      </w:r>
      <w:r>
        <w:rPr>
          <w:sz w:val="20"/>
          <w:szCs w:val="20"/>
          <w:color w:val="auto"/>
        </w:rPr>
        <w:tab/>
      </w:r>
      <w:r>
        <w:rPr>
          <w:rFonts w:ascii="Arial" w:cs="Arial" w:eastAsia="Arial" w:hAnsi="Arial"/>
          <w:sz w:val="19"/>
          <w:szCs w:val="19"/>
          <w:b w:val="1"/>
          <w:bCs w:val="1"/>
          <w:color w:val="auto"/>
        </w:rPr>
        <w:t xml:space="preserve">JSC Term; Limitations on JSC Powers. </w:t>
      </w:r>
      <w:r>
        <w:rPr>
          <w:rFonts w:ascii="Arial" w:cs="Arial" w:eastAsia="Arial" w:hAnsi="Arial"/>
          <w:sz w:val="19"/>
          <w:szCs w:val="19"/>
          <w:color w:val="auto"/>
        </w:rPr>
        <w:t>The JSC will terminate on the later of the expiration of the</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Research Term or the completion of Technology Transfer Activities requested by Novartis. The JSC will have no authority to:</w:t>
      </w:r>
    </w:p>
    <w:p>
      <w:pPr>
        <w:spacing w:after="0" w:line="169" w:lineRule="exact"/>
        <w:rPr>
          <w:sz w:val="20"/>
          <w:szCs w:val="20"/>
          <w:color w:val="auto"/>
        </w:rPr>
      </w:pPr>
    </w:p>
    <w:p>
      <w:pPr>
        <w:ind w:left="2600" w:hanging="904"/>
        <w:spacing w:after="0"/>
        <w:tabs>
          <w:tab w:leader="none" w:pos="2600" w:val="left"/>
        </w:tabs>
        <w:numPr>
          <w:ilvl w:val="0"/>
          <w:numId w:val="67"/>
        </w:numPr>
        <w:rPr>
          <w:rFonts w:ascii="Arial" w:cs="Arial" w:eastAsia="Arial" w:hAnsi="Arial"/>
          <w:sz w:val="22"/>
          <w:szCs w:val="22"/>
          <w:b w:val="1"/>
          <w:bCs w:val="1"/>
          <w:color w:val="auto"/>
        </w:rPr>
      </w:pPr>
      <w:r>
        <w:rPr>
          <w:rFonts w:ascii="Arial" w:cs="Arial" w:eastAsia="Arial" w:hAnsi="Arial"/>
          <w:sz w:val="22"/>
          <w:szCs w:val="22"/>
          <w:color w:val="auto"/>
        </w:rPr>
        <w:t>amend or modify this Agreement or waive compliance with this Agreement;</w:t>
      </w:r>
    </w:p>
    <w:p>
      <w:pPr>
        <w:spacing w:after="0" w:line="152" w:lineRule="exact"/>
        <w:rPr>
          <w:rFonts w:ascii="Arial" w:cs="Arial" w:eastAsia="Arial" w:hAnsi="Arial"/>
          <w:sz w:val="22"/>
          <w:szCs w:val="22"/>
          <w:b w:val="1"/>
          <w:bCs w:val="1"/>
          <w:color w:val="auto"/>
        </w:rPr>
      </w:pPr>
    </w:p>
    <w:p>
      <w:pPr>
        <w:ind w:left="2600" w:hanging="904"/>
        <w:spacing w:after="0"/>
        <w:tabs>
          <w:tab w:leader="none" w:pos="2600" w:val="left"/>
        </w:tabs>
        <w:numPr>
          <w:ilvl w:val="0"/>
          <w:numId w:val="67"/>
        </w:numPr>
        <w:rPr>
          <w:rFonts w:ascii="Arial" w:cs="Arial" w:eastAsia="Arial" w:hAnsi="Arial"/>
          <w:sz w:val="22"/>
          <w:szCs w:val="22"/>
          <w:b w:val="1"/>
          <w:bCs w:val="1"/>
          <w:color w:val="auto"/>
        </w:rPr>
      </w:pPr>
      <w:r>
        <w:rPr>
          <w:rFonts w:ascii="Arial" w:cs="Arial" w:eastAsia="Arial" w:hAnsi="Arial"/>
          <w:sz w:val="22"/>
          <w:szCs w:val="22"/>
          <w:color w:val="auto"/>
        </w:rPr>
        <w:t>make decisions that conflict with the terms and conditions of this Agreement;</w:t>
      </w:r>
    </w:p>
    <w:p>
      <w:pPr>
        <w:spacing w:after="0" w:line="152" w:lineRule="exact"/>
        <w:rPr>
          <w:rFonts w:ascii="Arial" w:cs="Arial" w:eastAsia="Arial" w:hAnsi="Arial"/>
          <w:sz w:val="22"/>
          <w:szCs w:val="22"/>
          <w:b w:val="1"/>
          <w:bCs w:val="1"/>
          <w:color w:val="auto"/>
        </w:rPr>
      </w:pPr>
    </w:p>
    <w:p>
      <w:pPr>
        <w:ind w:left="880" w:right="600" w:firstLine="816"/>
        <w:spacing w:after="0" w:line="274" w:lineRule="auto"/>
        <w:tabs>
          <w:tab w:leader="none" w:pos="2578" w:val="left"/>
        </w:tabs>
        <w:numPr>
          <w:ilvl w:val="0"/>
          <w:numId w:val="67"/>
        </w:numPr>
        <w:rPr>
          <w:rFonts w:ascii="Arial" w:cs="Arial" w:eastAsia="Arial" w:hAnsi="Arial"/>
          <w:sz w:val="21"/>
          <w:szCs w:val="21"/>
          <w:b w:val="1"/>
          <w:bCs w:val="1"/>
          <w:color w:val="auto"/>
        </w:rPr>
      </w:pPr>
      <w:r>
        <w:rPr>
          <w:rFonts w:ascii="Arial" w:cs="Arial" w:eastAsia="Arial" w:hAnsi="Arial"/>
          <w:sz w:val="21"/>
          <w:szCs w:val="21"/>
          <w:color w:val="auto"/>
        </w:rPr>
        <w:t>financially obligate Cerulean without its consent in excess of the amounts contemplated by this Agreement without granting to Cerulean a right to reimbursement of such amounts; or</w:t>
      </w:r>
    </w:p>
    <w:p>
      <w:pPr>
        <w:spacing w:after="0" w:line="96" w:lineRule="exact"/>
        <w:rPr>
          <w:rFonts w:ascii="Arial" w:cs="Arial" w:eastAsia="Arial" w:hAnsi="Arial"/>
          <w:sz w:val="21"/>
          <w:szCs w:val="21"/>
          <w:b w:val="1"/>
          <w:bCs w:val="1"/>
          <w:color w:val="auto"/>
        </w:rPr>
      </w:pPr>
    </w:p>
    <w:p>
      <w:pPr>
        <w:ind w:left="2600" w:hanging="904"/>
        <w:spacing w:after="0"/>
        <w:tabs>
          <w:tab w:leader="none" w:pos="2600" w:val="left"/>
        </w:tabs>
        <w:numPr>
          <w:ilvl w:val="0"/>
          <w:numId w:val="67"/>
        </w:numPr>
        <w:rPr>
          <w:rFonts w:ascii="Arial" w:cs="Arial" w:eastAsia="Arial" w:hAnsi="Arial"/>
          <w:sz w:val="22"/>
          <w:szCs w:val="22"/>
          <w:b w:val="1"/>
          <w:bCs w:val="1"/>
          <w:color w:val="auto"/>
        </w:rPr>
      </w:pPr>
      <w:r>
        <w:rPr>
          <w:rFonts w:ascii="Arial" w:cs="Arial" w:eastAsia="Arial" w:hAnsi="Arial"/>
          <w:sz w:val="22"/>
          <w:szCs w:val="22"/>
          <w:color w:val="auto"/>
        </w:rPr>
        <w:t>obligate Novartis without its consent in excess of the amounts set forth in this Agreement.</w:t>
      </w:r>
    </w:p>
    <w:p>
      <w:pPr>
        <w:spacing w:after="0" w:line="152" w:lineRule="exact"/>
        <w:rPr>
          <w:sz w:val="20"/>
          <w:szCs w:val="20"/>
          <w:color w:val="auto"/>
        </w:rPr>
      </w:pPr>
    </w:p>
    <w:p>
      <w:pPr>
        <w:ind w:right="440"/>
        <w:spacing w:after="0" w:line="328" w:lineRule="auto"/>
        <w:rPr>
          <w:sz w:val="20"/>
          <w:szCs w:val="20"/>
          <w:color w:val="auto"/>
        </w:rPr>
      </w:pPr>
      <w:r>
        <w:rPr>
          <w:rFonts w:ascii="Arial" w:cs="Arial" w:eastAsia="Arial" w:hAnsi="Arial"/>
          <w:sz w:val="19"/>
          <w:szCs w:val="19"/>
          <w:color w:val="auto"/>
        </w:rPr>
        <w:t>Notwithstanding anything to the contrary (including, for the sake of clarity, Section 2.2.1(g)), the JSC will have no authority to resolve disputes between the Parties regarding their respective rights and obligations under the Agreement.</w:t>
      </w:r>
    </w:p>
    <w:p>
      <w:pPr>
        <w:spacing w:after="0" w:line="1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9" w:name="page80"/>
    <w:bookmarkEnd w:id="79"/>
    <w:p>
      <w:pPr>
        <w:ind w:left="9560"/>
        <w:spacing w:after="0"/>
        <w:rPr>
          <w:sz w:val="20"/>
          <w:szCs w:val="20"/>
          <w:color w:val="auto"/>
        </w:rPr>
      </w:pPr>
      <w:r>
        <w:rPr>
          <w:rFonts w:ascii="Arial" w:cs="Arial" w:eastAsia="Arial" w:hAnsi="Arial"/>
          <w:sz w:val="19"/>
          <w:szCs w:val="19"/>
          <w:color w:val="auto"/>
        </w:rPr>
        <w:t>EXECUTION COPY</w:t>
      </w:r>
    </w:p>
    <w:p>
      <w:pPr>
        <w:spacing w:after="0" w:line="262" w:lineRule="exact"/>
        <w:rPr>
          <w:sz w:val="20"/>
          <w:szCs w:val="20"/>
          <w:color w:val="auto"/>
        </w:rPr>
      </w:pPr>
    </w:p>
    <w:p>
      <w:pPr>
        <w:ind w:right="20" w:firstLine="877"/>
        <w:spacing w:after="0" w:line="246" w:lineRule="auto"/>
        <w:rPr>
          <w:sz w:val="20"/>
          <w:szCs w:val="20"/>
          <w:color w:val="auto"/>
        </w:rPr>
      </w:pPr>
      <w:r>
        <w:rPr>
          <w:rFonts w:ascii="Arial" w:cs="Arial" w:eastAsia="Arial" w:hAnsi="Arial"/>
          <w:sz w:val="21"/>
          <w:szCs w:val="21"/>
          <w:b w:val="1"/>
          <w:bCs w:val="1"/>
          <w:color w:val="auto"/>
        </w:rPr>
        <w:t xml:space="preserve">2.2.3 JSC Membership. </w:t>
      </w:r>
      <w:r>
        <w:rPr>
          <w:rFonts w:ascii="Arial" w:cs="Arial" w:eastAsia="Arial" w:hAnsi="Arial"/>
          <w:sz w:val="21"/>
          <w:szCs w:val="21"/>
          <w:color w:val="auto"/>
        </w:rPr>
        <w:t>The JSC will be comprised of three representatives from each of the Parties (unless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Parties otherwise agree in writing). Either Party may replace its respective JSC representatives at any time upon prior written notice to the other Party. If a JSC member from either Party is unable to attend or participate in a JSC meeting, the Party who designated that representative may designate a substitute JSC representative for the meeting in its sole discretion upon prior written notice to the other Party. The Alliance Managers appointed by each of the Parties pursuant to Section 2.2.7 will be </w:t>
      </w:r>
      <w:r>
        <w:rPr>
          <w:rFonts w:ascii="Arial" w:cs="Arial" w:eastAsia="Arial" w:hAnsi="Arial"/>
          <w:sz w:val="21"/>
          <w:szCs w:val="21"/>
          <w:i w:val="1"/>
          <w:iCs w:val="1"/>
          <w:color w:val="auto"/>
        </w:rPr>
        <w:t>ex officio</w:t>
      </w:r>
      <w:r>
        <w:rPr>
          <w:rFonts w:ascii="Arial" w:cs="Arial" w:eastAsia="Arial" w:hAnsi="Arial"/>
          <w:sz w:val="21"/>
          <w:szCs w:val="21"/>
          <w:color w:val="auto"/>
        </w:rPr>
        <w:t xml:space="preserve"> members of the JSC. With the consent of the other Party, each Party may invite additional non-voting employees, consultants, and scientific advisors to attend any JSC meeting to discuss issues arising in the Collaboration, so long as any of those employees, consultants, or scientific advisors are subject to restrictions regarding the confidentiality and non-use of Proprietary Information no less restrictive than the provisions of Article VI.</w:t>
      </w:r>
    </w:p>
    <w:p>
      <w:pPr>
        <w:spacing w:after="0" w:line="122"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2"/>
          <w:szCs w:val="22"/>
          <w:b w:val="1"/>
          <w:bCs w:val="1"/>
          <w:color w:val="auto"/>
        </w:rPr>
        <w:t>2.2.4</w:t>
      </w:r>
      <w:r>
        <w:rPr>
          <w:sz w:val="20"/>
          <w:szCs w:val="20"/>
          <w:color w:val="auto"/>
        </w:rPr>
        <w:tab/>
      </w:r>
      <w:r>
        <w:rPr>
          <w:rFonts w:ascii="Arial" w:cs="Arial" w:eastAsia="Arial" w:hAnsi="Arial"/>
          <w:sz w:val="19"/>
          <w:szCs w:val="19"/>
          <w:b w:val="1"/>
          <w:bCs w:val="1"/>
          <w:color w:val="auto"/>
        </w:rPr>
        <w:t xml:space="preserve">Chair and Secretary. </w:t>
      </w:r>
      <w:r>
        <w:rPr>
          <w:rFonts w:ascii="Arial" w:cs="Arial" w:eastAsia="Arial" w:hAnsi="Arial"/>
          <w:sz w:val="19"/>
          <w:szCs w:val="19"/>
          <w:color w:val="auto"/>
        </w:rPr>
        <w:t>[**] will appoint one of its members to chair JSC meetings (the “</w:t>
      </w:r>
      <w:r>
        <w:rPr>
          <w:rFonts w:ascii="Arial" w:cs="Arial" w:eastAsia="Arial" w:hAnsi="Arial"/>
          <w:sz w:val="19"/>
          <w:szCs w:val="19"/>
          <w:u w:val="single" w:color="auto"/>
          <w:color w:val="auto"/>
        </w:rPr>
        <w:t>Chair</w:t>
      </w:r>
      <w:r>
        <w:rPr>
          <w:rFonts w:ascii="Arial" w:cs="Arial" w:eastAsia="Arial" w:hAnsi="Arial"/>
          <w:sz w:val="19"/>
          <w:szCs w:val="19"/>
          <w:color w:val="auto"/>
        </w:rPr>
        <w:t>”). The Chair</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will:</w:t>
      </w:r>
    </w:p>
    <w:p>
      <w:pPr>
        <w:spacing w:after="0" w:line="134" w:lineRule="exact"/>
        <w:rPr>
          <w:sz w:val="20"/>
          <w:szCs w:val="20"/>
          <w:color w:val="auto"/>
        </w:rPr>
      </w:pPr>
    </w:p>
    <w:p>
      <w:pPr>
        <w:ind w:left="2640" w:hanging="944"/>
        <w:spacing w:after="0"/>
        <w:tabs>
          <w:tab w:leader="none" w:pos="2640" w:val="left"/>
        </w:tabs>
        <w:numPr>
          <w:ilvl w:val="0"/>
          <w:numId w:val="68"/>
        </w:numPr>
        <w:rPr>
          <w:rFonts w:ascii="Arial" w:cs="Arial" w:eastAsia="Arial" w:hAnsi="Arial"/>
          <w:sz w:val="22"/>
          <w:szCs w:val="22"/>
          <w:b w:val="1"/>
          <w:bCs w:val="1"/>
          <w:color w:val="auto"/>
        </w:rPr>
      </w:pPr>
      <w:r>
        <w:rPr>
          <w:rFonts w:ascii="Arial" w:cs="Arial" w:eastAsia="Arial" w:hAnsi="Arial"/>
          <w:sz w:val="22"/>
          <w:szCs w:val="22"/>
          <w:color w:val="auto"/>
        </w:rPr>
        <w:t>ensure the orderly conduct of JSC meetings; and</w:t>
      </w:r>
    </w:p>
    <w:p>
      <w:pPr>
        <w:spacing w:after="0" w:line="152" w:lineRule="exact"/>
        <w:rPr>
          <w:rFonts w:ascii="Arial" w:cs="Arial" w:eastAsia="Arial" w:hAnsi="Arial"/>
          <w:sz w:val="22"/>
          <w:szCs w:val="22"/>
          <w:b w:val="1"/>
          <w:bCs w:val="1"/>
          <w:color w:val="auto"/>
        </w:rPr>
      </w:pPr>
    </w:p>
    <w:p>
      <w:pPr>
        <w:ind w:left="880" w:right="240" w:firstLine="816"/>
        <w:spacing w:after="0" w:line="251" w:lineRule="auto"/>
        <w:tabs>
          <w:tab w:leader="none" w:pos="2656" w:val="left"/>
        </w:tabs>
        <w:numPr>
          <w:ilvl w:val="0"/>
          <w:numId w:val="68"/>
        </w:numPr>
        <w:rPr>
          <w:rFonts w:ascii="Arial" w:cs="Arial" w:eastAsia="Arial" w:hAnsi="Arial"/>
          <w:sz w:val="22"/>
          <w:szCs w:val="22"/>
          <w:b w:val="1"/>
          <w:bCs w:val="1"/>
          <w:color w:val="auto"/>
        </w:rPr>
      </w:pPr>
      <w:r>
        <w:rPr>
          <w:rFonts w:ascii="Arial" w:cs="Arial" w:eastAsia="Arial" w:hAnsi="Arial"/>
          <w:sz w:val="22"/>
          <w:szCs w:val="22"/>
          <w:color w:val="auto"/>
        </w:rPr>
        <w:t>attend each JSC meeting (either in-person, by videoconference, or telephonically, unless otherwise expressly provided herein).</w:t>
      </w:r>
    </w:p>
    <w:p>
      <w:pPr>
        <w:spacing w:after="0" w:line="119" w:lineRule="exact"/>
        <w:rPr>
          <w:sz w:val="20"/>
          <w:szCs w:val="20"/>
          <w:color w:val="auto"/>
        </w:rPr>
      </w:pPr>
    </w:p>
    <w:p>
      <w:pPr>
        <w:jc w:val="both"/>
        <w:ind w:right="480"/>
        <w:spacing w:after="0" w:line="297" w:lineRule="auto"/>
        <w:rPr>
          <w:sz w:val="20"/>
          <w:szCs w:val="20"/>
          <w:color w:val="auto"/>
        </w:rPr>
      </w:pPr>
      <w:r>
        <w:rPr>
          <w:rFonts w:ascii="Arial" w:cs="Arial" w:eastAsia="Arial" w:hAnsi="Arial"/>
          <w:sz w:val="19"/>
          <w:szCs w:val="19"/>
          <w:color w:val="auto"/>
        </w:rPr>
        <w:t>If the Chair is unable to attend or participate in a JSC meeting, [**] may designate a substitute Chair for the meeting in its sole discretion upon prior written notice to [**]. [**] will appoint one of its members to act as secretary for the JSC meetings (the “</w:t>
      </w:r>
      <w:r>
        <w:rPr>
          <w:rFonts w:ascii="Arial" w:cs="Arial" w:eastAsia="Arial" w:hAnsi="Arial"/>
          <w:sz w:val="19"/>
          <w:szCs w:val="19"/>
          <w:u w:val="single" w:color="auto"/>
          <w:color w:val="auto"/>
        </w:rPr>
        <w:t>Secretary</w:t>
      </w:r>
      <w:r>
        <w:rPr>
          <w:rFonts w:ascii="Arial" w:cs="Arial" w:eastAsia="Arial" w:hAnsi="Arial"/>
          <w:sz w:val="19"/>
          <w:szCs w:val="19"/>
          <w:color w:val="auto"/>
        </w:rPr>
        <w:t>”). The Secretary may, in [**] discretion, also serve the role of its Alliance Manager. The Secretary will:</w:t>
      </w:r>
    </w:p>
    <w:p>
      <w:pPr>
        <w:spacing w:after="0" w:line="80" w:lineRule="exact"/>
        <w:rPr>
          <w:sz w:val="20"/>
          <w:szCs w:val="20"/>
          <w:color w:val="auto"/>
        </w:rPr>
      </w:pPr>
    </w:p>
    <w:p>
      <w:pPr>
        <w:ind w:left="880" w:right="300" w:firstLine="816"/>
        <w:spacing w:after="0" w:line="251" w:lineRule="auto"/>
        <w:tabs>
          <w:tab w:leader="none" w:pos="2596" w:val="left"/>
        </w:tabs>
        <w:numPr>
          <w:ilvl w:val="0"/>
          <w:numId w:val="69"/>
        </w:numPr>
        <w:rPr>
          <w:rFonts w:ascii="Arial" w:cs="Arial" w:eastAsia="Arial" w:hAnsi="Arial"/>
          <w:sz w:val="22"/>
          <w:szCs w:val="22"/>
          <w:b w:val="1"/>
          <w:bCs w:val="1"/>
          <w:color w:val="auto"/>
        </w:rPr>
      </w:pPr>
      <w:r>
        <w:rPr>
          <w:rFonts w:ascii="Arial" w:cs="Arial" w:eastAsia="Arial" w:hAnsi="Arial"/>
          <w:sz w:val="22"/>
          <w:szCs w:val="22"/>
          <w:color w:val="auto"/>
        </w:rPr>
        <w:t>prepare and issue written minutes of each meeting within [**] days thereafter accurately reflecting the discussions and decisions of that meeting; and</w:t>
      </w:r>
    </w:p>
    <w:p>
      <w:pPr>
        <w:spacing w:after="0" w:line="119" w:lineRule="exact"/>
        <w:rPr>
          <w:rFonts w:ascii="Arial" w:cs="Arial" w:eastAsia="Arial" w:hAnsi="Arial"/>
          <w:sz w:val="22"/>
          <w:szCs w:val="22"/>
          <w:b w:val="1"/>
          <w:bCs w:val="1"/>
          <w:color w:val="auto"/>
        </w:rPr>
      </w:pPr>
    </w:p>
    <w:p>
      <w:pPr>
        <w:ind w:left="880" w:right="240" w:firstLine="816"/>
        <w:spacing w:after="0" w:line="251" w:lineRule="auto"/>
        <w:tabs>
          <w:tab w:leader="none" w:pos="2656" w:val="left"/>
        </w:tabs>
        <w:numPr>
          <w:ilvl w:val="0"/>
          <w:numId w:val="69"/>
        </w:numPr>
        <w:rPr>
          <w:rFonts w:ascii="Arial" w:cs="Arial" w:eastAsia="Arial" w:hAnsi="Arial"/>
          <w:sz w:val="22"/>
          <w:szCs w:val="22"/>
          <w:b w:val="1"/>
          <w:bCs w:val="1"/>
          <w:color w:val="auto"/>
        </w:rPr>
      </w:pPr>
      <w:r>
        <w:rPr>
          <w:rFonts w:ascii="Arial" w:cs="Arial" w:eastAsia="Arial" w:hAnsi="Arial"/>
          <w:sz w:val="22"/>
          <w:szCs w:val="22"/>
          <w:color w:val="auto"/>
        </w:rPr>
        <w:t>attend each JSC meeting (either in-person, by videoconference, or telephonically, unless otherwise expressly provided herein).</w:t>
      </w:r>
    </w:p>
    <w:p>
      <w:pPr>
        <w:spacing w:after="0" w:line="119" w:lineRule="exact"/>
        <w:rPr>
          <w:sz w:val="20"/>
          <w:szCs w:val="20"/>
          <w:color w:val="auto"/>
        </w:rPr>
      </w:pPr>
    </w:p>
    <w:p>
      <w:pPr>
        <w:ind w:right="200"/>
        <w:spacing w:after="0" w:line="251" w:lineRule="auto"/>
        <w:rPr>
          <w:sz w:val="20"/>
          <w:szCs w:val="20"/>
          <w:color w:val="auto"/>
        </w:rPr>
      </w:pPr>
      <w:r>
        <w:rPr>
          <w:rFonts w:ascii="Arial" w:cs="Arial" w:eastAsia="Arial" w:hAnsi="Arial"/>
          <w:sz w:val="22"/>
          <w:szCs w:val="22"/>
          <w:color w:val="auto"/>
        </w:rPr>
        <w:t>If the Secretary is unable to attend or participate in a JSC meeting, [**] may designate a substitute Secretary for the meeting in its sole discretion.</w:t>
      </w:r>
    </w:p>
    <w:p>
      <w:pPr>
        <w:spacing w:after="0" w:line="113"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2"/>
          <w:szCs w:val="22"/>
          <w:b w:val="1"/>
          <w:bCs w:val="1"/>
          <w:color w:val="auto"/>
        </w:rPr>
        <w:t>2.2.5</w:t>
      </w:r>
      <w:r>
        <w:rPr>
          <w:sz w:val="20"/>
          <w:szCs w:val="20"/>
          <w:color w:val="auto"/>
        </w:rPr>
        <w:tab/>
      </w:r>
      <w:r>
        <w:rPr>
          <w:rFonts w:ascii="Arial" w:cs="Arial" w:eastAsia="Arial" w:hAnsi="Arial"/>
          <w:sz w:val="19"/>
          <w:szCs w:val="19"/>
          <w:b w:val="1"/>
          <w:bCs w:val="1"/>
          <w:color w:val="auto"/>
        </w:rPr>
        <w:t>Committee Meetings.</w:t>
      </w:r>
    </w:p>
    <w:p>
      <w:pPr>
        <w:spacing w:after="0" w:line="158" w:lineRule="exact"/>
        <w:rPr>
          <w:sz w:val="20"/>
          <w:szCs w:val="20"/>
          <w:color w:val="auto"/>
        </w:rPr>
      </w:pPr>
    </w:p>
    <w:p>
      <w:pPr>
        <w:ind w:left="880" w:right="40" w:firstLine="816"/>
        <w:spacing w:after="0"/>
        <w:tabs>
          <w:tab w:leader="none" w:pos="2590" w:val="left"/>
        </w:tabs>
        <w:numPr>
          <w:ilvl w:val="0"/>
          <w:numId w:val="70"/>
        </w:numPr>
        <w:rPr>
          <w:rFonts w:ascii="Arial" w:cs="Arial" w:eastAsia="Arial" w:hAnsi="Arial"/>
          <w:sz w:val="22"/>
          <w:szCs w:val="22"/>
          <w:b w:val="1"/>
          <w:bCs w:val="1"/>
          <w:color w:val="auto"/>
        </w:rPr>
      </w:pPr>
      <w:r>
        <w:rPr>
          <w:rFonts w:ascii="Arial" w:cs="Arial" w:eastAsia="Arial" w:hAnsi="Arial"/>
          <w:sz w:val="22"/>
          <w:szCs w:val="22"/>
          <w:color w:val="auto"/>
        </w:rPr>
        <w:t>The JSC will meet on a [**] basis during the Research Term (or as otherwise as agreed by the JSC) at locations and methods (</w:t>
      </w:r>
      <w:r>
        <w:rPr>
          <w:rFonts w:ascii="Arial" w:cs="Arial" w:eastAsia="Arial" w:hAnsi="Arial"/>
          <w:sz w:val="22"/>
          <w:szCs w:val="22"/>
          <w:i w:val="1"/>
          <w:iCs w:val="1"/>
          <w:color w:val="auto"/>
        </w:rPr>
        <w:t>i.e.</w:t>
      </w:r>
      <w:r>
        <w:rPr>
          <w:rFonts w:ascii="Arial" w:cs="Arial" w:eastAsia="Arial" w:hAnsi="Arial"/>
          <w:sz w:val="22"/>
          <w:szCs w:val="22"/>
          <w:color w:val="auto"/>
        </w:rPr>
        <w:t>, in person, by videoconference, or telephonically) alternatively selected by Novartis and Cerulean, with [**] making the first such selection.</w:t>
      </w:r>
    </w:p>
    <w:p>
      <w:pPr>
        <w:spacing w:after="0" w:line="132" w:lineRule="exact"/>
        <w:rPr>
          <w:rFonts w:ascii="Arial" w:cs="Arial" w:eastAsia="Arial" w:hAnsi="Arial"/>
          <w:sz w:val="22"/>
          <w:szCs w:val="22"/>
          <w:b w:val="1"/>
          <w:bCs w:val="1"/>
          <w:color w:val="auto"/>
        </w:rPr>
      </w:pPr>
    </w:p>
    <w:p>
      <w:pPr>
        <w:ind w:left="880" w:right="60" w:firstLine="816"/>
        <w:spacing w:after="0"/>
        <w:tabs>
          <w:tab w:leader="none" w:pos="2602" w:val="left"/>
        </w:tabs>
        <w:numPr>
          <w:ilvl w:val="0"/>
          <w:numId w:val="70"/>
        </w:numPr>
        <w:rPr>
          <w:rFonts w:ascii="Arial" w:cs="Arial" w:eastAsia="Arial" w:hAnsi="Arial"/>
          <w:sz w:val="22"/>
          <w:szCs w:val="22"/>
          <w:b w:val="1"/>
          <w:bCs w:val="1"/>
          <w:color w:val="auto"/>
        </w:rPr>
      </w:pPr>
      <w:r>
        <w:rPr>
          <w:rFonts w:ascii="Arial" w:cs="Arial" w:eastAsia="Arial" w:hAnsi="Arial"/>
          <w:sz w:val="22"/>
          <w:szCs w:val="22"/>
          <w:color w:val="auto"/>
        </w:rPr>
        <w:t>Either Party may also call a special meeting of the JSC (by videoconference or teleconference) with at least [**] days’ prior written notice to the other Party if that Party reasonably believes that a significant matter must be addressed prior to the next regularly scheduled meeting.</w:t>
      </w:r>
    </w:p>
    <w:p>
      <w:pPr>
        <w:spacing w:after="0" w:line="126" w:lineRule="exact"/>
        <w:rPr>
          <w:sz w:val="20"/>
          <w:szCs w:val="20"/>
          <w:color w:val="auto"/>
        </w:rPr>
      </w:pPr>
    </w:p>
    <w:p>
      <w:pPr>
        <w:ind w:right="740" w:firstLine="877"/>
        <w:spacing w:after="0" w:line="243" w:lineRule="auto"/>
        <w:rPr>
          <w:sz w:val="20"/>
          <w:szCs w:val="20"/>
          <w:color w:val="auto"/>
        </w:rPr>
      </w:pPr>
      <w:r>
        <w:rPr>
          <w:rFonts w:ascii="Arial" w:cs="Arial" w:eastAsia="Arial" w:hAnsi="Arial"/>
          <w:sz w:val="22"/>
          <w:szCs w:val="22"/>
          <w:b w:val="1"/>
          <w:bCs w:val="1"/>
          <w:color w:val="auto"/>
        </w:rPr>
        <w:t>2.2.6 JSC Decision Making</w:t>
      </w:r>
      <w:r>
        <w:rPr>
          <w:rFonts w:ascii="Arial" w:cs="Arial" w:eastAsia="Arial" w:hAnsi="Arial"/>
          <w:sz w:val="22"/>
          <w:szCs w:val="22"/>
          <w:color w:val="auto"/>
        </w:rPr>
        <w:t>. Other than as set forth herein, in order to make any decision required of it</w:t>
      </w:r>
      <w:r>
        <w:rPr>
          <w:rFonts w:ascii="Arial" w:cs="Arial" w:eastAsia="Arial" w:hAnsi="Arial"/>
          <w:sz w:val="22"/>
          <w:szCs w:val="22"/>
          <w:b w:val="1"/>
          <w:bCs w:val="1"/>
          <w:color w:val="auto"/>
        </w:rPr>
        <w:t xml:space="preserve"> </w:t>
      </w:r>
      <w:r>
        <w:rPr>
          <w:rFonts w:ascii="Arial" w:cs="Arial" w:eastAsia="Arial" w:hAnsi="Arial"/>
          <w:sz w:val="22"/>
          <w:szCs w:val="22"/>
          <w:color w:val="auto"/>
        </w:rPr>
        <w:t>hereunder, the JSC must have present (in person, by videoconference, or telephonically) at least two members (or his or her designees for that meeting) from each of the</w:t>
      </w:r>
    </w:p>
    <w:p>
      <w:pPr>
        <w:spacing w:after="0" w:line="1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0" w:name="page81"/>
    <w:bookmarkEnd w:id="80"/>
    <w:p>
      <w:pPr>
        <w:ind w:left="9560"/>
        <w:spacing w:after="0"/>
        <w:rPr>
          <w:sz w:val="20"/>
          <w:szCs w:val="20"/>
          <w:color w:val="auto"/>
        </w:rPr>
      </w:pPr>
      <w:r>
        <w:rPr>
          <w:rFonts w:ascii="Arial" w:cs="Arial" w:eastAsia="Arial" w:hAnsi="Arial"/>
          <w:sz w:val="19"/>
          <w:szCs w:val="19"/>
          <w:color w:val="auto"/>
        </w:rPr>
        <w:t>EXECUTION COPY</w:t>
      </w:r>
    </w:p>
    <w:p>
      <w:pPr>
        <w:spacing w:after="0" w:line="268" w:lineRule="exact"/>
        <w:rPr>
          <w:sz w:val="20"/>
          <w:szCs w:val="20"/>
          <w:color w:val="auto"/>
        </w:rPr>
      </w:pPr>
    </w:p>
    <w:p>
      <w:pPr>
        <w:ind w:right="200"/>
        <w:spacing w:after="0" w:line="287" w:lineRule="auto"/>
        <w:rPr>
          <w:sz w:val="20"/>
          <w:szCs w:val="20"/>
          <w:color w:val="auto"/>
        </w:rPr>
      </w:pPr>
      <w:r>
        <w:rPr>
          <w:rFonts w:ascii="Arial" w:cs="Arial" w:eastAsia="Arial" w:hAnsi="Arial"/>
          <w:sz w:val="19"/>
          <w:szCs w:val="19"/>
          <w:color w:val="auto"/>
        </w:rPr>
        <w:t xml:space="preserve">Parties. The Parties will endeavor to make decisions where required of the JSC by consensus, with each Party having one vote. If the JSC cannot reach consensus, and subject to Section 2.2.2 above, any regulatory, safety, or clinical matters, and any matters relating to [**], will be decided by [**], and all other disputes will be escalated to the Senior Officers, in accordance with Section 9.1 (but without escalation to arbitration </w:t>
      </w:r>
      <w:r>
        <w:rPr>
          <w:rFonts w:ascii="Arial" w:cs="Arial" w:eastAsia="Arial" w:hAnsi="Arial"/>
          <w:sz w:val="19"/>
          <w:szCs w:val="19"/>
          <w:i w:val="1"/>
          <w:iCs w:val="1"/>
          <w:color w:val="auto"/>
        </w:rPr>
        <w:t>via</w:t>
      </w:r>
      <w:r>
        <w:rPr>
          <w:rFonts w:ascii="Arial" w:cs="Arial" w:eastAsia="Arial" w:hAnsi="Arial"/>
          <w:sz w:val="19"/>
          <w:szCs w:val="19"/>
          <w:color w:val="auto"/>
        </w:rPr>
        <w:t xml:space="preserve"> Section 9.2), with [**] having the final decision-making right.</w:t>
      </w:r>
    </w:p>
    <w:p>
      <w:pPr>
        <w:spacing w:after="0" w:line="83" w:lineRule="exact"/>
        <w:rPr>
          <w:sz w:val="20"/>
          <w:szCs w:val="20"/>
          <w:color w:val="auto"/>
        </w:rPr>
      </w:pPr>
    </w:p>
    <w:p>
      <w:pPr>
        <w:ind w:right="80" w:firstLine="877"/>
        <w:spacing w:after="0" w:line="280" w:lineRule="auto"/>
        <w:rPr>
          <w:sz w:val="20"/>
          <w:szCs w:val="20"/>
          <w:color w:val="auto"/>
        </w:rPr>
      </w:pPr>
      <w:r>
        <w:rPr>
          <w:rFonts w:ascii="Arial" w:cs="Arial" w:eastAsia="Arial" w:hAnsi="Arial"/>
          <w:sz w:val="19"/>
          <w:szCs w:val="19"/>
          <w:b w:val="1"/>
          <w:bCs w:val="1"/>
          <w:color w:val="auto"/>
        </w:rPr>
        <w:t xml:space="preserve">2.2.7 Alliance Manager. </w:t>
      </w:r>
      <w:r>
        <w:rPr>
          <w:rFonts w:ascii="Arial" w:cs="Arial" w:eastAsia="Arial" w:hAnsi="Arial"/>
          <w:sz w:val="19"/>
          <w:szCs w:val="19"/>
          <w:color w:val="auto"/>
        </w:rPr>
        <w:t>Each of the Parties will appoint a representative who possesses a general understanding</w:t>
      </w:r>
      <w:r>
        <w:rPr>
          <w:rFonts w:ascii="Arial" w:cs="Arial" w:eastAsia="Arial" w:hAnsi="Arial"/>
          <w:sz w:val="19"/>
          <w:szCs w:val="19"/>
          <w:b w:val="1"/>
          <w:bCs w:val="1"/>
          <w:color w:val="auto"/>
        </w:rPr>
        <w:t xml:space="preserve"> </w:t>
      </w:r>
      <w:r>
        <w:rPr>
          <w:rFonts w:ascii="Arial" w:cs="Arial" w:eastAsia="Arial" w:hAnsi="Arial"/>
          <w:sz w:val="19"/>
          <w:szCs w:val="19"/>
          <w:color w:val="auto"/>
        </w:rPr>
        <w:t>of research matters to act as its alliance manager for the Collaboration (each, an “</w:t>
      </w:r>
      <w:r>
        <w:rPr>
          <w:rFonts w:ascii="Arial" w:cs="Arial" w:eastAsia="Arial" w:hAnsi="Arial"/>
          <w:sz w:val="19"/>
          <w:szCs w:val="19"/>
          <w:u w:val="single" w:color="auto"/>
          <w:color w:val="auto"/>
        </w:rPr>
        <w:t>Alliance Manager</w:t>
      </w:r>
      <w:r>
        <w:rPr>
          <w:rFonts w:ascii="Arial" w:cs="Arial" w:eastAsia="Arial" w:hAnsi="Arial"/>
          <w:sz w:val="19"/>
          <w:szCs w:val="19"/>
          <w:color w:val="auto"/>
        </w:rPr>
        <w:t>”). Each Party may replace its respective Alliance Manager at any time upon written notice to the other in accordance with this Agreement. Any Alliance Manager may designate a substitute to temporarily perform the functions of that Alliance Manager upon written notice to the other Party. Each Alliance Manager will be charged with creating and maintaining a collaborative work environment within the JSC and for facilitating JSC meetings. Each Alliance Manager will also be responsible for:</w:t>
      </w:r>
    </w:p>
    <w:p>
      <w:pPr>
        <w:spacing w:after="0" w:line="97" w:lineRule="exact"/>
        <w:rPr>
          <w:sz w:val="20"/>
          <w:szCs w:val="20"/>
          <w:color w:val="auto"/>
        </w:rPr>
      </w:pPr>
    </w:p>
    <w:p>
      <w:pPr>
        <w:ind w:left="2640" w:hanging="944"/>
        <w:spacing w:after="0"/>
        <w:tabs>
          <w:tab w:leader="none" w:pos="2640" w:val="left"/>
        </w:tabs>
        <w:numPr>
          <w:ilvl w:val="0"/>
          <w:numId w:val="71"/>
        </w:numPr>
        <w:rPr>
          <w:rFonts w:ascii="Arial" w:cs="Arial" w:eastAsia="Arial" w:hAnsi="Arial"/>
          <w:sz w:val="22"/>
          <w:szCs w:val="22"/>
          <w:b w:val="1"/>
          <w:bCs w:val="1"/>
          <w:color w:val="auto"/>
        </w:rPr>
      </w:pPr>
      <w:r>
        <w:rPr>
          <w:rFonts w:ascii="Arial" w:cs="Arial" w:eastAsia="Arial" w:hAnsi="Arial"/>
          <w:sz w:val="22"/>
          <w:szCs w:val="22"/>
          <w:color w:val="auto"/>
        </w:rPr>
        <w:t>providing a single point of communication and facilitating the flow of information;</w:t>
      </w:r>
    </w:p>
    <w:p>
      <w:pPr>
        <w:spacing w:after="0" w:line="152" w:lineRule="exact"/>
        <w:rPr>
          <w:rFonts w:ascii="Arial" w:cs="Arial" w:eastAsia="Arial" w:hAnsi="Arial"/>
          <w:sz w:val="22"/>
          <w:szCs w:val="22"/>
          <w:b w:val="1"/>
          <w:bCs w:val="1"/>
          <w:color w:val="auto"/>
        </w:rPr>
      </w:pPr>
    </w:p>
    <w:p>
      <w:pPr>
        <w:ind w:left="2660" w:hanging="964"/>
        <w:spacing w:after="0"/>
        <w:tabs>
          <w:tab w:leader="none" w:pos="2660" w:val="left"/>
        </w:tabs>
        <w:numPr>
          <w:ilvl w:val="0"/>
          <w:numId w:val="71"/>
        </w:numPr>
        <w:rPr>
          <w:rFonts w:ascii="Arial" w:cs="Arial" w:eastAsia="Arial" w:hAnsi="Arial"/>
          <w:sz w:val="22"/>
          <w:szCs w:val="22"/>
          <w:b w:val="1"/>
          <w:bCs w:val="1"/>
          <w:color w:val="auto"/>
        </w:rPr>
      </w:pPr>
      <w:r>
        <w:rPr>
          <w:rFonts w:ascii="Arial" w:cs="Arial" w:eastAsia="Arial" w:hAnsi="Arial"/>
          <w:sz w:val="22"/>
          <w:szCs w:val="22"/>
          <w:color w:val="auto"/>
        </w:rPr>
        <w:t>ensuring that the governance procedures and the rules set forth herein are complied with;</w:t>
      </w:r>
    </w:p>
    <w:p>
      <w:pPr>
        <w:spacing w:after="0" w:line="152" w:lineRule="exact"/>
        <w:rPr>
          <w:rFonts w:ascii="Arial" w:cs="Arial" w:eastAsia="Arial" w:hAnsi="Arial"/>
          <w:sz w:val="22"/>
          <w:szCs w:val="22"/>
          <w:b w:val="1"/>
          <w:bCs w:val="1"/>
          <w:color w:val="auto"/>
        </w:rPr>
      </w:pPr>
    </w:p>
    <w:p>
      <w:pPr>
        <w:ind w:left="2640" w:hanging="944"/>
        <w:spacing w:after="0"/>
        <w:tabs>
          <w:tab w:leader="none" w:pos="2640" w:val="left"/>
        </w:tabs>
        <w:numPr>
          <w:ilvl w:val="0"/>
          <w:numId w:val="71"/>
        </w:numPr>
        <w:rPr>
          <w:rFonts w:ascii="Arial" w:cs="Arial" w:eastAsia="Arial" w:hAnsi="Arial"/>
          <w:sz w:val="22"/>
          <w:szCs w:val="22"/>
          <w:b w:val="1"/>
          <w:bCs w:val="1"/>
          <w:color w:val="auto"/>
        </w:rPr>
      </w:pPr>
      <w:r>
        <w:rPr>
          <w:rFonts w:ascii="Arial" w:cs="Arial" w:eastAsia="Arial" w:hAnsi="Arial"/>
          <w:sz w:val="22"/>
          <w:szCs w:val="22"/>
          <w:color w:val="auto"/>
        </w:rPr>
        <w:t>identifying and raising disputes to the JSC for discussion in a timely manner;</w:t>
      </w:r>
    </w:p>
    <w:p>
      <w:pPr>
        <w:spacing w:after="0" w:line="152" w:lineRule="exact"/>
        <w:rPr>
          <w:rFonts w:ascii="Arial" w:cs="Arial" w:eastAsia="Arial" w:hAnsi="Arial"/>
          <w:sz w:val="22"/>
          <w:szCs w:val="22"/>
          <w:b w:val="1"/>
          <w:bCs w:val="1"/>
          <w:color w:val="auto"/>
        </w:rPr>
      </w:pPr>
    </w:p>
    <w:p>
      <w:pPr>
        <w:ind w:left="2660" w:hanging="964"/>
        <w:spacing w:after="0"/>
        <w:tabs>
          <w:tab w:leader="none" w:pos="2660" w:val="left"/>
        </w:tabs>
        <w:numPr>
          <w:ilvl w:val="0"/>
          <w:numId w:val="71"/>
        </w:numPr>
        <w:rPr>
          <w:rFonts w:ascii="Arial" w:cs="Arial" w:eastAsia="Arial" w:hAnsi="Arial"/>
          <w:sz w:val="19"/>
          <w:szCs w:val="19"/>
          <w:b w:val="1"/>
          <w:bCs w:val="1"/>
          <w:color w:val="auto"/>
        </w:rPr>
      </w:pPr>
      <w:r>
        <w:rPr>
          <w:rFonts w:ascii="Arial" w:cs="Arial" w:eastAsia="Arial" w:hAnsi="Arial"/>
          <w:sz w:val="19"/>
          <w:szCs w:val="19"/>
          <w:color w:val="auto"/>
        </w:rPr>
        <w:t>planning and coordinating internal and external communications in accordance with the terms of this</w:t>
      </w:r>
    </w:p>
    <w:p>
      <w:pPr>
        <w:spacing w:after="0" w:line="42" w:lineRule="exact"/>
        <w:rPr>
          <w:rFonts w:ascii="Arial" w:cs="Arial" w:eastAsia="Arial" w:hAnsi="Arial"/>
          <w:sz w:val="19"/>
          <w:szCs w:val="19"/>
          <w:b w:val="1"/>
          <w:bCs w:val="1"/>
          <w:color w:val="auto"/>
        </w:rPr>
      </w:pPr>
    </w:p>
    <w:p>
      <w:pPr>
        <w:ind w:left="880"/>
        <w:spacing w:after="0"/>
        <w:rPr>
          <w:rFonts w:ascii="Arial" w:cs="Arial" w:eastAsia="Arial" w:hAnsi="Arial"/>
          <w:sz w:val="19"/>
          <w:szCs w:val="19"/>
          <w:b w:val="1"/>
          <w:bCs w:val="1"/>
          <w:color w:val="auto"/>
        </w:rPr>
      </w:pPr>
      <w:r>
        <w:rPr>
          <w:rFonts w:ascii="Arial" w:cs="Arial" w:eastAsia="Arial" w:hAnsi="Arial"/>
          <w:sz w:val="22"/>
          <w:szCs w:val="22"/>
          <w:color w:val="auto"/>
        </w:rPr>
        <w:t>Agreement; and</w:t>
      </w:r>
    </w:p>
    <w:p>
      <w:pPr>
        <w:spacing w:after="0" w:line="134" w:lineRule="exact"/>
        <w:rPr>
          <w:rFonts w:ascii="Arial" w:cs="Arial" w:eastAsia="Arial" w:hAnsi="Arial"/>
          <w:sz w:val="19"/>
          <w:szCs w:val="19"/>
          <w:b w:val="1"/>
          <w:bCs w:val="1"/>
          <w:color w:val="auto"/>
        </w:rPr>
      </w:pPr>
    </w:p>
    <w:p>
      <w:pPr>
        <w:ind w:left="2580" w:hanging="884"/>
        <w:spacing w:after="0"/>
        <w:tabs>
          <w:tab w:leader="none" w:pos="2580" w:val="left"/>
        </w:tabs>
        <w:numPr>
          <w:ilvl w:val="0"/>
          <w:numId w:val="71"/>
        </w:numPr>
        <w:rPr>
          <w:rFonts w:ascii="Arial" w:cs="Arial" w:eastAsia="Arial" w:hAnsi="Arial"/>
          <w:sz w:val="22"/>
          <w:szCs w:val="22"/>
          <w:b w:val="1"/>
          <w:bCs w:val="1"/>
          <w:color w:val="auto"/>
        </w:rPr>
      </w:pPr>
      <w:r>
        <w:rPr>
          <w:rFonts w:ascii="Arial" w:cs="Arial" w:eastAsia="Arial" w:hAnsi="Arial"/>
          <w:sz w:val="22"/>
          <w:szCs w:val="22"/>
          <w:color w:val="auto"/>
        </w:rPr>
        <w:t>planning and coordinating schedules for JSC meetings.</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The Alliance Managers will be entitled to attend all JSC meetings.</w:t>
      </w:r>
    </w:p>
    <w:p>
      <w:pPr>
        <w:spacing w:after="0" w:line="146" w:lineRule="exact"/>
        <w:rPr>
          <w:sz w:val="20"/>
          <w:szCs w:val="20"/>
          <w:color w:val="auto"/>
        </w:rPr>
      </w:pPr>
    </w:p>
    <w:p>
      <w:pPr>
        <w:ind w:right="100" w:firstLine="877"/>
        <w:spacing w:after="0" w:line="256" w:lineRule="auto"/>
        <w:rPr>
          <w:sz w:val="20"/>
          <w:szCs w:val="20"/>
          <w:color w:val="auto"/>
        </w:rPr>
      </w:pPr>
      <w:r>
        <w:rPr>
          <w:rFonts w:ascii="Arial" w:cs="Arial" w:eastAsia="Arial" w:hAnsi="Arial"/>
          <w:sz w:val="22"/>
          <w:szCs w:val="22"/>
          <w:b w:val="1"/>
          <w:bCs w:val="1"/>
          <w:color w:val="auto"/>
        </w:rPr>
        <w:t xml:space="preserve">2.2.8 Day-to-Day Decision Making. </w:t>
      </w:r>
      <w:r>
        <w:rPr>
          <w:rFonts w:ascii="Arial" w:cs="Arial" w:eastAsia="Arial" w:hAnsi="Arial"/>
          <w:sz w:val="22"/>
          <w:szCs w:val="22"/>
          <w:color w:val="auto"/>
        </w:rPr>
        <w:t>Each Party will retain day-to-day decision-making authority with respect to</w:t>
      </w:r>
      <w:r>
        <w:rPr>
          <w:rFonts w:ascii="Arial" w:cs="Arial" w:eastAsia="Arial" w:hAnsi="Arial"/>
          <w:sz w:val="22"/>
          <w:szCs w:val="22"/>
          <w:b w:val="1"/>
          <w:bCs w:val="1"/>
          <w:color w:val="auto"/>
        </w:rPr>
        <w:t xml:space="preserve"> </w:t>
      </w:r>
      <w:r>
        <w:rPr>
          <w:rFonts w:ascii="Arial" w:cs="Arial" w:eastAsia="Arial" w:hAnsi="Arial"/>
          <w:sz w:val="22"/>
          <w:szCs w:val="22"/>
          <w:color w:val="auto"/>
        </w:rPr>
        <w:t>the research activities assigned to it in the Collaboration.</w:t>
      </w:r>
    </w:p>
    <w:p>
      <w:pPr>
        <w:spacing w:after="0" w:line="109" w:lineRule="exact"/>
        <w:rPr>
          <w:sz w:val="20"/>
          <w:szCs w:val="20"/>
          <w:color w:val="auto"/>
        </w:rPr>
      </w:pPr>
    </w:p>
    <w:p>
      <w:pPr>
        <w:spacing w:after="0"/>
        <w:tabs>
          <w:tab w:leader="none" w:pos="1640" w:val="left"/>
        </w:tabs>
        <w:rPr>
          <w:sz w:val="20"/>
          <w:szCs w:val="20"/>
          <w:color w:val="auto"/>
        </w:rPr>
      </w:pPr>
      <w:r>
        <w:rPr>
          <w:rFonts w:ascii="Arial" w:cs="Arial" w:eastAsia="Arial" w:hAnsi="Arial"/>
          <w:sz w:val="22"/>
          <w:szCs w:val="22"/>
          <w:b w:val="1"/>
          <w:bCs w:val="1"/>
          <w:color w:val="auto"/>
        </w:rPr>
        <w:t>Section 2.3</w:t>
      </w:r>
      <w:r>
        <w:rPr>
          <w:sz w:val="20"/>
          <w:szCs w:val="20"/>
          <w:color w:val="auto"/>
        </w:rPr>
        <w:tab/>
      </w:r>
      <w:r>
        <w:rPr>
          <w:rFonts w:ascii="Arial" w:cs="Arial" w:eastAsia="Arial" w:hAnsi="Arial"/>
          <w:sz w:val="19"/>
          <w:szCs w:val="19"/>
          <w:b w:val="1"/>
          <w:bCs w:val="1"/>
          <w:color w:val="auto"/>
        </w:rPr>
        <w:t>Initial Designated Target; Additional Designated Targets.</w:t>
      </w:r>
    </w:p>
    <w:p>
      <w:pPr>
        <w:spacing w:after="0" w:line="152" w:lineRule="exact"/>
        <w:rPr>
          <w:sz w:val="20"/>
          <w:szCs w:val="20"/>
          <w:color w:val="auto"/>
        </w:rPr>
      </w:pPr>
    </w:p>
    <w:p>
      <w:pPr>
        <w:ind w:right="520" w:firstLine="877"/>
        <w:spacing w:after="0" w:line="256" w:lineRule="auto"/>
        <w:rPr>
          <w:sz w:val="20"/>
          <w:szCs w:val="20"/>
          <w:color w:val="auto"/>
        </w:rPr>
      </w:pPr>
      <w:r>
        <w:rPr>
          <w:rFonts w:ascii="Arial" w:cs="Arial" w:eastAsia="Arial" w:hAnsi="Arial"/>
          <w:sz w:val="22"/>
          <w:szCs w:val="22"/>
          <w:b w:val="1"/>
          <w:bCs w:val="1"/>
          <w:color w:val="auto"/>
        </w:rPr>
        <w:t xml:space="preserve">2.3.1 Initial Designated Target. </w:t>
      </w:r>
      <w:r>
        <w:rPr>
          <w:rFonts w:ascii="Arial" w:cs="Arial" w:eastAsia="Arial" w:hAnsi="Arial"/>
          <w:sz w:val="22"/>
          <w:szCs w:val="22"/>
          <w:color w:val="auto"/>
        </w:rPr>
        <w:t>The initial Program for the Collaboration will be directed toward [**] (the</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u w:val="single" w:color="auto"/>
          <w:color w:val="auto"/>
        </w:rPr>
        <w:t>Initial Designated Target</w:t>
      </w:r>
      <w:r>
        <w:rPr>
          <w:rFonts w:ascii="Arial" w:cs="Arial" w:eastAsia="Arial" w:hAnsi="Arial"/>
          <w:sz w:val="22"/>
          <w:szCs w:val="22"/>
          <w:color w:val="auto"/>
        </w:rPr>
        <w:t>”). Cerulean confirms that the Initial Designated Target is not a Blocked Target.</w:t>
      </w:r>
    </w:p>
    <w:p>
      <w:pPr>
        <w:spacing w:after="0" w:line="109" w:lineRule="exact"/>
        <w:rPr>
          <w:sz w:val="20"/>
          <w:szCs w:val="20"/>
          <w:color w:val="auto"/>
        </w:rPr>
      </w:pPr>
    </w:p>
    <w:p>
      <w:pPr>
        <w:ind w:right="60" w:firstLine="877"/>
        <w:spacing w:after="0" w:line="280" w:lineRule="auto"/>
        <w:rPr>
          <w:sz w:val="20"/>
          <w:szCs w:val="20"/>
          <w:color w:val="auto"/>
        </w:rPr>
      </w:pPr>
      <w:r>
        <w:rPr>
          <w:rFonts w:ascii="Arial" w:cs="Arial" w:eastAsia="Arial" w:hAnsi="Arial"/>
          <w:sz w:val="19"/>
          <w:szCs w:val="19"/>
          <w:b w:val="1"/>
          <w:bCs w:val="1"/>
          <w:color w:val="auto"/>
        </w:rPr>
        <w:t xml:space="preserve">2.3.2 Additional Designated Target. </w:t>
      </w:r>
      <w:r>
        <w:rPr>
          <w:rFonts w:ascii="Arial" w:cs="Arial" w:eastAsia="Arial" w:hAnsi="Arial"/>
          <w:sz w:val="19"/>
          <w:szCs w:val="19"/>
          <w:color w:val="auto"/>
        </w:rPr>
        <w:t>From time to time, Novartis may propose additional Designated Targets for</w:t>
      </w:r>
      <w:r>
        <w:rPr>
          <w:rFonts w:ascii="Arial" w:cs="Arial" w:eastAsia="Arial" w:hAnsi="Arial"/>
          <w:sz w:val="19"/>
          <w:szCs w:val="19"/>
          <w:b w:val="1"/>
          <w:bCs w:val="1"/>
          <w:color w:val="auto"/>
        </w:rPr>
        <w:t xml:space="preserve"> </w:t>
      </w:r>
      <w:r>
        <w:rPr>
          <w:rFonts w:ascii="Arial" w:cs="Arial" w:eastAsia="Arial" w:hAnsi="Arial"/>
          <w:sz w:val="19"/>
          <w:szCs w:val="19"/>
          <w:color w:val="auto"/>
        </w:rPr>
        <w:t>addition to the Collaboration as separate Programs. Subject to Section 2.3.3, any proposed additional Designated Targets shall be included in the Collaboration as a separate Program unless Cerulean can demonstrate that the proposed Designated Target is a Blocked Target (each an “</w:t>
      </w:r>
      <w:r>
        <w:rPr>
          <w:rFonts w:ascii="Arial" w:cs="Arial" w:eastAsia="Arial" w:hAnsi="Arial"/>
          <w:sz w:val="19"/>
          <w:szCs w:val="19"/>
          <w:u w:val="single" w:color="auto"/>
          <w:color w:val="auto"/>
        </w:rPr>
        <w:t>Additional Designated Target</w:t>
      </w:r>
      <w:r>
        <w:rPr>
          <w:rFonts w:ascii="Arial" w:cs="Arial" w:eastAsia="Arial" w:hAnsi="Arial"/>
          <w:sz w:val="19"/>
          <w:szCs w:val="19"/>
          <w:color w:val="auto"/>
        </w:rPr>
        <w:t>). The Initial Designated Target, together with the Additional Designated Targets, are without distinction referred to as “</w:t>
      </w:r>
      <w:r>
        <w:rPr>
          <w:rFonts w:ascii="Arial" w:cs="Arial" w:eastAsia="Arial" w:hAnsi="Arial"/>
          <w:sz w:val="19"/>
          <w:szCs w:val="19"/>
          <w:u w:val="single" w:color="auto"/>
          <w:color w:val="auto"/>
        </w:rPr>
        <w:t>Designated Targets</w:t>
      </w:r>
      <w:r>
        <w:rPr>
          <w:rFonts w:ascii="Arial" w:cs="Arial" w:eastAsia="Arial" w:hAnsi="Arial"/>
          <w:sz w:val="19"/>
          <w:szCs w:val="19"/>
          <w:color w:val="auto"/>
        </w:rPr>
        <w:t>”). The Parties will mutually agree in the Research Plan on the definition and scope of each Designated Target, [**]. The identity of any proposed Designated Targets</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1" w:name="page82"/>
    <w:bookmarkEnd w:id="81"/>
    <w:p>
      <w:pPr>
        <w:ind w:left="9560"/>
        <w:spacing w:after="0"/>
        <w:rPr>
          <w:sz w:val="20"/>
          <w:szCs w:val="20"/>
          <w:color w:val="auto"/>
        </w:rPr>
      </w:pPr>
      <w:r>
        <w:rPr>
          <w:rFonts w:ascii="Arial" w:cs="Arial" w:eastAsia="Arial" w:hAnsi="Arial"/>
          <w:sz w:val="19"/>
          <w:szCs w:val="19"/>
          <w:color w:val="auto"/>
        </w:rPr>
        <w:t>EXECUTION COPY</w:t>
      </w:r>
    </w:p>
    <w:p>
      <w:pPr>
        <w:spacing w:after="0" w:line="268" w:lineRule="exact"/>
        <w:rPr>
          <w:sz w:val="20"/>
          <w:szCs w:val="20"/>
          <w:color w:val="auto"/>
        </w:rPr>
      </w:pPr>
    </w:p>
    <w:p>
      <w:pPr>
        <w:ind w:right="300"/>
        <w:spacing w:after="0" w:line="251" w:lineRule="auto"/>
        <w:rPr>
          <w:sz w:val="20"/>
          <w:szCs w:val="20"/>
          <w:color w:val="auto"/>
        </w:rPr>
      </w:pPr>
      <w:r>
        <w:rPr>
          <w:rFonts w:ascii="Arial" w:cs="Arial" w:eastAsia="Arial" w:hAnsi="Arial"/>
          <w:sz w:val="22"/>
          <w:szCs w:val="22"/>
          <w:color w:val="auto"/>
        </w:rPr>
        <w:t>shall be deemed to be Novartis’ Proprietary Information and shall be subject to the obligations of confidentiality and non-use set forth in Section 6.1.</w:t>
      </w:r>
    </w:p>
    <w:p>
      <w:pPr>
        <w:spacing w:after="0" w:line="113" w:lineRule="exact"/>
        <w:rPr>
          <w:sz w:val="20"/>
          <w:szCs w:val="20"/>
          <w:color w:val="auto"/>
        </w:rPr>
      </w:pPr>
    </w:p>
    <w:p>
      <w:pPr>
        <w:ind w:right="340" w:firstLine="877"/>
        <w:spacing w:after="0" w:line="256" w:lineRule="auto"/>
        <w:rPr>
          <w:sz w:val="20"/>
          <w:szCs w:val="20"/>
          <w:color w:val="auto"/>
        </w:rPr>
      </w:pPr>
      <w:r>
        <w:rPr>
          <w:rFonts w:ascii="Arial" w:cs="Arial" w:eastAsia="Arial" w:hAnsi="Arial"/>
          <w:sz w:val="22"/>
          <w:szCs w:val="22"/>
          <w:b w:val="1"/>
          <w:bCs w:val="1"/>
          <w:color w:val="auto"/>
        </w:rPr>
        <w:t xml:space="preserve">2.3.3 Total Number of Designated Targets. </w:t>
      </w:r>
      <w:r>
        <w:rPr>
          <w:rFonts w:ascii="Arial" w:cs="Arial" w:eastAsia="Arial" w:hAnsi="Arial"/>
          <w:sz w:val="22"/>
          <w:szCs w:val="22"/>
          <w:color w:val="auto"/>
        </w:rPr>
        <w:t>There will be at least one and not more than five Programs in the</w:t>
      </w:r>
      <w:r>
        <w:rPr>
          <w:rFonts w:ascii="Arial" w:cs="Arial" w:eastAsia="Arial" w:hAnsi="Arial"/>
          <w:sz w:val="22"/>
          <w:szCs w:val="22"/>
          <w:b w:val="1"/>
          <w:bCs w:val="1"/>
          <w:color w:val="auto"/>
        </w:rPr>
        <w:t xml:space="preserve"> </w:t>
      </w:r>
      <w:r>
        <w:rPr>
          <w:rFonts w:ascii="Arial" w:cs="Arial" w:eastAsia="Arial" w:hAnsi="Arial"/>
          <w:sz w:val="22"/>
          <w:szCs w:val="22"/>
          <w:color w:val="auto"/>
        </w:rPr>
        <w:t>Collaboration. For the avoidance of doubt,</w:t>
      </w:r>
    </w:p>
    <w:p>
      <w:pPr>
        <w:spacing w:after="0" w:line="115" w:lineRule="exact"/>
        <w:rPr>
          <w:sz w:val="20"/>
          <w:szCs w:val="20"/>
          <w:color w:val="auto"/>
        </w:rPr>
      </w:pPr>
    </w:p>
    <w:p>
      <w:pPr>
        <w:ind w:left="880" w:right="680" w:firstLine="816"/>
        <w:spacing w:after="0" w:line="274" w:lineRule="auto"/>
        <w:tabs>
          <w:tab w:leader="none" w:pos="2590" w:val="left"/>
        </w:tabs>
        <w:numPr>
          <w:ilvl w:val="0"/>
          <w:numId w:val="72"/>
        </w:numPr>
        <w:rPr>
          <w:rFonts w:ascii="Arial" w:cs="Arial" w:eastAsia="Arial" w:hAnsi="Arial"/>
          <w:sz w:val="21"/>
          <w:szCs w:val="21"/>
          <w:b w:val="1"/>
          <w:bCs w:val="1"/>
          <w:color w:val="auto"/>
        </w:rPr>
      </w:pPr>
      <w:r>
        <w:rPr>
          <w:rFonts w:ascii="Arial" w:cs="Arial" w:eastAsia="Arial" w:hAnsi="Arial"/>
          <w:sz w:val="21"/>
          <w:szCs w:val="21"/>
          <w:color w:val="auto"/>
        </w:rPr>
        <w:t>any proposed Designated Targets that are not accepted into the Collaboration because they are Blocked Targets (as set forth in Section 2.3.2) will not be counted toward that five Program limit;</w:t>
      </w:r>
    </w:p>
    <w:p>
      <w:pPr>
        <w:spacing w:after="0" w:line="96" w:lineRule="exact"/>
        <w:rPr>
          <w:rFonts w:ascii="Arial" w:cs="Arial" w:eastAsia="Arial" w:hAnsi="Arial"/>
          <w:sz w:val="21"/>
          <w:szCs w:val="21"/>
          <w:b w:val="1"/>
          <w:bCs w:val="1"/>
          <w:color w:val="auto"/>
        </w:rPr>
      </w:pPr>
    </w:p>
    <w:p>
      <w:pPr>
        <w:ind w:left="880" w:right="40" w:firstLine="816"/>
        <w:spacing w:after="0" w:line="279" w:lineRule="auto"/>
        <w:tabs>
          <w:tab w:leader="none" w:pos="2602" w:val="left"/>
        </w:tabs>
        <w:numPr>
          <w:ilvl w:val="0"/>
          <w:numId w:val="72"/>
        </w:numPr>
        <w:rPr>
          <w:rFonts w:ascii="Arial" w:cs="Arial" w:eastAsia="Arial" w:hAnsi="Arial"/>
          <w:sz w:val="19"/>
          <w:szCs w:val="19"/>
          <w:b w:val="1"/>
          <w:bCs w:val="1"/>
          <w:color w:val="auto"/>
        </w:rPr>
      </w:pPr>
      <w:r>
        <w:rPr>
          <w:rFonts w:ascii="Arial" w:cs="Arial" w:eastAsia="Arial" w:hAnsi="Arial"/>
          <w:sz w:val="19"/>
          <w:szCs w:val="19"/>
          <w:color w:val="auto"/>
        </w:rPr>
        <w:t xml:space="preserve">any Designated Target that Novartis elects to drop or ceases to research, Develop and/or Commercialize may not be substituted or replaced by another Designated Target;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a Designated Target may be substituted or replaced (and will not count toward the five Designated Target limit) if Novartis makes an election (by written notice to Cerulean) to cease research on such Designated Target within [**] days after the delivery to Novartis of </w:t>
      </w:r>
      <w:r>
        <w:rPr>
          <w:rFonts w:ascii="Arial" w:cs="Arial" w:eastAsia="Arial" w:hAnsi="Arial"/>
          <w:sz w:val="19"/>
          <w:szCs w:val="19"/>
          <w:i w:val="1"/>
          <w:iCs w:val="1"/>
          <w:color w:val="auto"/>
        </w:rPr>
        <w:t>in vitro</w:t>
      </w:r>
      <w:r>
        <w:rPr>
          <w:rFonts w:ascii="Arial" w:cs="Arial" w:eastAsia="Arial" w:hAnsi="Arial"/>
          <w:sz w:val="19"/>
          <w:szCs w:val="19"/>
          <w:color w:val="auto"/>
        </w:rPr>
        <w:t xml:space="preserve"> data relating to such Designated Target by Cerulean, in which case </w:t>
      </w:r>
      <w:r>
        <w:rPr>
          <w:rFonts w:ascii="Arial" w:cs="Arial" w:eastAsia="Arial" w:hAnsi="Arial"/>
          <w:sz w:val="19"/>
          <w:szCs w:val="19"/>
          <w:b w:val="1"/>
          <w:bCs w:val="1"/>
          <w:color w:val="auto"/>
        </w:rPr>
        <w:t>[**]</w:t>
      </w:r>
      <w:r>
        <w:rPr>
          <w:rFonts w:ascii="Arial" w:cs="Arial" w:eastAsia="Arial" w:hAnsi="Arial"/>
          <w:sz w:val="19"/>
          <w:szCs w:val="19"/>
          <w:color w:val="auto"/>
        </w:rPr>
        <w:t xml:space="preserve">, and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such [**] day period may be [**] and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if [**] within [**] days of [**];</w:t>
      </w:r>
    </w:p>
    <w:p>
      <w:pPr>
        <w:spacing w:after="0" w:line="96" w:lineRule="exact"/>
        <w:rPr>
          <w:rFonts w:ascii="Arial" w:cs="Arial" w:eastAsia="Arial" w:hAnsi="Arial"/>
          <w:sz w:val="19"/>
          <w:szCs w:val="19"/>
          <w:b w:val="1"/>
          <w:bCs w:val="1"/>
          <w:color w:val="auto"/>
        </w:rPr>
      </w:pPr>
    </w:p>
    <w:p>
      <w:pPr>
        <w:ind w:left="880" w:right="20" w:firstLine="816"/>
        <w:spacing w:after="0"/>
        <w:tabs>
          <w:tab w:leader="none" w:pos="2578" w:val="left"/>
        </w:tabs>
        <w:numPr>
          <w:ilvl w:val="0"/>
          <w:numId w:val="72"/>
        </w:numPr>
        <w:rPr>
          <w:rFonts w:ascii="Arial" w:cs="Arial" w:eastAsia="Arial" w:hAnsi="Arial"/>
          <w:sz w:val="22"/>
          <w:szCs w:val="22"/>
          <w:b w:val="1"/>
          <w:bCs w:val="1"/>
          <w:color w:val="auto"/>
        </w:rPr>
      </w:pPr>
      <w:r>
        <w:rPr>
          <w:rFonts w:ascii="Arial" w:cs="Arial" w:eastAsia="Arial" w:hAnsi="Arial"/>
          <w:sz w:val="22"/>
          <w:szCs w:val="22"/>
          <w:color w:val="auto"/>
        </w:rPr>
        <w:t>if Novartis elects to research, Develop and Commercialize a Licensed Product that is directed to more than one target, each such target shall constitute a Designated Target hereunder, each counting towards the five Program limit;</w:t>
      </w:r>
    </w:p>
    <w:p>
      <w:pPr>
        <w:spacing w:after="0" w:line="132" w:lineRule="exact"/>
        <w:rPr>
          <w:rFonts w:ascii="Arial" w:cs="Arial" w:eastAsia="Arial" w:hAnsi="Arial"/>
          <w:sz w:val="22"/>
          <w:szCs w:val="22"/>
          <w:b w:val="1"/>
          <w:bCs w:val="1"/>
          <w:color w:val="auto"/>
        </w:rPr>
      </w:pPr>
    </w:p>
    <w:p>
      <w:pPr>
        <w:ind w:left="2600" w:hanging="904"/>
        <w:spacing w:after="0"/>
        <w:tabs>
          <w:tab w:leader="none" w:pos="2600" w:val="left"/>
        </w:tabs>
        <w:numPr>
          <w:ilvl w:val="0"/>
          <w:numId w:val="72"/>
        </w:numPr>
        <w:rPr>
          <w:rFonts w:ascii="Arial" w:cs="Arial" w:eastAsia="Arial" w:hAnsi="Arial"/>
          <w:sz w:val="22"/>
          <w:szCs w:val="22"/>
          <w:b w:val="1"/>
          <w:bCs w:val="1"/>
          <w:color w:val="auto"/>
        </w:rPr>
      </w:pPr>
      <w:r>
        <w:rPr>
          <w:rFonts w:ascii="Arial" w:cs="Arial" w:eastAsia="Arial" w:hAnsi="Arial"/>
          <w:sz w:val="22"/>
          <w:szCs w:val="22"/>
          <w:color w:val="auto"/>
        </w:rPr>
        <w:t>if Novartis replaces a Designated Target as described in Section 2.2.3(b), then</w:t>
      </w:r>
    </w:p>
    <w:p>
      <w:pPr>
        <w:spacing w:after="0" w:line="152" w:lineRule="exact"/>
        <w:rPr>
          <w:rFonts w:ascii="Arial" w:cs="Arial" w:eastAsia="Arial" w:hAnsi="Arial"/>
          <w:sz w:val="22"/>
          <w:szCs w:val="22"/>
          <w:b w:val="1"/>
          <w:bCs w:val="1"/>
          <w:color w:val="auto"/>
        </w:rPr>
      </w:pPr>
    </w:p>
    <w:p>
      <w:pPr>
        <w:ind w:left="1760" w:right="120" w:firstLine="746"/>
        <w:spacing w:after="0" w:line="251" w:lineRule="auto"/>
        <w:tabs>
          <w:tab w:leader="none" w:pos="3355" w:val="left"/>
        </w:tabs>
        <w:numPr>
          <w:ilvl w:val="1"/>
          <w:numId w:val="72"/>
        </w:numPr>
        <w:rPr>
          <w:rFonts w:ascii="Arial" w:cs="Arial" w:eastAsia="Arial" w:hAnsi="Arial"/>
          <w:sz w:val="22"/>
          <w:szCs w:val="22"/>
          <w:b w:val="1"/>
          <w:bCs w:val="1"/>
          <w:color w:val="auto"/>
        </w:rPr>
      </w:pPr>
      <w:r>
        <w:rPr>
          <w:rFonts w:ascii="Arial" w:cs="Arial" w:eastAsia="Arial" w:hAnsi="Arial"/>
          <w:sz w:val="22"/>
          <w:szCs w:val="22"/>
          <w:color w:val="auto"/>
        </w:rPr>
        <w:t>the licenses under Section 3.1.2 and Section 3.2 will terminate with respect to such replaced Designated Target upon receipt of Novartis’ notice;</w:t>
      </w:r>
    </w:p>
    <w:p>
      <w:pPr>
        <w:spacing w:after="0" w:line="119" w:lineRule="exact"/>
        <w:rPr>
          <w:rFonts w:ascii="Arial" w:cs="Arial" w:eastAsia="Arial" w:hAnsi="Arial"/>
          <w:sz w:val="22"/>
          <w:szCs w:val="22"/>
          <w:b w:val="1"/>
          <w:bCs w:val="1"/>
          <w:color w:val="auto"/>
        </w:rPr>
      </w:pPr>
    </w:p>
    <w:p>
      <w:pPr>
        <w:ind w:left="1760" w:right="560" w:firstLine="746"/>
        <w:spacing w:after="0" w:line="274" w:lineRule="auto"/>
        <w:tabs>
          <w:tab w:leader="none" w:pos="3415" w:val="left"/>
        </w:tabs>
        <w:numPr>
          <w:ilvl w:val="1"/>
          <w:numId w:val="72"/>
        </w:numPr>
        <w:rPr>
          <w:rFonts w:ascii="Arial" w:cs="Arial" w:eastAsia="Arial" w:hAnsi="Arial"/>
          <w:sz w:val="21"/>
          <w:szCs w:val="21"/>
          <w:b w:val="1"/>
          <w:bCs w:val="1"/>
          <w:color w:val="auto"/>
        </w:rPr>
      </w:pPr>
      <w:r>
        <w:rPr>
          <w:rFonts w:ascii="Arial" w:cs="Arial" w:eastAsia="Arial" w:hAnsi="Arial"/>
          <w:sz w:val="21"/>
          <w:szCs w:val="21"/>
          <w:color w:val="auto"/>
        </w:rPr>
        <w:t>Cerulean’s obligations of target exclusivity set forth in Section 3.4 will terminate with respect to such replaced Designated Target upon receipt of Novartis’ notice; and</w:t>
      </w:r>
    </w:p>
    <w:p>
      <w:pPr>
        <w:spacing w:after="0" w:line="96" w:lineRule="exact"/>
        <w:rPr>
          <w:rFonts w:ascii="Arial" w:cs="Arial" w:eastAsia="Arial" w:hAnsi="Arial"/>
          <w:sz w:val="21"/>
          <w:szCs w:val="21"/>
          <w:b w:val="1"/>
          <w:bCs w:val="1"/>
          <w:color w:val="auto"/>
        </w:rPr>
      </w:pPr>
    </w:p>
    <w:p>
      <w:pPr>
        <w:ind w:left="1760" w:right="40" w:firstLine="746"/>
        <w:spacing w:after="0" w:line="251" w:lineRule="auto"/>
        <w:tabs>
          <w:tab w:leader="none" w:pos="3475" w:val="left"/>
        </w:tabs>
        <w:numPr>
          <w:ilvl w:val="1"/>
          <w:numId w:val="72"/>
        </w:numPr>
        <w:rPr>
          <w:rFonts w:ascii="Arial" w:cs="Arial" w:eastAsia="Arial" w:hAnsi="Arial"/>
          <w:sz w:val="22"/>
          <w:szCs w:val="22"/>
          <w:b w:val="1"/>
          <w:bCs w:val="1"/>
          <w:color w:val="auto"/>
        </w:rPr>
      </w:pPr>
      <w:r>
        <w:rPr>
          <w:rFonts w:ascii="Arial" w:cs="Arial" w:eastAsia="Arial" w:hAnsi="Arial"/>
          <w:sz w:val="22"/>
          <w:szCs w:val="22"/>
          <w:color w:val="auto"/>
        </w:rPr>
        <w:t>the Parties’ obligation of confidentiality and non-use set forth in Article VI will continue in full force and effect in accordance with that Article’s terms.</w:t>
      </w:r>
    </w:p>
    <w:p>
      <w:pPr>
        <w:spacing w:after="0" w:line="113" w:lineRule="exact"/>
        <w:rPr>
          <w:sz w:val="20"/>
          <w:szCs w:val="20"/>
          <w:color w:val="auto"/>
        </w:rPr>
      </w:pPr>
    </w:p>
    <w:p>
      <w:pPr>
        <w:spacing w:after="0"/>
        <w:tabs>
          <w:tab w:leader="none" w:pos="1640" w:val="left"/>
        </w:tabs>
        <w:rPr>
          <w:sz w:val="20"/>
          <w:szCs w:val="20"/>
          <w:color w:val="auto"/>
        </w:rPr>
      </w:pPr>
      <w:r>
        <w:rPr>
          <w:rFonts w:ascii="Arial" w:cs="Arial" w:eastAsia="Arial" w:hAnsi="Arial"/>
          <w:sz w:val="22"/>
          <w:szCs w:val="22"/>
          <w:b w:val="1"/>
          <w:bCs w:val="1"/>
          <w:color w:val="auto"/>
        </w:rPr>
        <w:t>Section 2.4</w:t>
      </w:r>
      <w:r>
        <w:rPr>
          <w:sz w:val="20"/>
          <w:szCs w:val="20"/>
          <w:color w:val="auto"/>
        </w:rPr>
        <w:tab/>
      </w:r>
      <w:r>
        <w:rPr>
          <w:rFonts w:ascii="Arial" w:cs="Arial" w:eastAsia="Arial" w:hAnsi="Arial"/>
          <w:sz w:val="18"/>
          <w:szCs w:val="18"/>
          <w:b w:val="1"/>
          <w:bCs w:val="1"/>
          <w:color w:val="auto"/>
        </w:rPr>
        <w:t>Research Plans.</w:t>
      </w:r>
    </w:p>
    <w:p>
      <w:pPr>
        <w:spacing w:after="0" w:line="152" w:lineRule="exact"/>
        <w:rPr>
          <w:sz w:val="20"/>
          <w:szCs w:val="20"/>
          <w:color w:val="auto"/>
        </w:rPr>
      </w:pPr>
    </w:p>
    <w:p>
      <w:pPr>
        <w:ind w:right="240" w:firstLine="648"/>
        <w:spacing w:after="0" w:line="256" w:lineRule="auto"/>
        <w:rPr>
          <w:sz w:val="20"/>
          <w:szCs w:val="20"/>
          <w:color w:val="auto"/>
        </w:rPr>
      </w:pPr>
      <w:r>
        <w:rPr>
          <w:rFonts w:ascii="Arial" w:cs="Arial" w:eastAsia="Arial" w:hAnsi="Arial"/>
          <w:sz w:val="22"/>
          <w:szCs w:val="22"/>
          <w:b w:val="1"/>
          <w:bCs w:val="1"/>
          <w:color w:val="auto"/>
        </w:rPr>
        <w:t xml:space="preserve">2.4.1 Initial Designated Target. </w:t>
      </w:r>
      <w:r>
        <w:rPr>
          <w:rFonts w:ascii="Arial" w:cs="Arial" w:eastAsia="Arial" w:hAnsi="Arial"/>
          <w:sz w:val="22"/>
          <w:szCs w:val="22"/>
          <w:color w:val="auto"/>
        </w:rPr>
        <w:t>Within [**] days after the Effective Date, the JSC will agree upon Research Plan</w:t>
      </w:r>
      <w:r>
        <w:rPr>
          <w:rFonts w:ascii="Arial" w:cs="Arial" w:eastAsia="Arial" w:hAnsi="Arial"/>
          <w:sz w:val="22"/>
          <w:szCs w:val="22"/>
          <w:b w:val="1"/>
          <w:bCs w:val="1"/>
          <w:color w:val="auto"/>
        </w:rPr>
        <w:t xml:space="preserve"> </w:t>
      </w:r>
      <w:r>
        <w:rPr>
          <w:rFonts w:ascii="Arial" w:cs="Arial" w:eastAsia="Arial" w:hAnsi="Arial"/>
          <w:sz w:val="22"/>
          <w:szCs w:val="22"/>
          <w:color w:val="auto"/>
        </w:rPr>
        <w:t>for the Initial Designated Target.</w:t>
      </w:r>
    </w:p>
    <w:p>
      <w:pPr>
        <w:spacing w:after="0" w:line="109" w:lineRule="exact"/>
        <w:rPr>
          <w:sz w:val="20"/>
          <w:szCs w:val="20"/>
          <w:color w:val="auto"/>
        </w:rPr>
      </w:pPr>
    </w:p>
    <w:p>
      <w:pPr>
        <w:ind w:right="20" w:firstLine="877"/>
        <w:spacing w:after="0" w:line="256" w:lineRule="auto"/>
        <w:rPr>
          <w:sz w:val="20"/>
          <w:szCs w:val="20"/>
          <w:color w:val="auto"/>
        </w:rPr>
      </w:pPr>
      <w:r>
        <w:rPr>
          <w:rFonts w:ascii="Arial" w:cs="Arial" w:eastAsia="Arial" w:hAnsi="Arial"/>
          <w:sz w:val="22"/>
          <w:szCs w:val="22"/>
          <w:b w:val="1"/>
          <w:bCs w:val="1"/>
          <w:color w:val="auto"/>
        </w:rPr>
        <w:t xml:space="preserve">2.4.2 Additional Designated Targets. </w:t>
      </w:r>
      <w:r>
        <w:rPr>
          <w:rFonts w:ascii="Arial" w:cs="Arial" w:eastAsia="Arial" w:hAnsi="Arial"/>
          <w:sz w:val="22"/>
          <w:szCs w:val="22"/>
          <w:color w:val="auto"/>
        </w:rPr>
        <w:t>Within [**] days after designation of any additional Designated Targets (in</w:t>
      </w:r>
      <w:r>
        <w:rPr>
          <w:rFonts w:ascii="Arial" w:cs="Arial" w:eastAsia="Arial" w:hAnsi="Arial"/>
          <w:sz w:val="22"/>
          <w:szCs w:val="22"/>
          <w:b w:val="1"/>
          <w:bCs w:val="1"/>
          <w:color w:val="auto"/>
        </w:rPr>
        <w:t xml:space="preserve"> </w:t>
      </w:r>
      <w:r>
        <w:rPr>
          <w:rFonts w:ascii="Arial" w:cs="Arial" w:eastAsia="Arial" w:hAnsi="Arial"/>
          <w:sz w:val="22"/>
          <w:szCs w:val="22"/>
          <w:color w:val="auto"/>
        </w:rPr>
        <w:t>accordance with Section 2.3.2), the JSC will agree upon a Research Plan for the relevant Program.</w:t>
      </w:r>
    </w:p>
    <w:p>
      <w:pPr>
        <w:spacing w:after="0" w:line="109" w:lineRule="exact"/>
        <w:rPr>
          <w:sz w:val="20"/>
          <w:szCs w:val="20"/>
          <w:color w:val="auto"/>
        </w:rPr>
      </w:pPr>
    </w:p>
    <w:p>
      <w:pPr>
        <w:spacing w:after="0"/>
        <w:tabs>
          <w:tab w:leader="none" w:pos="1640" w:val="left"/>
        </w:tabs>
        <w:rPr>
          <w:sz w:val="20"/>
          <w:szCs w:val="20"/>
          <w:color w:val="auto"/>
        </w:rPr>
      </w:pPr>
      <w:r>
        <w:rPr>
          <w:rFonts w:ascii="Arial" w:cs="Arial" w:eastAsia="Arial" w:hAnsi="Arial"/>
          <w:sz w:val="22"/>
          <w:szCs w:val="22"/>
          <w:b w:val="1"/>
          <w:bCs w:val="1"/>
          <w:color w:val="auto"/>
        </w:rPr>
        <w:t>Section 2.5</w:t>
      </w:r>
      <w:r>
        <w:rPr>
          <w:sz w:val="20"/>
          <w:szCs w:val="20"/>
          <w:color w:val="auto"/>
        </w:rPr>
        <w:tab/>
      </w:r>
      <w:r>
        <w:rPr>
          <w:rFonts w:ascii="Arial" w:cs="Arial" w:eastAsia="Arial" w:hAnsi="Arial"/>
          <w:sz w:val="19"/>
          <w:szCs w:val="19"/>
          <w:b w:val="1"/>
          <w:bCs w:val="1"/>
          <w:color w:val="auto"/>
        </w:rPr>
        <w:t>Material Transfer.</w:t>
      </w:r>
    </w:p>
    <w:p>
      <w:pPr>
        <w:spacing w:after="0" w:line="158" w:lineRule="exact"/>
        <w:rPr>
          <w:sz w:val="20"/>
          <w:szCs w:val="20"/>
          <w:color w:val="auto"/>
        </w:rPr>
      </w:pPr>
    </w:p>
    <w:p>
      <w:pPr>
        <w:ind w:right="320" w:firstLine="877"/>
        <w:spacing w:after="0" w:line="251" w:lineRule="auto"/>
        <w:rPr>
          <w:sz w:val="20"/>
          <w:szCs w:val="20"/>
          <w:color w:val="auto"/>
        </w:rPr>
      </w:pPr>
      <w:r>
        <w:rPr>
          <w:rFonts w:ascii="Arial" w:cs="Arial" w:eastAsia="Arial" w:hAnsi="Arial"/>
          <w:sz w:val="22"/>
          <w:szCs w:val="22"/>
          <w:color w:val="auto"/>
        </w:rPr>
        <w:t>In the course of the Collaboration, each of the Parties and its Affiliates may from time to time transfer Materials to the other Party or its Affiliates. Each Party will use the other Party’s Materials only</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2" w:name="page83"/>
    <w:bookmarkEnd w:id="82"/>
    <w:p>
      <w:pPr>
        <w:ind w:left="9560"/>
        <w:spacing w:after="0"/>
        <w:rPr>
          <w:sz w:val="20"/>
          <w:szCs w:val="20"/>
          <w:color w:val="auto"/>
        </w:rPr>
      </w:pPr>
      <w:r>
        <w:rPr>
          <w:rFonts w:ascii="Arial" w:cs="Arial" w:eastAsia="Arial" w:hAnsi="Arial"/>
          <w:sz w:val="19"/>
          <w:szCs w:val="19"/>
          <w:color w:val="auto"/>
        </w:rPr>
        <w:t>EXECUTION COPY</w:t>
      </w:r>
    </w:p>
    <w:p>
      <w:pPr>
        <w:spacing w:after="0" w:line="268" w:lineRule="exact"/>
        <w:rPr>
          <w:sz w:val="20"/>
          <w:szCs w:val="20"/>
          <w:color w:val="auto"/>
        </w:rPr>
      </w:pPr>
    </w:p>
    <w:p>
      <w:pPr>
        <w:ind w:left="2600" w:hanging="904"/>
        <w:spacing w:after="0"/>
        <w:tabs>
          <w:tab w:leader="none" w:pos="2600" w:val="left"/>
        </w:tabs>
        <w:numPr>
          <w:ilvl w:val="0"/>
          <w:numId w:val="73"/>
        </w:numPr>
        <w:rPr>
          <w:rFonts w:ascii="Arial" w:cs="Arial" w:eastAsia="Arial" w:hAnsi="Arial"/>
          <w:sz w:val="19"/>
          <w:szCs w:val="19"/>
          <w:b w:val="1"/>
          <w:bCs w:val="1"/>
          <w:color w:val="auto"/>
        </w:rPr>
      </w:pPr>
      <w:r>
        <w:rPr>
          <w:rFonts w:ascii="Arial" w:cs="Arial" w:eastAsia="Arial" w:hAnsi="Arial"/>
          <w:sz w:val="19"/>
          <w:szCs w:val="19"/>
          <w:color w:val="auto"/>
        </w:rPr>
        <w:t>for the purpose of performing its obligations in the Collaboration and solely during the Research</w:t>
      </w:r>
    </w:p>
    <w:p>
      <w:pPr>
        <w:spacing w:after="0" w:line="42" w:lineRule="exact"/>
        <w:rPr>
          <w:rFonts w:ascii="Arial" w:cs="Arial" w:eastAsia="Arial" w:hAnsi="Arial"/>
          <w:sz w:val="19"/>
          <w:szCs w:val="19"/>
          <w:b w:val="1"/>
          <w:bCs w:val="1"/>
          <w:color w:val="auto"/>
        </w:rPr>
      </w:pPr>
    </w:p>
    <w:p>
      <w:pPr>
        <w:ind w:left="880"/>
        <w:spacing w:after="0"/>
        <w:rPr>
          <w:rFonts w:ascii="Arial" w:cs="Arial" w:eastAsia="Arial" w:hAnsi="Arial"/>
          <w:sz w:val="19"/>
          <w:szCs w:val="19"/>
          <w:b w:val="1"/>
          <w:bCs w:val="1"/>
          <w:color w:val="auto"/>
        </w:rPr>
      </w:pPr>
      <w:r>
        <w:rPr>
          <w:rFonts w:ascii="Arial" w:cs="Arial" w:eastAsia="Arial" w:hAnsi="Arial"/>
          <w:sz w:val="22"/>
          <w:szCs w:val="22"/>
          <w:color w:val="auto"/>
        </w:rPr>
        <w:t>Term; and</w:t>
      </w:r>
    </w:p>
    <w:p>
      <w:pPr>
        <w:spacing w:after="0" w:line="134" w:lineRule="exact"/>
        <w:rPr>
          <w:rFonts w:ascii="Arial" w:cs="Arial" w:eastAsia="Arial" w:hAnsi="Arial"/>
          <w:sz w:val="19"/>
          <w:szCs w:val="19"/>
          <w:b w:val="1"/>
          <w:bCs w:val="1"/>
          <w:color w:val="auto"/>
        </w:rPr>
      </w:pPr>
    </w:p>
    <w:p>
      <w:pPr>
        <w:ind w:left="2660" w:hanging="964"/>
        <w:spacing w:after="0"/>
        <w:tabs>
          <w:tab w:leader="none" w:pos="2660" w:val="left"/>
        </w:tabs>
        <w:numPr>
          <w:ilvl w:val="0"/>
          <w:numId w:val="73"/>
        </w:numPr>
        <w:rPr>
          <w:rFonts w:ascii="Arial" w:cs="Arial" w:eastAsia="Arial" w:hAnsi="Arial"/>
          <w:sz w:val="22"/>
          <w:szCs w:val="22"/>
          <w:b w:val="1"/>
          <w:bCs w:val="1"/>
          <w:color w:val="auto"/>
        </w:rPr>
      </w:pPr>
      <w:r>
        <w:rPr>
          <w:rFonts w:ascii="Arial" w:cs="Arial" w:eastAsia="Arial" w:hAnsi="Arial"/>
          <w:sz w:val="22"/>
          <w:szCs w:val="22"/>
          <w:color w:val="auto"/>
        </w:rPr>
        <w:t>pursuant to the licenses and rights granted in this Agreement.</w:t>
      </w:r>
    </w:p>
    <w:p>
      <w:pPr>
        <w:spacing w:after="0" w:line="152" w:lineRule="exact"/>
        <w:rPr>
          <w:sz w:val="20"/>
          <w:szCs w:val="20"/>
          <w:color w:val="auto"/>
        </w:rPr>
      </w:pPr>
    </w:p>
    <w:p>
      <w:pPr>
        <w:ind w:right="80"/>
        <w:spacing w:after="0" w:line="282" w:lineRule="auto"/>
        <w:rPr>
          <w:sz w:val="20"/>
          <w:szCs w:val="20"/>
          <w:color w:val="auto"/>
        </w:rPr>
      </w:pPr>
      <w:r>
        <w:rPr>
          <w:rFonts w:ascii="Arial" w:cs="Arial" w:eastAsia="Arial" w:hAnsi="Arial"/>
          <w:sz w:val="19"/>
          <w:szCs w:val="19"/>
          <w:color w:val="auto"/>
        </w:rPr>
        <w:t>Each Party will use the other Party’s Materials in full compliance with all Applicable Laws and ethical principles and reasonable instructions provided by the supplying Party. Materials will be used solely for investigations under suitable containment conditions and will under no circumstances be administered to humans. Materials will not be used, analyzed, or modified other than as necessary for the purpose of the Collaboration and pursuant to the receiving Party’s rights under this Agreement. Materials are to be used and handled with caution and prudence at all times, since not all characteristics of the Materials are necessarily known.</w:t>
      </w:r>
    </w:p>
    <w:p>
      <w:pPr>
        <w:spacing w:after="0" w:line="88" w:lineRule="exact"/>
        <w:rPr>
          <w:sz w:val="20"/>
          <w:szCs w:val="20"/>
          <w:color w:val="auto"/>
        </w:rPr>
      </w:pPr>
    </w:p>
    <w:p>
      <w:pPr>
        <w:spacing w:after="0"/>
        <w:tabs>
          <w:tab w:leader="none" w:pos="1640" w:val="left"/>
        </w:tabs>
        <w:rPr>
          <w:sz w:val="20"/>
          <w:szCs w:val="20"/>
          <w:color w:val="auto"/>
        </w:rPr>
      </w:pPr>
      <w:r>
        <w:rPr>
          <w:rFonts w:ascii="Arial" w:cs="Arial" w:eastAsia="Arial" w:hAnsi="Arial"/>
          <w:sz w:val="22"/>
          <w:szCs w:val="22"/>
          <w:b w:val="1"/>
          <w:bCs w:val="1"/>
          <w:color w:val="auto"/>
        </w:rPr>
        <w:t>Section 2.6</w:t>
      </w:r>
      <w:r>
        <w:rPr>
          <w:sz w:val="20"/>
          <w:szCs w:val="20"/>
          <w:color w:val="auto"/>
        </w:rPr>
        <w:tab/>
      </w:r>
      <w:r>
        <w:rPr>
          <w:rFonts w:ascii="Arial" w:cs="Arial" w:eastAsia="Arial" w:hAnsi="Arial"/>
          <w:sz w:val="18"/>
          <w:szCs w:val="18"/>
          <w:b w:val="1"/>
          <w:bCs w:val="1"/>
          <w:color w:val="auto"/>
        </w:rPr>
        <w:t>Technology Transfer.</w:t>
      </w:r>
    </w:p>
    <w:p>
      <w:pPr>
        <w:spacing w:after="0" w:line="152" w:lineRule="exact"/>
        <w:rPr>
          <w:sz w:val="20"/>
          <w:szCs w:val="20"/>
          <w:color w:val="auto"/>
        </w:rPr>
      </w:pPr>
    </w:p>
    <w:p>
      <w:pPr>
        <w:ind w:right="60" w:firstLine="877"/>
        <w:spacing w:after="0" w:line="235" w:lineRule="auto"/>
        <w:rPr>
          <w:sz w:val="20"/>
          <w:szCs w:val="20"/>
          <w:color w:val="auto"/>
        </w:rPr>
      </w:pPr>
      <w:r>
        <w:rPr>
          <w:rFonts w:ascii="Arial" w:cs="Arial" w:eastAsia="Arial" w:hAnsi="Arial"/>
          <w:sz w:val="22"/>
          <w:szCs w:val="22"/>
          <w:b w:val="1"/>
          <w:bCs w:val="1"/>
          <w:color w:val="auto"/>
        </w:rPr>
        <w:t>2.6.1 Technology Transfer Generally</w:t>
      </w:r>
      <w:r>
        <w:rPr>
          <w:rFonts w:ascii="Arial" w:cs="Arial" w:eastAsia="Arial" w:hAnsi="Arial"/>
          <w:sz w:val="22"/>
          <w:szCs w:val="22"/>
          <w:color w:val="auto"/>
        </w:rPr>
        <w:t>. Upon Novartis’ request, Cerulean will assist Novartis with commercially</w:t>
      </w:r>
      <w:r>
        <w:rPr>
          <w:rFonts w:ascii="Arial" w:cs="Arial" w:eastAsia="Arial" w:hAnsi="Arial"/>
          <w:sz w:val="22"/>
          <w:szCs w:val="22"/>
          <w:b w:val="1"/>
          <w:bCs w:val="1"/>
          <w:color w:val="auto"/>
        </w:rPr>
        <w:t xml:space="preserve"> </w:t>
      </w:r>
      <w:r>
        <w:rPr>
          <w:rFonts w:ascii="Arial" w:cs="Arial" w:eastAsia="Arial" w:hAnsi="Arial"/>
          <w:sz w:val="22"/>
          <w:szCs w:val="22"/>
          <w:color w:val="auto"/>
        </w:rPr>
        <w:t>reasonable technology transfer to permit Novartis or its agent to manufacture and supply NDC Products for clinical and commercial use (“</w:t>
      </w:r>
      <w:r>
        <w:rPr>
          <w:rFonts w:ascii="Arial" w:cs="Arial" w:eastAsia="Arial" w:hAnsi="Arial"/>
          <w:sz w:val="22"/>
          <w:szCs w:val="22"/>
          <w:u w:val="single" w:color="auto"/>
          <w:color w:val="auto"/>
        </w:rPr>
        <w:t>Technology Transfer</w:t>
      </w:r>
      <w:r>
        <w:rPr>
          <w:rFonts w:ascii="Arial" w:cs="Arial" w:eastAsia="Arial" w:hAnsi="Arial"/>
          <w:sz w:val="22"/>
          <w:szCs w:val="22"/>
          <w:color w:val="auto"/>
        </w:rPr>
        <w:t xml:space="preserve">”). Technology Transfer will consist of </w:t>
      </w:r>
      <w:r>
        <w:rPr>
          <w:rFonts w:ascii="Arial" w:cs="Arial" w:eastAsia="Arial" w:hAnsi="Arial"/>
          <w:sz w:val="22"/>
          <w:szCs w:val="22"/>
          <w:b w:val="1"/>
          <w:bCs w:val="1"/>
          <w:color w:val="auto"/>
        </w:rPr>
        <w:t>(a)</w:t>
      </w:r>
      <w:r>
        <w:rPr>
          <w:rFonts w:ascii="Arial" w:cs="Arial" w:eastAsia="Arial" w:hAnsi="Arial"/>
          <w:sz w:val="22"/>
          <w:szCs w:val="22"/>
          <w:color w:val="auto"/>
        </w:rPr>
        <w:t xml:space="preserve"> a one-time poly-NDC Product (</w:t>
      </w:r>
      <w:r>
        <w:rPr>
          <w:rFonts w:ascii="Arial" w:cs="Arial" w:eastAsia="Arial" w:hAnsi="Arial"/>
          <w:sz w:val="22"/>
          <w:szCs w:val="22"/>
          <w:i w:val="1"/>
          <w:iCs w:val="1"/>
          <w:color w:val="auto"/>
        </w:rPr>
        <w:t>i.e.</w:t>
      </w:r>
      <w:r>
        <w:rPr>
          <w:rFonts w:ascii="Arial" w:cs="Arial" w:eastAsia="Arial" w:hAnsi="Arial"/>
          <w:sz w:val="22"/>
          <w:szCs w:val="22"/>
          <w:color w:val="auto"/>
        </w:rPr>
        <w:t>, applicable to all NDC Products) transfer of information (the “</w:t>
      </w:r>
      <w:r>
        <w:rPr>
          <w:rFonts w:ascii="Arial" w:cs="Arial" w:eastAsia="Arial" w:hAnsi="Arial"/>
          <w:sz w:val="22"/>
          <w:szCs w:val="22"/>
          <w:u w:val="single" w:color="auto"/>
          <w:color w:val="auto"/>
        </w:rPr>
        <w:t>Poly-Tech Transfer</w:t>
      </w:r>
      <w:r>
        <w:rPr>
          <w:rFonts w:ascii="Arial" w:cs="Arial" w:eastAsia="Arial" w:hAnsi="Arial"/>
          <w:sz w:val="22"/>
          <w:szCs w:val="22"/>
          <w:color w:val="auto"/>
        </w:rPr>
        <w:t xml:space="preserve">”), and </w:t>
      </w:r>
      <w:r>
        <w:rPr>
          <w:rFonts w:ascii="Arial" w:cs="Arial" w:eastAsia="Arial" w:hAnsi="Arial"/>
          <w:sz w:val="22"/>
          <w:szCs w:val="22"/>
          <w:b w:val="1"/>
          <w:bCs w:val="1"/>
          <w:color w:val="auto"/>
        </w:rPr>
        <w:t>(b)</w:t>
      </w:r>
      <w:r>
        <w:rPr>
          <w:rFonts w:ascii="Arial" w:cs="Arial" w:eastAsia="Arial" w:hAnsi="Arial"/>
          <w:sz w:val="22"/>
          <w:szCs w:val="22"/>
          <w:color w:val="auto"/>
        </w:rPr>
        <w:t xml:space="preserve"> transfer of information with respect to each specific NDC Product (each, a “</w:t>
      </w:r>
      <w:r>
        <w:rPr>
          <w:rFonts w:ascii="Arial" w:cs="Arial" w:eastAsia="Arial" w:hAnsi="Arial"/>
          <w:sz w:val="22"/>
          <w:szCs w:val="22"/>
          <w:u w:val="single" w:color="auto"/>
          <w:color w:val="auto"/>
        </w:rPr>
        <w:t>Specific NDC Product Tech Transfer</w:t>
      </w:r>
      <w:r>
        <w:rPr>
          <w:rFonts w:ascii="Arial" w:cs="Arial" w:eastAsia="Arial" w:hAnsi="Arial"/>
          <w:sz w:val="22"/>
          <w:szCs w:val="22"/>
          <w:color w:val="auto"/>
        </w:rPr>
        <w:t>”). All such Technology Transfer (and any Proprietary Information encompassed in any such Technology Transfer) shall be included in the licenses to Cerulean’s Know How as set forth in Section 3.1 and Section 3.2.</w:t>
      </w:r>
    </w:p>
    <w:p>
      <w:pPr>
        <w:spacing w:after="0" w:line="130" w:lineRule="exact"/>
        <w:rPr>
          <w:sz w:val="20"/>
          <w:szCs w:val="20"/>
          <w:color w:val="auto"/>
        </w:rPr>
      </w:pPr>
    </w:p>
    <w:p>
      <w:pPr>
        <w:ind w:right="80" w:firstLine="877"/>
        <w:spacing w:after="0" w:line="247" w:lineRule="auto"/>
        <w:rPr>
          <w:sz w:val="20"/>
          <w:szCs w:val="20"/>
          <w:color w:val="auto"/>
        </w:rPr>
      </w:pPr>
      <w:r>
        <w:rPr>
          <w:rFonts w:ascii="Arial" w:cs="Arial" w:eastAsia="Arial" w:hAnsi="Arial"/>
          <w:sz w:val="21"/>
          <w:szCs w:val="21"/>
          <w:b w:val="1"/>
          <w:bCs w:val="1"/>
          <w:color w:val="auto"/>
        </w:rPr>
        <w:t xml:space="preserve">2.6.2 Scope of Technology Transfer. </w:t>
      </w:r>
      <w:r>
        <w:rPr>
          <w:rFonts w:ascii="Arial" w:cs="Arial" w:eastAsia="Arial" w:hAnsi="Arial"/>
          <w:sz w:val="21"/>
          <w:szCs w:val="21"/>
          <w:color w:val="auto"/>
        </w:rPr>
        <w:t>Technology Transfer shall include disclosure of Cerulean’s Know-How</w:t>
      </w:r>
      <w:r>
        <w:rPr>
          <w:rFonts w:ascii="Arial" w:cs="Arial" w:eastAsia="Arial" w:hAnsi="Arial"/>
          <w:sz w:val="21"/>
          <w:szCs w:val="21"/>
          <w:b w:val="1"/>
          <w:bCs w:val="1"/>
          <w:color w:val="auto"/>
        </w:rPr>
        <w:t xml:space="preserve"> </w:t>
      </w:r>
      <w:r>
        <w:rPr>
          <w:rFonts w:ascii="Arial" w:cs="Arial" w:eastAsia="Arial" w:hAnsi="Arial"/>
          <w:sz w:val="21"/>
          <w:szCs w:val="21"/>
          <w:color w:val="auto"/>
        </w:rPr>
        <w:t>pertaining to the formulation, manufacture and Development of the NDC Products and any other data, information and documents known to Cerulean which may be necessary or useful to Novartis to Develop or Commercialize the NDC Products and/or Licensed Products and practice the licenses granted hereunder efficiently. Without limiting the foregoing, Cerulean will deliver to Novartis (or its designee) all manufacturing batch records, Development reports, analytical results, filings and correspondence with any Regulatory Authority (including notes or minutes of any meetings with any Regulatory Authority), raw material and excipient sourcing information, quality audit findings and any other relevant technical information relating to the relevant NDC Products, including reference materials and physical samples.</w:t>
      </w:r>
    </w:p>
    <w:p>
      <w:pPr>
        <w:spacing w:after="0" w:line="119" w:lineRule="exact"/>
        <w:rPr>
          <w:sz w:val="20"/>
          <w:szCs w:val="20"/>
          <w:color w:val="auto"/>
        </w:rPr>
      </w:pPr>
    </w:p>
    <w:p>
      <w:pPr>
        <w:ind w:right="60" w:firstLine="877"/>
        <w:spacing w:after="0" w:line="256" w:lineRule="auto"/>
        <w:rPr>
          <w:sz w:val="20"/>
          <w:szCs w:val="20"/>
          <w:color w:val="auto"/>
        </w:rPr>
      </w:pPr>
      <w:r>
        <w:rPr>
          <w:rFonts w:ascii="Arial" w:cs="Arial" w:eastAsia="Arial" w:hAnsi="Arial"/>
          <w:sz w:val="22"/>
          <w:szCs w:val="22"/>
          <w:b w:val="1"/>
          <w:bCs w:val="1"/>
          <w:color w:val="auto"/>
        </w:rPr>
        <w:t xml:space="preserve">2.6.3 Budget. </w:t>
      </w:r>
      <w:r>
        <w:rPr>
          <w:rFonts w:ascii="Arial" w:cs="Arial" w:eastAsia="Arial" w:hAnsi="Arial"/>
          <w:sz w:val="22"/>
          <w:szCs w:val="22"/>
          <w:color w:val="auto"/>
        </w:rPr>
        <w:t>Prior to commencement of the Technology Transfer activities, the Parties will agree upon a budget,</w:t>
      </w:r>
      <w:r>
        <w:rPr>
          <w:rFonts w:ascii="Arial" w:cs="Arial" w:eastAsia="Arial" w:hAnsi="Arial"/>
          <w:sz w:val="22"/>
          <w:szCs w:val="22"/>
          <w:b w:val="1"/>
          <w:bCs w:val="1"/>
          <w:color w:val="auto"/>
        </w:rPr>
        <w:t xml:space="preserve"> </w:t>
      </w:r>
      <w:r>
        <w:rPr>
          <w:rFonts w:ascii="Arial" w:cs="Arial" w:eastAsia="Arial" w:hAnsi="Arial"/>
          <w:sz w:val="22"/>
          <w:szCs w:val="22"/>
          <w:color w:val="auto"/>
        </w:rPr>
        <w:t>which will not exceed the amounts set forth in Section 5.2.2.</w:t>
      </w:r>
    </w:p>
    <w:p>
      <w:pPr>
        <w:spacing w:after="0" w:line="109" w:lineRule="exact"/>
        <w:rPr>
          <w:sz w:val="20"/>
          <w:szCs w:val="20"/>
          <w:color w:val="auto"/>
        </w:rPr>
      </w:pPr>
    </w:p>
    <w:p>
      <w:pPr>
        <w:spacing w:after="0"/>
        <w:tabs>
          <w:tab w:leader="none" w:pos="1640" w:val="left"/>
        </w:tabs>
        <w:rPr>
          <w:sz w:val="20"/>
          <w:szCs w:val="20"/>
          <w:color w:val="auto"/>
        </w:rPr>
      </w:pPr>
      <w:r>
        <w:rPr>
          <w:rFonts w:ascii="Arial" w:cs="Arial" w:eastAsia="Arial" w:hAnsi="Arial"/>
          <w:sz w:val="22"/>
          <w:szCs w:val="22"/>
          <w:b w:val="1"/>
          <w:bCs w:val="1"/>
          <w:color w:val="auto"/>
        </w:rPr>
        <w:t>Section 2.7</w:t>
      </w:r>
      <w:r>
        <w:rPr>
          <w:sz w:val="20"/>
          <w:szCs w:val="20"/>
          <w:color w:val="auto"/>
        </w:rPr>
        <w:tab/>
      </w:r>
      <w:r>
        <w:rPr>
          <w:rFonts w:ascii="Arial" w:cs="Arial" w:eastAsia="Arial" w:hAnsi="Arial"/>
          <w:sz w:val="19"/>
          <w:szCs w:val="19"/>
          <w:b w:val="1"/>
          <w:bCs w:val="1"/>
          <w:color w:val="auto"/>
        </w:rPr>
        <w:t>Personal Information.</w:t>
      </w:r>
    </w:p>
    <w:p>
      <w:pPr>
        <w:spacing w:after="0" w:line="158" w:lineRule="exact"/>
        <w:rPr>
          <w:sz w:val="20"/>
          <w:szCs w:val="20"/>
          <w:color w:val="auto"/>
        </w:rPr>
      </w:pPr>
    </w:p>
    <w:p>
      <w:pPr>
        <w:ind w:right="160" w:firstLine="877"/>
        <w:spacing w:after="0" w:line="279" w:lineRule="auto"/>
        <w:rPr>
          <w:sz w:val="20"/>
          <w:szCs w:val="20"/>
          <w:color w:val="auto"/>
        </w:rPr>
      </w:pPr>
      <w:r>
        <w:rPr>
          <w:rFonts w:ascii="Arial" w:cs="Arial" w:eastAsia="Arial" w:hAnsi="Arial"/>
          <w:sz w:val="19"/>
          <w:szCs w:val="19"/>
          <w:color w:val="auto"/>
        </w:rPr>
        <w:t>To the extent the conduct of the Collaboration requires the transfer of Personal Information (defined below), the provisions of this Section 2.7 will apply. Each of the Parties will, and will cause its Affiliates and agents to, process and maintain all Personal Information it acquires under or in connection with this Agreement in compliance with all applicable data protection laws, including the data protection laws of the European Union, European Economic Area, Switzerland, the United States and various localities therein. Each of the Parties acknowledges that the requirements under such data protection laws may exceed the requirements applicable to Proprietary Information set forth in Article VI. Each of the Parties</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3" w:name="page84"/>
    <w:bookmarkEnd w:id="83"/>
    <w:p>
      <w:pPr>
        <w:ind w:left="9560"/>
        <w:spacing w:after="0"/>
        <w:rPr>
          <w:sz w:val="20"/>
          <w:szCs w:val="20"/>
          <w:color w:val="auto"/>
        </w:rPr>
      </w:pPr>
      <w:r>
        <w:rPr>
          <w:rFonts w:ascii="Arial" w:cs="Arial" w:eastAsia="Arial" w:hAnsi="Arial"/>
          <w:sz w:val="19"/>
          <w:szCs w:val="19"/>
          <w:color w:val="auto"/>
        </w:rPr>
        <w:t>EXECUTION COPY</w:t>
      </w:r>
    </w:p>
    <w:p>
      <w:pPr>
        <w:spacing w:after="0" w:line="268" w:lineRule="exact"/>
        <w:rPr>
          <w:sz w:val="20"/>
          <w:szCs w:val="20"/>
          <w:color w:val="auto"/>
        </w:rPr>
      </w:pPr>
    </w:p>
    <w:p>
      <w:pPr>
        <w:ind w:right="440"/>
        <w:spacing w:after="0" w:line="328" w:lineRule="auto"/>
        <w:rPr>
          <w:sz w:val="20"/>
          <w:szCs w:val="20"/>
          <w:color w:val="auto"/>
        </w:rPr>
      </w:pPr>
      <w:r>
        <w:rPr>
          <w:rFonts w:ascii="Arial" w:cs="Arial" w:eastAsia="Arial" w:hAnsi="Arial"/>
          <w:sz w:val="19"/>
          <w:szCs w:val="19"/>
          <w:color w:val="auto"/>
        </w:rPr>
        <w:t>may, on reasonable prior notice, audit the other Party’s compliance with such data protection laws. For this purpose, “</w:t>
      </w:r>
      <w:r>
        <w:rPr>
          <w:rFonts w:ascii="Arial" w:cs="Arial" w:eastAsia="Arial" w:hAnsi="Arial"/>
          <w:sz w:val="19"/>
          <w:szCs w:val="19"/>
          <w:u w:val="single" w:color="auto"/>
          <w:color w:val="auto"/>
        </w:rPr>
        <w:t>Personal</w:t>
      </w:r>
      <w:r>
        <w:rPr>
          <w:rFonts w:ascii="Arial" w:cs="Arial" w:eastAsia="Arial" w:hAnsi="Arial"/>
          <w:sz w:val="19"/>
          <w:szCs w:val="19"/>
          <w:color w:val="auto"/>
        </w:rPr>
        <w:t xml:space="preserve"> </w:t>
      </w:r>
      <w:r>
        <w:rPr>
          <w:rFonts w:ascii="Arial" w:cs="Arial" w:eastAsia="Arial" w:hAnsi="Arial"/>
          <w:sz w:val="19"/>
          <w:szCs w:val="19"/>
          <w:u w:val="single" w:color="auto"/>
          <w:color w:val="auto"/>
        </w:rPr>
        <w:t>Information</w:t>
      </w:r>
      <w:r>
        <w:rPr>
          <w:rFonts w:ascii="Arial" w:cs="Arial" w:eastAsia="Arial" w:hAnsi="Arial"/>
          <w:sz w:val="19"/>
          <w:szCs w:val="19"/>
          <w:color w:val="auto"/>
        </w:rPr>
        <w:t>” means any information that can be used to identify, describe, locate or contact an individual, including</w:t>
      </w:r>
    </w:p>
    <w:p>
      <w:pPr>
        <w:spacing w:after="0" w:line="51" w:lineRule="exact"/>
        <w:rPr>
          <w:sz w:val="20"/>
          <w:szCs w:val="20"/>
          <w:color w:val="auto"/>
        </w:rPr>
      </w:pPr>
    </w:p>
    <w:p>
      <w:pPr>
        <w:ind w:left="2640" w:hanging="944"/>
        <w:spacing w:after="0"/>
        <w:tabs>
          <w:tab w:leader="none" w:pos="2640" w:val="left"/>
        </w:tabs>
        <w:numPr>
          <w:ilvl w:val="0"/>
          <w:numId w:val="74"/>
        </w:numPr>
        <w:rPr>
          <w:rFonts w:ascii="Arial" w:cs="Arial" w:eastAsia="Arial" w:hAnsi="Arial"/>
          <w:sz w:val="22"/>
          <w:szCs w:val="22"/>
          <w:b w:val="1"/>
          <w:bCs w:val="1"/>
          <w:color w:val="auto"/>
        </w:rPr>
      </w:pPr>
      <w:r>
        <w:rPr>
          <w:rFonts w:ascii="Arial" w:cs="Arial" w:eastAsia="Arial" w:hAnsi="Arial"/>
          <w:sz w:val="22"/>
          <w:szCs w:val="22"/>
          <w:color w:val="auto"/>
        </w:rPr>
        <w:t>name or initials;</w:t>
      </w:r>
    </w:p>
    <w:p>
      <w:pPr>
        <w:spacing w:after="0" w:line="152" w:lineRule="exact"/>
        <w:rPr>
          <w:rFonts w:ascii="Arial" w:cs="Arial" w:eastAsia="Arial" w:hAnsi="Arial"/>
          <w:sz w:val="22"/>
          <w:szCs w:val="22"/>
          <w:b w:val="1"/>
          <w:bCs w:val="1"/>
          <w:color w:val="auto"/>
        </w:rPr>
      </w:pPr>
    </w:p>
    <w:p>
      <w:pPr>
        <w:ind w:left="2660" w:hanging="964"/>
        <w:spacing w:after="0"/>
        <w:tabs>
          <w:tab w:leader="none" w:pos="2660" w:val="left"/>
        </w:tabs>
        <w:numPr>
          <w:ilvl w:val="0"/>
          <w:numId w:val="74"/>
        </w:numPr>
        <w:rPr>
          <w:rFonts w:ascii="Arial" w:cs="Arial" w:eastAsia="Arial" w:hAnsi="Arial"/>
          <w:sz w:val="22"/>
          <w:szCs w:val="22"/>
          <w:b w:val="1"/>
          <w:bCs w:val="1"/>
          <w:color w:val="auto"/>
        </w:rPr>
      </w:pPr>
      <w:r>
        <w:rPr>
          <w:rFonts w:ascii="Arial" w:cs="Arial" w:eastAsia="Arial" w:hAnsi="Arial"/>
          <w:sz w:val="22"/>
          <w:szCs w:val="22"/>
          <w:color w:val="auto"/>
        </w:rPr>
        <w:t>home or other physical address;</w:t>
      </w:r>
    </w:p>
    <w:p>
      <w:pPr>
        <w:spacing w:after="0" w:line="152" w:lineRule="exact"/>
        <w:rPr>
          <w:rFonts w:ascii="Arial" w:cs="Arial" w:eastAsia="Arial" w:hAnsi="Arial"/>
          <w:sz w:val="22"/>
          <w:szCs w:val="22"/>
          <w:b w:val="1"/>
          <w:bCs w:val="1"/>
          <w:color w:val="auto"/>
        </w:rPr>
      </w:pPr>
    </w:p>
    <w:p>
      <w:pPr>
        <w:ind w:left="2640" w:hanging="944"/>
        <w:spacing w:after="0"/>
        <w:tabs>
          <w:tab w:leader="none" w:pos="2640" w:val="left"/>
        </w:tabs>
        <w:numPr>
          <w:ilvl w:val="0"/>
          <w:numId w:val="74"/>
        </w:numPr>
        <w:rPr>
          <w:rFonts w:ascii="Arial" w:cs="Arial" w:eastAsia="Arial" w:hAnsi="Arial"/>
          <w:sz w:val="22"/>
          <w:szCs w:val="22"/>
          <w:b w:val="1"/>
          <w:bCs w:val="1"/>
          <w:color w:val="auto"/>
        </w:rPr>
      </w:pPr>
      <w:r>
        <w:rPr>
          <w:rFonts w:ascii="Arial" w:cs="Arial" w:eastAsia="Arial" w:hAnsi="Arial"/>
          <w:sz w:val="22"/>
          <w:szCs w:val="22"/>
          <w:color w:val="auto"/>
        </w:rPr>
        <w:t>telephone number;</w:t>
      </w:r>
    </w:p>
    <w:p>
      <w:pPr>
        <w:spacing w:after="0" w:line="152" w:lineRule="exact"/>
        <w:rPr>
          <w:rFonts w:ascii="Arial" w:cs="Arial" w:eastAsia="Arial" w:hAnsi="Arial"/>
          <w:sz w:val="22"/>
          <w:szCs w:val="22"/>
          <w:b w:val="1"/>
          <w:bCs w:val="1"/>
          <w:color w:val="auto"/>
        </w:rPr>
      </w:pPr>
    </w:p>
    <w:p>
      <w:pPr>
        <w:ind w:left="2660" w:hanging="964"/>
        <w:spacing w:after="0"/>
        <w:tabs>
          <w:tab w:leader="none" w:pos="2660" w:val="left"/>
        </w:tabs>
        <w:numPr>
          <w:ilvl w:val="0"/>
          <w:numId w:val="74"/>
        </w:numPr>
        <w:rPr>
          <w:rFonts w:ascii="Arial" w:cs="Arial" w:eastAsia="Arial" w:hAnsi="Arial"/>
          <w:sz w:val="22"/>
          <w:szCs w:val="22"/>
          <w:b w:val="1"/>
          <w:bCs w:val="1"/>
          <w:color w:val="auto"/>
        </w:rPr>
      </w:pPr>
      <w:r>
        <w:rPr>
          <w:rFonts w:ascii="Arial" w:cs="Arial" w:eastAsia="Arial" w:hAnsi="Arial"/>
          <w:sz w:val="22"/>
          <w:szCs w:val="22"/>
          <w:color w:val="auto"/>
        </w:rPr>
        <w:t>email address or online identifier associated with the individual;</w:t>
      </w:r>
    </w:p>
    <w:p>
      <w:pPr>
        <w:spacing w:after="0" w:line="152" w:lineRule="exact"/>
        <w:rPr>
          <w:rFonts w:ascii="Arial" w:cs="Arial" w:eastAsia="Arial" w:hAnsi="Arial"/>
          <w:sz w:val="22"/>
          <w:szCs w:val="22"/>
          <w:b w:val="1"/>
          <w:bCs w:val="1"/>
          <w:color w:val="auto"/>
        </w:rPr>
      </w:pPr>
    </w:p>
    <w:p>
      <w:pPr>
        <w:ind w:left="2640" w:hanging="944"/>
        <w:spacing w:after="0"/>
        <w:tabs>
          <w:tab w:leader="none" w:pos="2640" w:val="left"/>
        </w:tabs>
        <w:numPr>
          <w:ilvl w:val="0"/>
          <w:numId w:val="74"/>
        </w:numPr>
        <w:rPr>
          <w:rFonts w:ascii="Arial" w:cs="Arial" w:eastAsia="Arial" w:hAnsi="Arial"/>
          <w:sz w:val="22"/>
          <w:szCs w:val="22"/>
          <w:b w:val="1"/>
          <w:bCs w:val="1"/>
          <w:color w:val="auto"/>
        </w:rPr>
      </w:pPr>
      <w:r>
        <w:rPr>
          <w:rFonts w:ascii="Arial" w:cs="Arial" w:eastAsia="Arial" w:hAnsi="Arial"/>
          <w:sz w:val="22"/>
          <w:szCs w:val="22"/>
          <w:color w:val="auto"/>
        </w:rPr>
        <w:t>social security number or other similar government identifier;</w:t>
      </w:r>
    </w:p>
    <w:p>
      <w:pPr>
        <w:spacing w:after="0" w:line="152" w:lineRule="exact"/>
        <w:rPr>
          <w:rFonts w:ascii="Arial" w:cs="Arial" w:eastAsia="Arial" w:hAnsi="Arial"/>
          <w:sz w:val="22"/>
          <w:szCs w:val="22"/>
          <w:b w:val="1"/>
          <w:bCs w:val="1"/>
          <w:color w:val="auto"/>
        </w:rPr>
      </w:pPr>
    </w:p>
    <w:p>
      <w:pPr>
        <w:ind w:left="2620" w:hanging="924"/>
        <w:spacing w:after="0"/>
        <w:tabs>
          <w:tab w:leader="none" w:pos="2620" w:val="left"/>
        </w:tabs>
        <w:numPr>
          <w:ilvl w:val="0"/>
          <w:numId w:val="74"/>
        </w:numPr>
        <w:rPr>
          <w:rFonts w:ascii="Arial" w:cs="Arial" w:eastAsia="Arial" w:hAnsi="Arial"/>
          <w:sz w:val="22"/>
          <w:szCs w:val="22"/>
          <w:b w:val="1"/>
          <w:bCs w:val="1"/>
          <w:color w:val="auto"/>
        </w:rPr>
      </w:pPr>
      <w:r>
        <w:rPr>
          <w:rFonts w:ascii="Arial" w:cs="Arial" w:eastAsia="Arial" w:hAnsi="Arial"/>
          <w:sz w:val="22"/>
          <w:szCs w:val="22"/>
          <w:color w:val="auto"/>
        </w:rPr>
        <w:t>employment, financial or health information;</w:t>
      </w:r>
    </w:p>
    <w:p>
      <w:pPr>
        <w:spacing w:after="0" w:line="152" w:lineRule="exact"/>
        <w:rPr>
          <w:rFonts w:ascii="Arial" w:cs="Arial" w:eastAsia="Arial" w:hAnsi="Arial"/>
          <w:sz w:val="22"/>
          <w:szCs w:val="22"/>
          <w:b w:val="1"/>
          <w:bCs w:val="1"/>
          <w:color w:val="auto"/>
        </w:rPr>
      </w:pPr>
    </w:p>
    <w:p>
      <w:pPr>
        <w:ind w:left="880" w:right="320" w:firstLine="816"/>
        <w:spacing w:after="0" w:line="251" w:lineRule="auto"/>
        <w:tabs>
          <w:tab w:leader="none" w:pos="2644" w:val="left"/>
        </w:tabs>
        <w:numPr>
          <w:ilvl w:val="0"/>
          <w:numId w:val="74"/>
        </w:numPr>
        <w:rPr>
          <w:rFonts w:ascii="Arial" w:cs="Arial" w:eastAsia="Arial" w:hAnsi="Arial"/>
          <w:sz w:val="22"/>
          <w:szCs w:val="22"/>
          <w:b w:val="1"/>
          <w:bCs w:val="1"/>
          <w:color w:val="auto"/>
        </w:rPr>
      </w:pPr>
      <w:r>
        <w:rPr>
          <w:rFonts w:ascii="Arial" w:cs="Arial" w:eastAsia="Arial" w:hAnsi="Arial"/>
          <w:sz w:val="22"/>
          <w:szCs w:val="22"/>
          <w:color w:val="auto"/>
        </w:rPr>
        <w:t>information specific to an individual’s physical, physiological, mental, economic, racial, political, ethnic, ideological, cultural or social identity;</w:t>
      </w:r>
    </w:p>
    <w:p>
      <w:pPr>
        <w:spacing w:after="0" w:line="119" w:lineRule="exact"/>
        <w:rPr>
          <w:rFonts w:ascii="Arial" w:cs="Arial" w:eastAsia="Arial" w:hAnsi="Arial"/>
          <w:sz w:val="22"/>
          <w:szCs w:val="22"/>
          <w:b w:val="1"/>
          <w:bCs w:val="1"/>
          <w:color w:val="auto"/>
        </w:rPr>
      </w:pPr>
    </w:p>
    <w:p>
      <w:pPr>
        <w:ind w:left="2660" w:hanging="964"/>
        <w:spacing w:after="0"/>
        <w:tabs>
          <w:tab w:leader="none" w:pos="2660" w:val="left"/>
        </w:tabs>
        <w:numPr>
          <w:ilvl w:val="0"/>
          <w:numId w:val="74"/>
        </w:numPr>
        <w:rPr>
          <w:rFonts w:ascii="Arial" w:cs="Arial" w:eastAsia="Arial" w:hAnsi="Arial"/>
          <w:sz w:val="22"/>
          <w:szCs w:val="22"/>
          <w:b w:val="1"/>
          <w:bCs w:val="1"/>
          <w:color w:val="auto"/>
        </w:rPr>
      </w:pPr>
      <w:r>
        <w:rPr>
          <w:rFonts w:ascii="Arial" w:cs="Arial" w:eastAsia="Arial" w:hAnsi="Arial"/>
          <w:sz w:val="22"/>
          <w:szCs w:val="22"/>
          <w:color w:val="auto"/>
        </w:rPr>
        <w:t>photographs;</w:t>
      </w:r>
    </w:p>
    <w:p>
      <w:pPr>
        <w:spacing w:after="0" w:line="152" w:lineRule="exact"/>
        <w:rPr>
          <w:rFonts w:ascii="Arial" w:cs="Arial" w:eastAsia="Arial" w:hAnsi="Arial"/>
          <w:sz w:val="22"/>
          <w:szCs w:val="22"/>
          <w:b w:val="1"/>
          <w:bCs w:val="1"/>
          <w:color w:val="auto"/>
        </w:rPr>
      </w:pPr>
    </w:p>
    <w:p>
      <w:pPr>
        <w:ind w:left="2600" w:hanging="904"/>
        <w:spacing w:after="0"/>
        <w:tabs>
          <w:tab w:leader="none" w:pos="2600" w:val="left"/>
        </w:tabs>
        <w:numPr>
          <w:ilvl w:val="0"/>
          <w:numId w:val="74"/>
        </w:numPr>
        <w:rPr>
          <w:rFonts w:ascii="Arial" w:cs="Arial" w:eastAsia="Arial" w:hAnsi="Arial"/>
          <w:sz w:val="22"/>
          <w:szCs w:val="22"/>
          <w:b w:val="1"/>
          <w:bCs w:val="1"/>
          <w:color w:val="auto"/>
        </w:rPr>
      </w:pPr>
      <w:r>
        <w:rPr>
          <w:rFonts w:ascii="Arial" w:cs="Arial" w:eastAsia="Arial" w:hAnsi="Arial"/>
          <w:sz w:val="22"/>
          <w:szCs w:val="22"/>
          <w:color w:val="auto"/>
        </w:rPr>
        <w:t>dates relating to the individual (except years alone);</w:t>
      </w:r>
    </w:p>
    <w:p>
      <w:pPr>
        <w:spacing w:after="0" w:line="152" w:lineRule="exact"/>
        <w:rPr>
          <w:rFonts w:ascii="Arial" w:cs="Arial" w:eastAsia="Arial" w:hAnsi="Arial"/>
          <w:sz w:val="22"/>
          <w:szCs w:val="22"/>
          <w:b w:val="1"/>
          <w:bCs w:val="1"/>
          <w:color w:val="auto"/>
        </w:rPr>
      </w:pPr>
    </w:p>
    <w:p>
      <w:pPr>
        <w:ind w:left="2620" w:hanging="924"/>
        <w:spacing w:after="0"/>
        <w:tabs>
          <w:tab w:leader="none" w:pos="2620" w:val="left"/>
        </w:tabs>
        <w:numPr>
          <w:ilvl w:val="0"/>
          <w:numId w:val="74"/>
        </w:numPr>
        <w:rPr>
          <w:rFonts w:ascii="Arial" w:cs="Arial" w:eastAsia="Arial" w:hAnsi="Arial"/>
          <w:sz w:val="22"/>
          <w:szCs w:val="22"/>
          <w:b w:val="1"/>
          <w:bCs w:val="1"/>
          <w:color w:val="auto"/>
        </w:rPr>
      </w:pPr>
      <w:r>
        <w:rPr>
          <w:rFonts w:ascii="Arial" w:cs="Arial" w:eastAsia="Arial" w:hAnsi="Arial"/>
          <w:sz w:val="22"/>
          <w:szCs w:val="22"/>
          <w:color w:val="auto"/>
        </w:rPr>
        <w:t>financial account numbers;</w:t>
      </w:r>
    </w:p>
    <w:p>
      <w:pPr>
        <w:spacing w:after="0" w:line="152" w:lineRule="exact"/>
        <w:rPr>
          <w:rFonts w:ascii="Arial" w:cs="Arial" w:eastAsia="Arial" w:hAnsi="Arial"/>
          <w:sz w:val="22"/>
          <w:szCs w:val="22"/>
          <w:b w:val="1"/>
          <w:bCs w:val="1"/>
          <w:color w:val="auto"/>
        </w:rPr>
      </w:pPr>
    </w:p>
    <w:p>
      <w:pPr>
        <w:ind w:left="2660" w:hanging="964"/>
        <w:spacing w:after="0"/>
        <w:tabs>
          <w:tab w:leader="none" w:pos="2660" w:val="left"/>
        </w:tabs>
        <w:numPr>
          <w:ilvl w:val="0"/>
          <w:numId w:val="74"/>
        </w:numPr>
        <w:rPr>
          <w:rFonts w:ascii="Arial" w:cs="Arial" w:eastAsia="Arial" w:hAnsi="Arial"/>
          <w:sz w:val="22"/>
          <w:szCs w:val="22"/>
          <w:b w:val="1"/>
          <w:bCs w:val="1"/>
          <w:color w:val="auto"/>
        </w:rPr>
      </w:pPr>
      <w:r>
        <w:rPr>
          <w:rFonts w:ascii="Arial" w:cs="Arial" w:eastAsia="Arial" w:hAnsi="Arial"/>
          <w:sz w:val="22"/>
          <w:szCs w:val="22"/>
          <w:color w:val="auto"/>
        </w:rPr>
        <w:t>genetic material or information;</w:t>
      </w:r>
    </w:p>
    <w:p>
      <w:pPr>
        <w:spacing w:after="0" w:line="152" w:lineRule="exact"/>
        <w:rPr>
          <w:rFonts w:ascii="Arial" w:cs="Arial" w:eastAsia="Arial" w:hAnsi="Arial"/>
          <w:sz w:val="22"/>
          <w:szCs w:val="22"/>
          <w:b w:val="1"/>
          <w:bCs w:val="1"/>
          <w:color w:val="auto"/>
        </w:rPr>
      </w:pPr>
    </w:p>
    <w:p>
      <w:pPr>
        <w:ind w:left="2600" w:hanging="904"/>
        <w:spacing w:after="0"/>
        <w:tabs>
          <w:tab w:leader="none" w:pos="2600" w:val="left"/>
        </w:tabs>
        <w:numPr>
          <w:ilvl w:val="0"/>
          <w:numId w:val="74"/>
        </w:numPr>
        <w:rPr>
          <w:rFonts w:ascii="Arial" w:cs="Arial" w:eastAsia="Arial" w:hAnsi="Arial"/>
          <w:sz w:val="22"/>
          <w:szCs w:val="22"/>
          <w:b w:val="1"/>
          <w:bCs w:val="1"/>
          <w:color w:val="auto"/>
        </w:rPr>
      </w:pPr>
      <w:r>
        <w:rPr>
          <w:rFonts w:ascii="Arial" w:cs="Arial" w:eastAsia="Arial" w:hAnsi="Arial"/>
          <w:sz w:val="22"/>
          <w:szCs w:val="22"/>
          <w:color w:val="auto"/>
        </w:rPr>
        <w:t>business contact information; and</w:t>
      </w:r>
    </w:p>
    <w:p>
      <w:pPr>
        <w:spacing w:after="0" w:line="152" w:lineRule="exact"/>
        <w:rPr>
          <w:rFonts w:ascii="Arial" w:cs="Arial" w:eastAsia="Arial" w:hAnsi="Arial"/>
          <w:sz w:val="22"/>
          <w:szCs w:val="22"/>
          <w:b w:val="1"/>
          <w:bCs w:val="1"/>
          <w:color w:val="auto"/>
        </w:rPr>
      </w:pPr>
    </w:p>
    <w:p>
      <w:pPr>
        <w:ind w:left="880" w:right="100" w:firstLine="816"/>
        <w:spacing w:after="0" w:line="251" w:lineRule="auto"/>
        <w:tabs>
          <w:tab w:leader="none" w:pos="2716" w:val="left"/>
        </w:tabs>
        <w:numPr>
          <w:ilvl w:val="0"/>
          <w:numId w:val="74"/>
        </w:numPr>
        <w:rPr>
          <w:rFonts w:ascii="Arial" w:cs="Arial" w:eastAsia="Arial" w:hAnsi="Arial"/>
          <w:sz w:val="22"/>
          <w:szCs w:val="22"/>
          <w:b w:val="1"/>
          <w:bCs w:val="1"/>
          <w:color w:val="auto"/>
        </w:rPr>
      </w:pPr>
      <w:r>
        <w:rPr>
          <w:rFonts w:ascii="Arial" w:cs="Arial" w:eastAsia="Arial" w:hAnsi="Arial"/>
          <w:sz w:val="22"/>
          <w:szCs w:val="22"/>
          <w:color w:val="auto"/>
        </w:rPr>
        <w:t>any other information relating to an individual that, alone or in combination, with any of the above, can be used to identify an individual.</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INTELLECTUAL PROPERTY RIGHTS</w:t>
      </w:r>
    </w:p>
    <w:p>
      <w:pPr>
        <w:spacing w:after="0" w:line="128" w:lineRule="exact"/>
        <w:rPr>
          <w:sz w:val="20"/>
          <w:szCs w:val="20"/>
          <w:color w:val="auto"/>
        </w:rPr>
      </w:pPr>
    </w:p>
    <w:p>
      <w:pPr>
        <w:spacing w:after="0"/>
        <w:tabs>
          <w:tab w:leader="none" w:pos="1640" w:val="left"/>
        </w:tabs>
        <w:rPr>
          <w:sz w:val="20"/>
          <w:szCs w:val="20"/>
          <w:color w:val="auto"/>
        </w:rPr>
      </w:pPr>
      <w:r>
        <w:rPr>
          <w:rFonts w:ascii="Arial" w:cs="Arial" w:eastAsia="Arial" w:hAnsi="Arial"/>
          <w:sz w:val="22"/>
          <w:szCs w:val="22"/>
          <w:b w:val="1"/>
          <w:bCs w:val="1"/>
          <w:color w:val="auto"/>
        </w:rPr>
        <w:t>Section 3.1</w:t>
      </w:r>
      <w:r>
        <w:rPr>
          <w:sz w:val="20"/>
          <w:szCs w:val="20"/>
          <w:color w:val="auto"/>
        </w:rPr>
        <w:tab/>
      </w:r>
      <w:r>
        <w:rPr>
          <w:rFonts w:ascii="Arial" w:cs="Arial" w:eastAsia="Arial" w:hAnsi="Arial"/>
          <w:sz w:val="19"/>
          <w:szCs w:val="19"/>
          <w:b w:val="1"/>
          <w:bCs w:val="1"/>
          <w:color w:val="auto"/>
        </w:rPr>
        <w:t>Collaboration Intellectual Property.</w:t>
      </w:r>
    </w:p>
    <w:p>
      <w:pPr>
        <w:spacing w:after="0" w:line="152" w:lineRule="exact"/>
        <w:rPr>
          <w:sz w:val="20"/>
          <w:szCs w:val="20"/>
          <w:color w:val="auto"/>
        </w:rPr>
      </w:pPr>
    </w:p>
    <w:p>
      <w:pPr>
        <w:ind w:firstLine="877"/>
        <w:spacing w:after="0" w:line="273" w:lineRule="auto"/>
        <w:rPr>
          <w:sz w:val="20"/>
          <w:szCs w:val="20"/>
          <w:color w:val="auto"/>
        </w:rPr>
      </w:pPr>
      <w:r>
        <w:rPr>
          <w:rFonts w:ascii="Arial" w:cs="Arial" w:eastAsia="Arial" w:hAnsi="Arial"/>
          <w:sz w:val="19"/>
          <w:szCs w:val="19"/>
          <w:b w:val="1"/>
          <w:bCs w:val="1"/>
          <w:color w:val="auto"/>
        </w:rPr>
        <w:t xml:space="preserve">3.1.1 Generally. </w:t>
      </w:r>
      <w:r>
        <w:rPr>
          <w:rFonts w:ascii="Arial" w:cs="Arial" w:eastAsia="Arial" w:hAnsi="Arial"/>
          <w:sz w:val="19"/>
          <w:szCs w:val="19"/>
          <w:color w:val="auto"/>
        </w:rPr>
        <w:t>Ownership of Collaboration Intellectual Property shall be defined in accordance with the rules of</w:t>
      </w:r>
      <w:r>
        <w:rPr>
          <w:rFonts w:ascii="Arial" w:cs="Arial" w:eastAsia="Arial" w:hAnsi="Arial"/>
          <w:sz w:val="19"/>
          <w:szCs w:val="19"/>
          <w:b w:val="1"/>
          <w:bCs w:val="1"/>
          <w:color w:val="auto"/>
        </w:rPr>
        <w:t xml:space="preserve"> </w:t>
      </w:r>
      <w:r>
        <w:rPr>
          <w:rFonts w:ascii="Arial" w:cs="Arial" w:eastAsia="Arial" w:hAnsi="Arial"/>
          <w:sz w:val="19"/>
          <w:szCs w:val="19"/>
          <w:color w:val="auto"/>
        </w:rPr>
        <w:t>inventorship as practiced in the United States of America. In the case of a non-patentable Collaboration Intellectual Property, ownership will be determined under such principles by treating such Collaboration Intellectual Property as if it were patentable. Collaboration Intellectual Property created, conceived of, and/or reduced to practice solely by Novartis’ or its</w:t>
      </w:r>
    </w:p>
    <w:p>
      <w:pPr>
        <w:spacing w:after="0" w:line="232" w:lineRule="auto"/>
        <w:rPr>
          <w:sz w:val="20"/>
          <w:szCs w:val="20"/>
          <w:color w:val="auto"/>
        </w:rPr>
      </w:pPr>
      <w:r>
        <w:rPr>
          <w:rFonts w:ascii="Arial" w:cs="Arial" w:eastAsia="Arial" w:hAnsi="Arial"/>
          <w:sz w:val="22"/>
          <w:szCs w:val="22"/>
          <w:color w:val="auto"/>
        </w:rPr>
        <w:t>Affiliates’ employees or agents (“</w:t>
      </w:r>
      <w:r>
        <w:rPr>
          <w:rFonts w:ascii="Arial" w:cs="Arial" w:eastAsia="Arial" w:hAnsi="Arial"/>
          <w:sz w:val="22"/>
          <w:szCs w:val="22"/>
          <w:u w:val="single" w:color="auto"/>
          <w:color w:val="auto"/>
        </w:rPr>
        <w:t>Novartis Sole Collaboration Intellectual Property</w:t>
      </w:r>
      <w:r>
        <w:rPr>
          <w:rFonts w:ascii="Arial" w:cs="Arial" w:eastAsia="Arial" w:hAnsi="Arial"/>
          <w:sz w:val="22"/>
          <w:szCs w:val="22"/>
          <w:color w:val="auto"/>
        </w:rPr>
        <w:t>”) will belong to and be assigned to</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Novartis. Collaboration Intellectual Property created, conceived of, and/or reduced to practice solely by Cerulean’s or its</w:t>
      </w:r>
    </w:p>
    <w:p>
      <w:pPr>
        <w:spacing w:after="0" w:line="232" w:lineRule="auto"/>
        <w:rPr>
          <w:sz w:val="20"/>
          <w:szCs w:val="20"/>
          <w:color w:val="auto"/>
        </w:rPr>
      </w:pPr>
      <w:r>
        <w:rPr>
          <w:rFonts w:ascii="Arial" w:cs="Arial" w:eastAsia="Arial" w:hAnsi="Arial"/>
          <w:sz w:val="22"/>
          <w:szCs w:val="22"/>
          <w:color w:val="auto"/>
        </w:rPr>
        <w:t>Affiliates’ employees or agents (“</w:t>
      </w:r>
      <w:r>
        <w:rPr>
          <w:rFonts w:ascii="Arial" w:cs="Arial" w:eastAsia="Arial" w:hAnsi="Arial"/>
          <w:sz w:val="22"/>
          <w:szCs w:val="22"/>
          <w:u w:val="single" w:color="auto"/>
          <w:color w:val="auto"/>
        </w:rPr>
        <w:t>Cerulean Sole Collaboration Intellectual Property</w:t>
      </w:r>
      <w:r>
        <w:rPr>
          <w:rFonts w:ascii="Arial" w:cs="Arial" w:eastAsia="Arial" w:hAnsi="Arial"/>
          <w:sz w:val="22"/>
          <w:szCs w:val="22"/>
          <w:color w:val="auto"/>
        </w:rPr>
        <w:t>”) will belong to and be assigned to</w:t>
      </w:r>
    </w:p>
    <w:p>
      <w:pPr>
        <w:spacing w:after="0"/>
        <w:rPr>
          <w:sz w:val="20"/>
          <w:szCs w:val="20"/>
          <w:color w:val="auto"/>
        </w:rPr>
      </w:pPr>
      <w:r>
        <w:rPr>
          <w:rFonts w:ascii="Arial" w:cs="Arial" w:eastAsia="Arial" w:hAnsi="Arial"/>
          <w:sz w:val="19"/>
          <w:szCs w:val="19"/>
          <w:color w:val="auto"/>
        </w:rPr>
        <w:t>Cerulean. Collaboration Intellectual Property created, conceived of, and/or reduced to practice jointly by Novartis’ and Cerulean’s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(and their respective Affiliates’) employees and agents (“</w:t>
      </w:r>
      <w:r>
        <w:rPr>
          <w:rFonts w:ascii="Arial" w:cs="Arial" w:eastAsia="Arial" w:hAnsi="Arial"/>
          <w:sz w:val="19"/>
          <w:szCs w:val="19"/>
          <w:u w:val="single" w:color="auto"/>
          <w:color w:val="auto"/>
        </w:rPr>
        <w:t>Joint Collaboration Intellectual Property</w:t>
      </w:r>
      <w:r>
        <w:rPr>
          <w:rFonts w:ascii="Arial" w:cs="Arial" w:eastAsia="Arial" w:hAnsi="Arial"/>
          <w:sz w:val="19"/>
          <w:szCs w:val="19"/>
          <w:color w:val="auto"/>
        </w:rPr>
        <w:t>”) will be jointly owned. Subject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to the exclusive rights granted in the Commercial Licenses set forth in this Agreement, and the payment obligations set forth in</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Article V, each Party may Practice and grant licenses to Joint</w:t>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4" w:name="page85"/>
    <w:bookmarkEnd w:id="84"/>
    <w:p>
      <w:pPr>
        <w:ind w:left="9560"/>
        <w:spacing w:after="0"/>
        <w:rPr>
          <w:sz w:val="20"/>
          <w:szCs w:val="20"/>
          <w:color w:val="auto"/>
        </w:rPr>
      </w:pPr>
      <w:r>
        <w:rPr>
          <w:rFonts w:ascii="Arial" w:cs="Arial" w:eastAsia="Arial" w:hAnsi="Arial"/>
          <w:sz w:val="19"/>
          <w:szCs w:val="19"/>
          <w:color w:val="auto"/>
        </w:rPr>
        <w:t>EXECUTION COPY</w:t>
      </w:r>
    </w:p>
    <w:p>
      <w:pPr>
        <w:spacing w:after="0" w:line="268" w:lineRule="exact"/>
        <w:rPr>
          <w:sz w:val="20"/>
          <w:szCs w:val="20"/>
          <w:color w:val="auto"/>
        </w:rPr>
      </w:pPr>
    </w:p>
    <w:p>
      <w:pPr>
        <w:ind w:right="120"/>
        <w:spacing w:after="0" w:line="328" w:lineRule="auto"/>
        <w:rPr>
          <w:sz w:val="20"/>
          <w:szCs w:val="20"/>
          <w:color w:val="auto"/>
        </w:rPr>
      </w:pPr>
      <w:r>
        <w:rPr>
          <w:rFonts w:ascii="Arial" w:cs="Arial" w:eastAsia="Arial" w:hAnsi="Arial"/>
          <w:sz w:val="19"/>
          <w:szCs w:val="19"/>
          <w:color w:val="auto"/>
        </w:rPr>
        <w:t>Collaboration Intellectual Property without the consent of or any accounting to the other Party. Each Party shall promptly disclose to the other Party in writing all Collaboration Intellectual Property (whether patentable or not) of which it becomes aware.</w:t>
      </w:r>
    </w:p>
    <w:p>
      <w:pPr>
        <w:spacing w:after="0" w:line="45"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2"/>
          <w:szCs w:val="22"/>
          <w:b w:val="1"/>
          <w:bCs w:val="1"/>
          <w:color w:val="auto"/>
        </w:rPr>
        <w:t>3.1.2</w:t>
      </w:r>
      <w:r>
        <w:rPr>
          <w:sz w:val="20"/>
          <w:szCs w:val="20"/>
          <w:color w:val="auto"/>
        </w:rPr>
        <w:tab/>
      </w:r>
      <w:r>
        <w:rPr>
          <w:rFonts w:ascii="Arial" w:cs="Arial" w:eastAsia="Arial" w:hAnsi="Arial"/>
          <w:sz w:val="19"/>
          <w:szCs w:val="19"/>
          <w:b w:val="1"/>
          <w:bCs w:val="1"/>
          <w:color w:val="auto"/>
        </w:rPr>
        <w:t>Limited Research Purpose Licenses.</w:t>
      </w:r>
    </w:p>
    <w:p>
      <w:pPr>
        <w:spacing w:after="0" w:line="158" w:lineRule="exact"/>
        <w:rPr>
          <w:sz w:val="20"/>
          <w:szCs w:val="20"/>
          <w:color w:val="auto"/>
        </w:rPr>
      </w:pPr>
    </w:p>
    <w:p>
      <w:pPr>
        <w:ind w:left="880" w:firstLine="816"/>
        <w:spacing w:after="0" w:line="245" w:lineRule="auto"/>
        <w:tabs>
          <w:tab w:leader="none" w:pos="2644" w:val="left"/>
        </w:tabs>
        <w:numPr>
          <w:ilvl w:val="0"/>
          <w:numId w:val="75"/>
        </w:numPr>
        <w:rPr>
          <w:rFonts w:ascii="Arial" w:cs="Arial" w:eastAsia="Arial" w:hAnsi="Arial"/>
          <w:sz w:val="21"/>
          <w:szCs w:val="21"/>
          <w:b w:val="1"/>
          <w:bCs w:val="1"/>
          <w:color w:val="auto"/>
        </w:rPr>
      </w:pPr>
      <w:r>
        <w:rPr>
          <w:rFonts w:ascii="Arial" w:cs="Arial" w:eastAsia="Arial" w:hAnsi="Arial"/>
          <w:sz w:val="21"/>
          <w:szCs w:val="21"/>
          <w:color w:val="auto"/>
        </w:rPr>
        <w:t>On a Program by Program basis, Cerulean hereby grants to Novartis and its Affiliates a worldwide, non-exclusive, royalty-free Research Purpose license to Practice Cerulean Background Intellectual Property and Cerulean Sole Collaboration Intellectual Property solely to the extent necessary to conduct Novartis’ activities with respect to the relevant Program pursuant to the Research Plans and to research and Develop (but not to conduct human clinical trials or Commercialize) any NDC Products arising from the Program. Novartis and its Affiliates will have the right to grant sublicenses to the license described in this Section 3.1.2(a) to collaborators and service providers so long as such sublicenses include the same limitations as are imposed on Novartis in this Section 3.1.2(a) and are solely for the benefit of Novartis or its Affiliates. The license described in this Section 3.1.2(a) shall terminate at the end of the Contingent Development Term.</w:t>
      </w:r>
    </w:p>
    <w:p>
      <w:pPr>
        <w:spacing w:after="0" w:line="131" w:lineRule="exact"/>
        <w:rPr>
          <w:rFonts w:ascii="Arial" w:cs="Arial" w:eastAsia="Arial" w:hAnsi="Arial"/>
          <w:sz w:val="21"/>
          <w:szCs w:val="21"/>
          <w:b w:val="1"/>
          <w:bCs w:val="1"/>
          <w:color w:val="auto"/>
        </w:rPr>
      </w:pPr>
    </w:p>
    <w:p>
      <w:pPr>
        <w:ind w:left="880" w:right="220" w:firstLine="816"/>
        <w:spacing w:after="0" w:line="246" w:lineRule="auto"/>
        <w:tabs>
          <w:tab w:leader="none" w:pos="2602" w:val="left"/>
        </w:tabs>
        <w:numPr>
          <w:ilvl w:val="0"/>
          <w:numId w:val="75"/>
        </w:numPr>
        <w:rPr>
          <w:rFonts w:ascii="Arial" w:cs="Arial" w:eastAsia="Arial" w:hAnsi="Arial"/>
          <w:sz w:val="21"/>
          <w:szCs w:val="21"/>
          <w:b w:val="1"/>
          <w:bCs w:val="1"/>
          <w:color w:val="auto"/>
        </w:rPr>
      </w:pPr>
      <w:r>
        <w:rPr>
          <w:rFonts w:ascii="Arial" w:cs="Arial" w:eastAsia="Arial" w:hAnsi="Arial"/>
          <w:sz w:val="21"/>
          <w:szCs w:val="21"/>
          <w:color w:val="auto"/>
        </w:rPr>
        <w:t>On a Program by Program basis Novartis hereby grants to Cerulean a worldwide, non-exclusive, royalty-free Research Purpose license to Practice Intellectual Property Controlled by Novartis relating to any Novartis API that is contributed by Novartis to the Collaboration, solely to the extent necessary to conduct Cerulean’s activities with respect to the relevant Program pursuant to the Research Plans and in all cases limited to Practice during the Research Term. To the extent Novartis authorizes Cerulean to subcontract any of its obligations under this Agreement, Cerulean will have the right to grant sublicenses to the license described in this Section 3.1.2(b) to such subcontractors, so long as such sublicenses include the same limitations as are imposed on Cerulean in this Section 3.1.2(b) and are solely for the benefit of Cerulean.</w:t>
      </w:r>
    </w:p>
    <w:p>
      <w:pPr>
        <w:spacing w:after="0" w:line="121" w:lineRule="exact"/>
        <w:rPr>
          <w:sz w:val="20"/>
          <w:szCs w:val="20"/>
          <w:color w:val="auto"/>
        </w:rPr>
      </w:pPr>
    </w:p>
    <w:p>
      <w:pPr>
        <w:spacing w:after="0"/>
        <w:tabs>
          <w:tab w:leader="none" w:pos="1640" w:val="left"/>
        </w:tabs>
        <w:rPr>
          <w:sz w:val="20"/>
          <w:szCs w:val="20"/>
          <w:color w:val="auto"/>
        </w:rPr>
      </w:pPr>
      <w:r>
        <w:rPr>
          <w:rFonts w:ascii="Arial" w:cs="Arial" w:eastAsia="Arial" w:hAnsi="Arial"/>
          <w:sz w:val="22"/>
          <w:szCs w:val="22"/>
          <w:b w:val="1"/>
          <w:bCs w:val="1"/>
          <w:color w:val="auto"/>
        </w:rPr>
        <w:t>Section 3.2</w:t>
      </w:r>
      <w:r>
        <w:rPr>
          <w:sz w:val="20"/>
          <w:szCs w:val="20"/>
          <w:color w:val="auto"/>
        </w:rPr>
        <w:tab/>
      </w:r>
      <w:r>
        <w:rPr>
          <w:rFonts w:ascii="Arial" w:cs="Arial" w:eastAsia="Arial" w:hAnsi="Arial"/>
          <w:sz w:val="19"/>
          <w:szCs w:val="19"/>
          <w:b w:val="1"/>
          <w:bCs w:val="1"/>
          <w:color w:val="auto"/>
        </w:rPr>
        <w:t>Commercial License.</w:t>
      </w:r>
    </w:p>
    <w:p>
      <w:pPr>
        <w:spacing w:after="0" w:line="152" w:lineRule="exact"/>
        <w:rPr>
          <w:sz w:val="20"/>
          <w:szCs w:val="20"/>
          <w:color w:val="auto"/>
        </w:rPr>
      </w:pPr>
    </w:p>
    <w:p>
      <w:pPr>
        <w:ind w:right="60" w:firstLine="877"/>
        <w:spacing w:after="0" w:line="273" w:lineRule="auto"/>
        <w:rPr>
          <w:sz w:val="20"/>
          <w:szCs w:val="20"/>
          <w:color w:val="auto"/>
        </w:rPr>
      </w:pPr>
      <w:r>
        <w:rPr>
          <w:rFonts w:ascii="Arial" w:cs="Arial" w:eastAsia="Arial" w:hAnsi="Arial"/>
          <w:sz w:val="19"/>
          <w:szCs w:val="19"/>
          <w:b w:val="1"/>
          <w:bCs w:val="1"/>
          <w:color w:val="auto"/>
        </w:rPr>
        <w:t xml:space="preserve">3.2.1 Commercial Rights Grant. </w:t>
      </w:r>
      <w:r>
        <w:rPr>
          <w:rFonts w:ascii="Arial" w:cs="Arial" w:eastAsia="Arial" w:hAnsi="Arial"/>
          <w:sz w:val="19"/>
          <w:szCs w:val="19"/>
          <w:color w:val="auto"/>
        </w:rPr>
        <w:t>On a Program-by-Program basis, Cerulean hereby grants to Novartis and its</w:t>
      </w:r>
      <w:r>
        <w:rPr>
          <w:rFonts w:ascii="Arial" w:cs="Arial" w:eastAsia="Arial" w:hAnsi="Arial"/>
          <w:sz w:val="19"/>
          <w:szCs w:val="19"/>
          <w:b w:val="1"/>
          <w:bCs w:val="1"/>
          <w:color w:val="auto"/>
        </w:rPr>
        <w:t xml:space="preserve"> </w:t>
      </w:r>
      <w:r>
        <w:rPr>
          <w:rFonts w:ascii="Arial" w:cs="Arial" w:eastAsia="Arial" w:hAnsi="Arial"/>
          <w:sz w:val="19"/>
          <w:szCs w:val="19"/>
          <w:color w:val="auto"/>
        </w:rPr>
        <w:t>Affiliates a worldwide, perpetual, license (including the right to grant sublicenses as described below) to Practice the Cerulean Background Intellectual Property, Cerulean Sole Collaboration Intellectual Property, and Cerulean’s interest in any Joint Collaboration Intellectual Property as each relates to the applicable Designated Target (collectively, the “</w:t>
      </w:r>
      <w:r>
        <w:rPr>
          <w:rFonts w:ascii="Arial" w:cs="Arial" w:eastAsia="Arial" w:hAnsi="Arial"/>
          <w:sz w:val="19"/>
          <w:szCs w:val="19"/>
          <w:u w:val="single" w:color="auto"/>
          <w:color w:val="auto"/>
        </w:rPr>
        <w:t>Exclusively Licensed</w:t>
      </w:r>
      <w:r>
        <w:rPr>
          <w:rFonts w:ascii="Arial" w:cs="Arial" w:eastAsia="Arial" w:hAnsi="Arial"/>
          <w:sz w:val="19"/>
          <w:szCs w:val="19"/>
          <w:color w:val="auto"/>
        </w:rPr>
        <w:t xml:space="preserve"> </w:t>
      </w:r>
      <w:r>
        <w:rPr>
          <w:rFonts w:ascii="Arial" w:cs="Arial" w:eastAsia="Arial" w:hAnsi="Arial"/>
          <w:sz w:val="19"/>
          <w:szCs w:val="19"/>
          <w:u w:val="single" w:color="auto"/>
          <w:color w:val="auto"/>
        </w:rPr>
        <w:t>Intellectual Property</w:t>
      </w:r>
      <w:r>
        <w:rPr>
          <w:rFonts w:ascii="Arial" w:cs="Arial" w:eastAsia="Arial" w:hAnsi="Arial"/>
          <w:sz w:val="19"/>
          <w:szCs w:val="19"/>
          <w:color w:val="auto"/>
        </w:rPr>
        <w:t>”) to research, Develop (including the conduct of clinical trials), and Commercialize NDC Products and Licensed Products directed to the Designated Target of the relevant Program, and to grant licenses and/or sublicenses to such rights to Third Parties without the consent of or any separate accounting to Cerulean (for each Program, a “</w:t>
      </w:r>
      <w:r>
        <w:rPr>
          <w:rFonts w:ascii="Arial" w:cs="Arial" w:eastAsia="Arial" w:hAnsi="Arial"/>
          <w:sz w:val="19"/>
          <w:szCs w:val="19"/>
          <w:u w:val="single" w:color="auto"/>
          <w:color w:val="auto"/>
        </w:rPr>
        <w:t>Commercial License</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 however</w:t>
      </w:r>
      <w:r>
        <w:rPr>
          <w:rFonts w:ascii="Arial" w:cs="Arial" w:eastAsia="Arial" w:hAnsi="Arial"/>
          <w:sz w:val="19"/>
          <w:szCs w:val="19"/>
          <w:color w:val="auto"/>
        </w:rPr>
        <w:t>, Novartis and its Affiliates may Practice and grant licenses and/or sublicenses under the Commercial Licenses</w:t>
      </w:r>
      <w:r>
        <w:rPr>
          <w:rFonts w:ascii="Arial" w:cs="Arial" w:eastAsia="Arial" w:hAnsi="Arial"/>
          <w:sz w:val="19"/>
          <w:szCs w:val="19"/>
          <w:i w:val="1"/>
          <w:iCs w:val="1"/>
          <w:color w:val="auto"/>
        </w:rPr>
        <w:t xml:space="preserve"> only </w:t>
      </w:r>
      <w:r>
        <w:rPr>
          <w:rFonts w:ascii="Arial" w:cs="Arial" w:eastAsia="Arial" w:hAnsi="Arial"/>
          <w:sz w:val="19"/>
          <w:szCs w:val="19"/>
          <w:color w:val="auto"/>
        </w:rPr>
        <w:t>if Novartis has delivered (or is deemed pursuant to Section 3.2.2 to have delivered) a Commercial License Practice Notice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during the Contingent Development Term for the relevant Program and Cerulean has received the Commercial Rights Fee set forth in Section 5.3. Novartis may grant sublicenses under the Commercial License without the consent of Cerulean; </w:t>
      </w:r>
      <w:r>
        <w:rPr>
          <w:rFonts w:ascii="Arial" w:cs="Arial" w:eastAsia="Arial" w:hAnsi="Arial"/>
          <w:sz w:val="19"/>
          <w:szCs w:val="19"/>
          <w:i w:val="1"/>
          <w:iCs w:val="1"/>
          <w:color w:val="auto"/>
        </w:rPr>
        <w:t>provided, however</w:t>
      </w:r>
      <w:r>
        <w:rPr>
          <w:rFonts w:ascii="Arial" w:cs="Arial" w:eastAsia="Arial" w:hAnsi="Arial"/>
          <w:sz w:val="19"/>
          <w:szCs w:val="19"/>
          <w:color w:val="auto"/>
        </w:rPr>
        <w:t>, that, on a Program-by-Program basis, Novartis will give written notice to Cerulean in advance of any</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5" w:name="page86"/>
    <w:bookmarkEnd w:id="85"/>
    <w:p>
      <w:pPr>
        <w:ind w:left="9560"/>
        <w:spacing w:after="0"/>
        <w:rPr>
          <w:sz w:val="20"/>
          <w:szCs w:val="20"/>
          <w:color w:val="auto"/>
        </w:rPr>
      </w:pPr>
      <w:r>
        <w:rPr>
          <w:rFonts w:ascii="Arial" w:cs="Arial" w:eastAsia="Arial" w:hAnsi="Arial"/>
          <w:sz w:val="19"/>
          <w:szCs w:val="19"/>
          <w:color w:val="auto"/>
        </w:rPr>
        <w:t>EXECUTION COPY</w:t>
      </w: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color w:val="auto"/>
        </w:rPr>
        <w:t>exclusive sublicense to a Third Party of all or substantially all of the relevant Commercial License rights to such Program in the</w:t>
      </w:r>
    </w:p>
    <w:p>
      <w:pPr>
        <w:spacing w:after="0" w:line="43" w:lineRule="exact"/>
        <w:rPr>
          <w:sz w:val="20"/>
          <w:szCs w:val="20"/>
          <w:color w:val="auto"/>
        </w:rPr>
      </w:pPr>
    </w:p>
    <w:p>
      <w:pPr>
        <w:ind w:right="20" w:firstLine="8"/>
        <w:spacing w:after="0" w:line="271" w:lineRule="auto"/>
        <w:tabs>
          <w:tab w:leader="none" w:pos="522" w:val="left"/>
        </w:tabs>
        <w:numPr>
          <w:ilvl w:val="0"/>
          <w:numId w:val="76"/>
        </w:numPr>
        <w:rPr>
          <w:rFonts w:ascii="Arial" w:cs="Arial" w:eastAsia="Arial" w:hAnsi="Arial"/>
          <w:sz w:val="19"/>
          <w:szCs w:val="19"/>
          <w:color w:val="auto"/>
        </w:rPr>
      </w:pPr>
      <w:r>
        <w:rPr>
          <w:rFonts w:ascii="Arial" w:cs="Arial" w:eastAsia="Arial" w:hAnsi="Arial"/>
          <w:sz w:val="19"/>
          <w:szCs w:val="19"/>
          <w:color w:val="auto"/>
        </w:rPr>
        <w:t>Novartis will ensure that any permitted sublicense is consistent with the terms of this Agreement and that Novartis remains responsible for any of sublicensee’s performance hereunder. Subject to all the limitations set forth in this Section 3.2, each Commercial License will be exclusive (including as to Cerulean) with respect to any Cerulean Background Intellectual Property and/or Collaboration Intellectual Property created, conceived of, and/or reduced to practice in such Program solely with respect to the relevant Designated Target, to research, Develop and Commercialize NDC Products and License Products directed to such Designated Target. In all cases, and subject to all the limitations set forth in this Section 3.2, each Commercial License will include the right for Novartis, its Affiliates, and its and their licensees to research, Develop, and Commercialize NDC Products and Licensed Products directed to such Designated Target of the relevant Program. For the avoidance of doubt, the Parties intend that the Commercial Licenses for each of the five Programs be deemed to have been granted as of the Effective Date (and/or as of such date that the relevant Designated Target is added to the Collaboration in accordance with Section 2.4.2) and such grant will constitute “intellectual property” under Section 365(n) of the U.S. Bankruptcy Code.</w:t>
      </w:r>
    </w:p>
    <w:p>
      <w:pPr>
        <w:spacing w:after="0" w:line="98" w:lineRule="exact"/>
        <w:rPr>
          <w:sz w:val="20"/>
          <w:szCs w:val="20"/>
          <w:color w:val="auto"/>
        </w:rPr>
      </w:pPr>
    </w:p>
    <w:p>
      <w:pPr>
        <w:ind w:right="40" w:firstLine="877"/>
        <w:spacing w:after="0" w:line="246" w:lineRule="auto"/>
        <w:rPr>
          <w:sz w:val="20"/>
          <w:szCs w:val="20"/>
          <w:color w:val="auto"/>
        </w:rPr>
      </w:pPr>
      <w:r>
        <w:rPr>
          <w:rFonts w:ascii="Arial" w:cs="Arial" w:eastAsia="Arial" w:hAnsi="Arial"/>
          <w:sz w:val="21"/>
          <w:szCs w:val="21"/>
          <w:b w:val="1"/>
          <w:bCs w:val="1"/>
          <w:color w:val="auto"/>
        </w:rPr>
        <w:t xml:space="preserve">3.2.2 Practice of Commercial Licenses. </w:t>
      </w:r>
      <w:r>
        <w:rPr>
          <w:rFonts w:ascii="Arial" w:cs="Arial" w:eastAsia="Arial" w:hAnsi="Arial"/>
          <w:sz w:val="21"/>
          <w:szCs w:val="21"/>
          <w:color w:val="auto"/>
        </w:rPr>
        <w:t>On a Program-by-Program basis, if Novartis intends (in its sole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discretion) to Practice a Commercial License, it will </w:t>
      </w:r>
      <w:r>
        <w:rPr>
          <w:rFonts w:ascii="Arial" w:cs="Arial" w:eastAsia="Arial" w:hAnsi="Arial"/>
          <w:sz w:val="21"/>
          <w:szCs w:val="21"/>
          <w:b w:val="1"/>
          <w:bCs w:val="1"/>
          <w:color w:val="auto"/>
        </w:rPr>
        <w:t>(a)</w:t>
      </w:r>
      <w:r>
        <w:rPr>
          <w:rFonts w:ascii="Arial" w:cs="Arial" w:eastAsia="Arial" w:hAnsi="Arial"/>
          <w:sz w:val="21"/>
          <w:szCs w:val="21"/>
          <w:color w:val="auto"/>
        </w:rPr>
        <w:t xml:space="preserve"> issue a written notice of such intention to Cerulean (a “</w:t>
      </w:r>
      <w:r>
        <w:rPr>
          <w:rFonts w:ascii="Arial" w:cs="Arial" w:eastAsia="Arial" w:hAnsi="Arial"/>
          <w:sz w:val="21"/>
          <w:szCs w:val="21"/>
          <w:u w:val="single" w:color="auto"/>
          <w:color w:val="auto"/>
        </w:rPr>
        <w:t>Commercial</w:t>
      </w:r>
      <w:r>
        <w:rPr>
          <w:rFonts w:ascii="Arial" w:cs="Arial" w:eastAsia="Arial" w:hAnsi="Arial"/>
          <w:sz w:val="21"/>
          <w:szCs w:val="21"/>
          <w:color w:val="auto"/>
        </w:rPr>
        <w:t xml:space="preserve"> </w:t>
      </w:r>
      <w:r>
        <w:rPr>
          <w:rFonts w:ascii="Arial" w:cs="Arial" w:eastAsia="Arial" w:hAnsi="Arial"/>
          <w:sz w:val="21"/>
          <w:szCs w:val="21"/>
          <w:u w:val="single" w:color="auto"/>
          <w:color w:val="auto"/>
        </w:rPr>
        <w:t>License Practice Notice”)</w:t>
      </w:r>
      <w:r>
        <w:rPr>
          <w:rFonts w:ascii="Arial" w:cs="Arial" w:eastAsia="Arial" w:hAnsi="Arial"/>
          <w:sz w:val="21"/>
          <w:szCs w:val="21"/>
          <w:color w:val="auto"/>
        </w:rPr>
        <w:t xml:space="preserve">, and </w:t>
      </w:r>
      <w:r>
        <w:rPr>
          <w:rFonts w:ascii="Arial" w:cs="Arial" w:eastAsia="Arial" w:hAnsi="Arial"/>
          <w:sz w:val="21"/>
          <w:szCs w:val="21"/>
          <w:b w:val="1"/>
          <w:bCs w:val="1"/>
          <w:color w:val="auto"/>
        </w:rPr>
        <w:t>(b)</w:t>
      </w:r>
      <w:r>
        <w:rPr>
          <w:rFonts w:ascii="Arial" w:cs="Arial" w:eastAsia="Arial" w:hAnsi="Arial"/>
          <w:sz w:val="21"/>
          <w:szCs w:val="21"/>
          <w:color w:val="auto"/>
        </w:rPr>
        <w:t xml:space="preserve"> make the payment provided in Section 5.3. If Novartis intends to Practice a Commercial License with respect to a Designated Target, the Commercial License Practice Notice must be delivered during the Contingent Development Term for the relevant Designated Target’s Program, </w:t>
      </w:r>
      <w:r>
        <w:rPr>
          <w:rFonts w:ascii="Arial" w:cs="Arial" w:eastAsia="Arial" w:hAnsi="Arial"/>
          <w:sz w:val="21"/>
          <w:szCs w:val="21"/>
          <w:i w:val="1"/>
          <w:iCs w:val="1"/>
          <w:color w:val="auto"/>
        </w:rPr>
        <w:t>provided however</w:t>
      </w:r>
      <w:r>
        <w:rPr>
          <w:rFonts w:ascii="Arial" w:cs="Arial" w:eastAsia="Arial" w:hAnsi="Arial"/>
          <w:sz w:val="21"/>
          <w:szCs w:val="21"/>
          <w:color w:val="auto"/>
        </w:rPr>
        <w:t>, notwithstanding the foregoing, if a Phase 1 Trial of an NDC Product for a Program is commenced during the Contingent Development Term for such Program and a Commercial License Practice Notice has not been previously delivered, the Commercial License Practice Notice will be deemed to have been delivered to Cerulean as of commencement of such Phase 1 Trial (regardless of any lack of notice delivery) and Novartis shall pay the Commercial Rights Fee set forth in Section 5.3.</w:t>
      </w:r>
    </w:p>
    <w:p>
      <w:pPr>
        <w:spacing w:after="0" w:line="122" w:lineRule="exact"/>
        <w:rPr>
          <w:sz w:val="20"/>
          <w:szCs w:val="20"/>
          <w:color w:val="auto"/>
        </w:rPr>
      </w:pPr>
    </w:p>
    <w:p>
      <w:pPr>
        <w:ind w:right="20" w:firstLine="877"/>
        <w:spacing w:after="0" w:line="245" w:lineRule="auto"/>
        <w:rPr>
          <w:sz w:val="20"/>
          <w:szCs w:val="20"/>
          <w:color w:val="auto"/>
        </w:rPr>
      </w:pPr>
      <w:r>
        <w:rPr>
          <w:rFonts w:ascii="Arial" w:cs="Arial" w:eastAsia="Arial" w:hAnsi="Arial"/>
          <w:sz w:val="21"/>
          <w:szCs w:val="21"/>
          <w:b w:val="1"/>
          <w:bCs w:val="1"/>
          <w:color w:val="auto"/>
        </w:rPr>
        <w:t xml:space="preserve">3.2.3. Termination of Commercial License; Exclusivity. </w:t>
      </w:r>
      <w:r>
        <w:rPr>
          <w:rFonts w:ascii="Arial" w:cs="Arial" w:eastAsia="Arial" w:hAnsi="Arial"/>
          <w:sz w:val="21"/>
          <w:szCs w:val="21"/>
          <w:color w:val="auto"/>
        </w:rPr>
        <w:t>On a Program-by-Program basis, if Novartis has not</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delivered (or been deemed to have delivered) the Commercial License Practice Notice as described in Section 3.2.2 for a Program during the Contingent Development Term for such Program, then </w:t>
      </w:r>
      <w:r>
        <w:rPr>
          <w:rFonts w:ascii="Arial" w:cs="Arial" w:eastAsia="Arial" w:hAnsi="Arial"/>
          <w:sz w:val="21"/>
          <w:szCs w:val="21"/>
          <w:b w:val="1"/>
          <w:bCs w:val="1"/>
          <w:color w:val="auto"/>
        </w:rPr>
        <w:t>(a)</w:t>
      </w:r>
      <w:r>
        <w:rPr>
          <w:rFonts w:ascii="Arial" w:cs="Arial" w:eastAsia="Arial" w:hAnsi="Arial"/>
          <w:sz w:val="21"/>
          <w:szCs w:val="21"/>
          <w:color w:val="auto"/>
        </w:rPr>
        <w:t xml:space="preserve"> the Commercial License will terminate with respect to such Program, </w:t>
      </w:r>
      <w:r>
        <w:rPr>
          <w:rFonts w:ascii="Arial" w:cs="Arial" w:eastAsia="Arial" w:hAnsi="Arial"/>
          <w:sz w:val="21"/>
          <w:szCs w:val="21"/>
          <w:b w:val="1"/>
          <w:bCs w:val="1"/>
          <w:color w:val="auto"/>
        </w:rPr>
        <w:t>(b)</w:t>
      </w:r>
      <w:r>
        <w:rPr>
          <w:rFonts w:ascii="Arial" w:cs="Arial" w:eastAsia="Arial" w:hAnsi="Arial"/>
          <w:sz w:val="21"/>
          <w:szCs w:val="21"/>
          <w:color w:val="auto"/>
        </w:rPr>
        <w:t xml:space="preserve"> Novartis’ and its Affiliates’ and licensees’ rights under Section 3.2.1 and Section 3.2.2 will terminate with respect to such Program, and </w:t>
      </w:r>
      <w:r>
        <w:rPr>
          <w:rFonts w:ascii="Arial" w:cs="Arial" w:eastAsia="Arial" w:hAnsi="Arial"/>
          <w:sz w:val="21"/>
          <w:szCs w:val="21"/>
          <w:b w:val="1"/>
          <w:bCs w:val="1"/>
          <w:color w:val="auto"/>
        </w:rPr>
        <w:t>(c)</w:t>
      </w:r>
      <w:r>
        <w:rPr>
          <w:rFonts w:ascii="Arial" w:cs="Arial" w:eastAsia="Arial" w:hAnsi="Arial"/>
          <w:sz w:val="21"/>
          <w:szCs w:val="21"/>
          <w:color w:val="auto"/>
        </w:rPr>
        <w:t xml:space="preserve"> Cerulean’s exclusivity obligations under Section 3.4 with respect to the Designated Target of such Program will terminate. For the avoidance of doubt, the Commercial License and Cerulean’s exclusivity obligations under Section 3.4 may not, once terminated, be revived. For the avoidance of doubt, nothing in this Section 3.2 is intended </w:t>
      </w:r>
      <w:r>
        <w:rPr>
          <w:rFonts w:ascii="Arial" w:cs="Arial" w:eastAsia="Arial" w:hAnsi="Arial"/>
          <w:sz w:val="21"/>
          <w:szCs w:val="21"/>
          <w:b w:val="1"/>
          <w:bCs w:val="1"/>
          <w:color w:val="auto"/>
        </w:rPr>
        <w:t>(a)</w:t>
      </w:r>
      <w:r>
        <w:rPr>
          <w:rFonts w:ascii="Arial" w:cs="Arial" w:eastAsia="Arial" w:hAnsi="Arial"/>
          <w:sz w:val="21"/>
          <w:szCs w:val="21"/>
          <w:color w:val="auto"/>
        </w:rPr>
        <w:t xml:space="preserve"> to limit Novartis’ right to non-exclusively Practice and grant licenses to Novartis’ interest in Joint Inventions or exclusively (subject to Cerulean’s rights under Section 10.4.3(b)) Practice or grant licenses to Novartis Sole Collaboration Intellectual Property; or </w:t>
      </w:r>
      <w:r>
        <w:rPr>
          <w:rFonts w:ascii="Arial" w:cs="Arial" w:eastAsia="Arial" w:hAnsi="Arial"/>
          <w:sz w:val="21"/>
          <w:szCs w:val="21"/>
          <w:b w:val="1"/>
          <w:bCs w:val="1"/>
          <w:color w:val="auto"/>
        </w:rPr>
        <w:t>(b)</w:t>
      </w:r>
      <w:r>
        <w:rPr>
          <w:rFonts w:ascii="Arial" w:cs="Arial" w:eastAsia="Arial" w:hAnsi="Arial"/>
          <w:sz w:val="21"/>
          <w:szCs w:val="21"/>
          <w:color w:val="auto"/>
        </w:rPr>
        <w:t xml:space="preserve"> to limit Cerulean’s right to non-exclusively Practice or grant licenses to Cerulean’s interest in Joint Inventions outside the scope of the relevant Designated Target or exclusively Practice or grant licenses to Cerulean Sole Collaboration Intellectual Property outside the scope of the</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6" w:name="page87"/>
    <w:bookmarkEnd w:id="86"/>
    <w:p>
      <w:pPr>
        <w:ind w:left="9560"/>
        <w:spacing w:after="0"/>
        <w:rPr>
          <w:sz w:val="20"/>
          <w:szCs w:val="20"/>
          <w:color w:val="auto"/>
        </w:rPr>
      </w:pPr>
      <w:r>
        <w:rPr>
          <w:rFonts w:ascii="Arial" w:cs="Arial" w:eastAsia="Arial" w:hAnsi="Arial"/>
          <w:sz w:val="19"/>
          <w:szCs w:val="19"/>
          <w:color w:val="auto"/>
        </w:rPr>
        <w:t>EXECUTION COPY</w:t>
      </w: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color w:val="auto"/>
        </w:rPr>
        <w:t>relevant Designated Target or Cerulean Background Intellectual Property outside the scope of the relevant Designated Target.</w:t>
      </w:r>
    </w:p>
    <w:p>
      <w:pPr>
        <w:spacing w:after="0" w:line="181" w:lineRule="exact"/>
        <w:rPr>
          <w:sz w:val="20"/>
          <w:szCs w:val="20"/>
          <w:color w:val="auto"/>
        </w:rPr>
      </w:pPr>
    </w:p>
    <w:p>
      <w:pPr>
        <w:spacing w:after="0"/>
        <w:tabs>
          <w:tab w:leader="none" w:pos="1640" w:val="left"/>
        </w:tabs>
        <w:rPr>
          <w:sz w:val="20"/>
          <w:szCs w:val="20"/>
          <w:color w:val="auto"/>
        </w:rPr>
      </w:pPr>
      <w:r>
        <w:rPr>
          <w:rFonts w:ascii="Arial" w:cs="Arial" w:eastAsia="Arial" w:hAnsi="Arial"/>
          <w:sz w:val="22"/>
          <w:szCs w:val="22"/>
          <w:b w:val="1"/>
          <w:bCs w:val="1"/>
          <w:color w:val="auto"/>
        </w:rPr>
        <w:t>Section 3.3</w:t>
      </w:r>
      <w:r>
        <w:rPr>
          <w:sz w:val="20"/>
          <w:szCs w:val="20"/>
          <w:color w:val="auto"/>
        </w:rPr>
        <w:tab/>
      </w:r>
      <w:r>
        <w:rPr>
          <w:rFonts w:ascii="Arial" w:cs="Arial" w:eastAsia="Arial" w:hAnsi="Arial"/>
          <w:sz w:val="19"/>
          <w:szCs w:val="19"/>
          <w:b w:val="1"/>
          <w:bCs w:val="1"/>
          <w:color w:val="auto"/>
        </w:rPr>
        <w:t>Patent Prosecution and Maintenance; Enforcement.</w:t>
      </w:r>
    </w:p>
    <w:p>
      <w:pPr>
        <w:spacing w:after="0" w:line="152"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2"/>
          <w:szCs w:val="22"/>
          <w:b w:val="1"/>
          <w:bCs w:val="1"/>
          <w:color w:val="auto"/>
        </w:rPr>
        <w:t>3.3.1</w:t>
      </w:r>
      <w:r>
        <w:rPr>
          <w:sz w:val="20"/>
          <w:szCs w:val="20"/>
          <w:color w:val="auto"/>
        </w:rPr>
        <w:tab/>
      </w:r>
      <w:r>
        <w:rPr>
          <w:rFonts w:ascii="Arial" w:cs="Arial" w:eastAsia="Arial" w:hAnsi="Arial"/>
          <w:sz w:val="19"/>
          <w:szCs w:val="19"/>
          <w:b w:val="1"/>
          <w:bCs w:val="1"/>
          <w:color w:val="auto"/>
        </w:rPr>
        <w:t>Patent Prosecution and Maintenance.</w:t>
      </w:r>
    </w:p>
    <w:p>
      <w:pPr>
        <w:spacing w:after="0" w:line="158" w:lineRule="exact"/>
        <w:rPr>
          <w:sz w:val="20"/>
          <w:szCs w:val="20"/>
          <w:color w:val="auto"/>
        </w:rPr>
      </w:pPr>
    </w:p>
    <w:p>
      <w:pPr>
        <w:ind w:left="880" w:right="480" w:firstLine="816"/>
        <w:spacing w:after="0"/>
        <w:tabs>
          <w:tab w:leader="none" w:pos="2590" w:val="left"/>
        </w:tabs>
        <w:numPr>
          <w:ilvl w:val="0"/>
          <w:numId w:val="77"/>
        </w:numPr>
        <w:rPr>
          <w:rFonts w:ascii="Arial" w:cs="Arial" w:eastAsia="Arial" w:hAnsi="Arial"/>
          <w:sz w:val="22"/>
          <w:szCs w:val="22"/>
          <w:b w:val="1"/>
          <w:bCs w:val="1"/>
          <w:color w:val="auto"/>
        </w:rPr>
      </w:pPr>
      <w:r>
        <w:rPr>
          <w:rFonts w:ascii="Arial" w:cs="Arial" w:eastAsia="Arial" w:hAnsi="Arial"/>
          <w:sz w:val="22"/>
          <w:szCs w:val="22"/>
          <w:color w:val="auto"/>
        </w:rPr>
        <w:t>Subject to Section 3.3.1(e), Novartis will have sole responsibility for (and will bear the cost of) preparing, filing, prosecuting, and maintaining any Patent Applications and resulting Patents claiming Novartis Sole Collaboration Intellectual Property, in its sole discretion.</w:t>
      </w:r>
    </w:p>
    <w:p>
      <w:pPr>
        <w:spacing w:after="0" w:line="132" w:lineRule="exact"/>
        <w:rPr>
          <w:rFonts w:ascii="Arial" w:cs="Arial" w:eastAsia="Arial" w:hAnsi="Arial"/>
          <w:sz w:val="22"/>
          <w:szCs w:val="22"/>
          <w:b w:val="1"/>
          <w:bCs w:val="1"/>
          <w:color w:val="auto"/>
        </w:rPr>
      </w:pPr>
    </w:p>
    <w:p>
      <w:pPr>
        <w:ind w:left="880" w:right="340" w:firstLine="816"/>
        <w:spacing w:after="0"/>
        <w:tabs>
          <w:tab w:leader="none" w:pos="2602" w:val="left"/>
        </w:tabs>
        <w:numPr>
          <w:ilvl w:val="0"/>
          <w:numId w:val="77"/>
        </w:numPr>
        <w:rPr>
          <w:rFonts w:ascii="Arial" w:cs="Arial" w:eastAsia="Arial" w:hAnsi="Arial"/>
          <w:sz w:val="22"/>
          <w:szCs w:val="22"/>
          <w:b w:val="1"/>
          <w:bCs w:val="1"/>
          <w:color w:val="auto"/>
        </w:rPr>
      </w:pPr>
      <w:r>
        <w:rPr>
          <w:rFonts w:ascii="Arial" w:cs="Arial" w:eastAsia="Arial" w:hAnsi="Arial"/>
          <w:sz w:val="22"/>
          <w:szCs w:val="22"/>
          <w:color w:val="auto"/>
        </w:rPr>
        <w:t>Cerulean will have sole responsibility for (and will bear the cost of) preparing, filing, prosecuting, and maintaining any Patent Applications and resulting Patents claiming Cerulean Sole Collaboration Intellectual Property, in its sole discretion.</w:t>
      </w:r>
    </w:p>
    <w:p>
      <w:pPr>
        <w:spacing w:after="0" w:line="132" w:lineRule="exact"/>
        <w:rPr>
          <w:rFonts w:ascii="Arial" w:cs="Arial" w:eastAsia="Arial" w:hAnsi="Arial"/>
          <w:sz w:val="22"/>
          <w:szCs w:val="22"/>
          <w:b w:val="1"/>
          <w:bCs w:val="1"/>
          <w:color w:val="auto"/>
        </w:rPr>
      </w:pPr>
    </w:p>
    <w:p>
      <w:pPr>
        <w:ind w:left="880" w:right="20" w:firstLine="816"/>
        <w:spacing w:after="0" w:line="271" w:lineRule="auto"/>
        <w:tabs>
          <w:tab w:leader="none" w:pos="2578" w:val="left"/>
        </w:tabs>
        <w:numPr>
          <w:ilvl w:val="0"/>
          <w:numId w:val="77"/>
        </w:numPr>
        <w:rPr>
          <w:rFonts w:ascii="Arial" w:cs="Arial" w:eastAsia="Arial" w:hAnsi="Arial"/>
          <w:sz w:val="19"/>
          <w:szCs w:val="19"/>
          <w:b w:val="1"/>
          <w:bCs w:val="1"/>
          <w:color w:val="auto"/>
        </w:rPr>
      </w:pPr>
      <w:r>
        <w:rPr>
          <w:rFonts w:ascii="Arial" w:cs="Arial" w:eastAsia="Arial" w:hAnsi="Arial"/>
          <w:sz w:val="19"/>
          <w:szCs w:val="19"/>
          <w:color w:val="auto"/>
        </w:rPr>
        <w:t>Subject to Section 3.3.1(e), if any Joint Collaboration Intellectual Property is created, the Parties will agree upon a Party (the “</w:t>
      </w:r>
      <w:r>
        <w:rPr>
          <w:rFonts w:ascii="Arial" w:cs="Arial" w:eastAsia="Arial" w:hAnsi="Arial"/>
          <w:sz w:val="19"/>
          <w:szCs w:val="19"/>
          <w:u w:val="single" w:color="auto"/>
          <w:color w:val="auto"/>
        </w:rPr>
        <w:t>Joint Patent Lead</w:t>
      </w:r>
      <w:r>
        <w:rPr>
          <w:rFonts w:ascii="Arial" w:cs="Arial" w:eastAsia="Arial" w:hAnsi="Arial"/>
          <w:sz w:val="19"/>
          <w:szCs w:val="19"/>
          <w:color w:val="auto"/>
        </w:rPr>
        <w:t>”) to assume responsibility for the preparation, filing, and prosecution of Patent Applications and maintenance of resulting Patents claiming the relevant Joint Collaboration Intellectual Property (“</w:t>
      </w:r>
      <w:r>
        <w:rPr>
          <w:rFonts w:ascii="Arial" w:cs="Arial" w:eastAsia="Arial" w:hAnsi="Arial"/>
          <w:sz w:val="19"/>
          <w:szCs w:val="19"/>
          <w:u w:val="single" w:color="auto"/>
          <w:color w:val="auto"/>
        </w:rPr>
        <w:t>Joint</w:t>
      </w:r>
      <w:r>
        <w:rPr>
          <w:rFonts w:ascii="Arial" w:cs="Arial" w:eastAsia="Arial" w:hAnsi="Arial"/>
          <w:sz w:val="19"/>
          <w:szCs w:val="19"/>
          <w:color w:val="auto"/>
        </w:rPr>
        <w:t xml:space="preserve"> </w:t>
      </w:r>
      <w:r>
        <w:rPr>
          <w:rFonts w:ascii="Arial" w:cs="Arial" w:eastAsia="Arial" w:hAnsi="Arial"/>
          <w:sz w:val="19"/>
          <w:szCs w:val="19"/>
          <w:u w:val="single" w:color="auto"/>
          <w:color w:val="auto"/>
        </w:rPr>
        <w:t>Patents</w:t>
      </w:r>
      <w:r>
        <w:rPr>
          <w:rFonts w:ascii="Arial" w:cs="Arial" w:eastAsia="Arial" w:hAnsi="Arial"/>
          <w:sz w:val="19"/>
          <w:szCs w:val="19"/>
          <w:color w:val="auto"/>
        </w:rPr>
        <w:t>”), using counsel that is reasonably acceptable to both of the Parties (it being agreed that in-house counsel shall be acceptable). The Joint Patent Lead will provide the other Party a reasonable opportunity to review and comment on any such patent application, correspondence, or filing with any patenting authority or agency, and will be provided with copies of all communications with external counsel (if any). The Parties shall bear the costs and expenses of all of these activities on a 50:50 basis. For avoidance of doubt, a Joint Patent Lead will be designated for each Joint Invention to be patented, and each Party may act as Joint Patent Lead for one or more Joint Inventions. If either Party elects to discontinue its financial support for the preparation, filing, or prosecution of a Patent Application claiming a Joint Collaboration Intellectual Property or the maintenance of an issued Joint Patent in one or more (or all) jurisdictions, that Party (the “</w:t>
      </w:r>
      <w:r>
        <w:rPr>
          <w:rFonts w:ascii="Arial" w:cs="Arial" w:eastAsia="Arial" w:hAnsi="Arial"/>
          <w:sz w:val="19"/>
          <w:szCs w:val="19"/>
          <w:u w:val="single" w:color="auto"/>
          <w:color w:val="auto"/>
        </w:rPr>
        <w:t>Disclaiming Party</w:t>
      </w:r>
      <w:r>
        <w:rPr>
          <w:rFonts w:ascii="Arial" w:cs="Arial" w:eastAsia="Arial" w:hAnsi="Arial"/>
          <w:sz w:val="19"/>
          <w:szCs w:val="19"/>
          <w:color w:val="auto"/>
        </w:rPr>
        <w:t>”) will give prompt and timely notice (not less than [**] days) of that election (a “</w:t>
      </w:r>
      <w:r>
        <w:rPr>
          <w:rFonts w:ascii="Arial" w:cs="Arial" w:eastAsia="Arial" w:hAnsi="Arial"/>
          <w:sz w:val="19"/>
          <w:szCs w:val="19"/>
          <w:u w:val="single" w:color="auto"/>
          <w:color w:val="auto"/>
        </w:rPr>
        <w:t>Discontinuation Notice</w:t>
      </w:r>
      <w:r>
        <w:rPr>
          <w:rFonts w:ascii="Arial" w:cs="Arial" w:eastAsia="Arial" w:hAnsi="Arial"/>
          <w:sz w:val="19"/>
          <w:szCs w:val="19"/>
          <w:color w:val="auto"/>
        </w:rPr>
        <w:t>”) to the other Party in sufficient time to permit the other Party to assume the prosecution and maintenance of such Patent Applications or Patents, and the other Party may, at its election, assume full financial responsibility for those costs and expenses in such jurisdictions. If the other Party assumes full financial responsibility for those costs and expenses in those jurisdictions:</w:t>
      </w:r>
    </w:p>
    <w:p>
      <w:pPr>
        <w:spacing w:after="0" w:line="350" w:lineRule="exact"/>
        <w:rPr>
          <w:rFonts w:ascii="Arial" w:cs="Arial" w:eastAsia="Arial" w:hAnsi="Arial"/>
          <w:sz w:val="19"/>
          <w:szCs w:val="19"/>
          <w:b w:val="1"/>
          <w:bCs w:val="1"/>
          <w:color w:val="auto"/>
        </w:rPr>
      </w:pPr>
    </w:p>
    <w:p>
      <w:pPr>
        <w:ind w:left="1760" w:right="120" w:firstLine="746"/>
        <w:spacing w:after="0" w:line="238" w:lineRule="auto"/>
        <w:tabs>
          <w:tab w:leader="none" w:pos="3355" w:val="left"/>
        </w:tabs>
        <w:numPr>
          <w:ilvl w:val="1"/>
          <w:numId w:val="77"/>
        </w:numPr>
        <w:rPr>
          <w:rFonts w:ascii="Arial" w:cs="Arial" w:eastAsia="Arial" w:hAnsi="Arial"/>
          <w:sz w:val="22"/>
          <w:szCs w:val="22"/>
          <w:b w:val="1"/>
          <w:bCs w:val="1"/>
          <w:color w:val="auto"/>
        </w:rPr>
      </w:pPr>
      <w:r>
        <w:rPr>
          <w:rFonts w:ascii="Arial" w:cs="Arial" w:eastAsia="Arial" w:hAnsi="Arial"/>
          <w:sz w:val="22"/>
          <w:szCs w:val="22"/>
          <w:color w:val="auto"/>
        </w:rPr>
        <w:t>the Disclaiming Party will promptly (not more than [**] days) assign its rights to the relevant Joint Patents to the other Party in those jurisdictions (for the avoidance of doubt, on a jurisdiction-by-jurisdiction basis, only where the Disclaiming Party has elected to cease its support), including the right to Practice such Patent Rights in such jurisdiction;</w:t>
      </w:r>
    </w:p>
    <w:p>
      <w:pPr>
        <w:spacing w:after="0" w:line="131" w:lineRule="exact"/>
        <w:rPr>
          <w:rFonts w:ascii="Arial" w:cs="Arial" w:eastAsia="Arial" w:hAnsi="Arial"/>
          <w:sz w:val="22"/>
          <w:szCs w:val="22"/>
          <w:b w:val="1"/>
          <w:bCs w:val="1"/>
          <w:color w:val="auto"/>
        </w:rPr>
      </w:pPr>
    </w:p>
    <w:p>
      <w:pPr>
        <w:ind w:left="1760" w:right="240" w:firstLine="746"/>
        <w:spacing w:after="0"/>
        <w:tabs>
          <w:tab w:leader="none" w:pos="3415" w:val="left"/>
        </w:tabs>
        <w:numPr>
          <w:ilvl w:val="1"/>
          <w:numId w:val="77"/>
        </w:numPr>
        <w:rPr>
          <w:rFonts w:ascii="Arial" w:cs="Arial" w:eastAsia="Arial" w:hAnsi="Arial"/>
          <w:sz w:val="22"/>
          <w:szCs w:val="22"/>
          <w:b w:val="1"/>
          <w:bCs w:val="1"/>
          <w:color w:val="auto"/>
        </w:rPr>
      </w:pPr>
      <w:r>
        <w:rPr>
          <w:rFonts w:ascii="Arial" w:cs="Arial" w:eastAsia="Arial" w:hAnsi="Arial"/>
          <w:sz w:val="22"/>
          <w:szCs w:val="22"/>
          <w:color w:val="auto"/>
        </w:rPr>
        <w:t>the Disclaiming Party will have no further right to review or comment on any relevant patent application, correspondence, or filing in such jurisdiction or to receive copies of communications with external counsel relevant to such jurisdiction; and</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7" w:name="page88"/>
    <w:bookmarkEnd w:id="87"/>
    <w:p>
      <w:pPr>
        <w:ind w:left="9560"/>
        <w:spacing w:after="0"/>
        <w:rPr>
          <w:sz w:val="20"/>
          <w:szCs w:val="20"/>
          <w:color w:val="auto"/>
        </w:rPr>
      </w:pPr>
      <w:r>
        <w:rPr>
          <w:rFonts w:ascii="Arial" w:cs="Arial" w:eastAsia="Arial" w:hAnsi="Arial"/>
          <w:sz w:val="19"/>
          <w:szCs w:val="19"/>
          <w:color w:val="auto"/>
        </w:rPr>
        <w:t>EXECUTION COPY</w:t>
      </w:r>
    </w:p>
    <w:p>
      <w:pPr>
        <w:spacing w:after="0" w:line="268" w:lineRule="exact"/>
        <w:rPr>
          <w:sz w:val="20"/>
          <w:szCs w:val="20"/>
          <w:color w:val="auto"/>
        </w:rPr>
      </w:pPr>
    </w:p>
    <w:p>
      <w:pPr>
        <w:ind w:left="1760" w:right="460" w:firstLine="746"/>
        <w:spacing w:after="0" w:line="297" w:lineRule="auto"/>
        <w:tabs>
          <w:tab w:leader="none" w:pos="3475" w:val="left"/>
        </w:tabs>
        <w:numPr>
          <w:ilvl w:val="0"/>
          <w:numId w:val="78"/>
        </w:numPr>
        <w:rPr>
          <w:rFonts w:ascii="Arial" w:cs="Arial" w:eastAsia="Arial" w:hAnsi="Arial"/>
          <w:sz w:val="19"/>
          <w:szCs w:val="19"/>
          <w:b w:val="1"/>
          <w:bCs w:val="1"/>
          <w:color w:val="auto"/>
        </w:rPr>
      </w:pPr>
      <w:r>
        <w:rPr>
          <w:rFonts w:ascii="Arial" w:cs="Arial" w:eastAsia="Arial" w:hAnsi="Arial"/>
          <w:sz w:val="19"/>
          <w:szCs w:val="19"/>
          <w:color w:val="auto"/>
        </w:rPr>
        <w:t>if the Disclaiming Party is the Joint Patent Lead, responsibility for the subsequent preparation, filing, prosecuting and maintaining patent applications and patents in such jurisdiction will be transferred to the other Party as of the date of the assignment contemplated in Section 3.3.1(c)(i).</w:t>
      </w:r>
    </w:p>
    <w:p>
      <w:pPr>
        <w:spacing w:after="0" w:line="80" w:lineRule="exact"/>
        <w:rPr>
          <w:sz w:val="20"/>
          <w:szCs w:val="20"/>
          <w:color w:val="auto"/>
        </w:rPr>
      </w:pPr>
    </w:p>
    <w:p>
      <w:pPr>
        <w:ind w:left="880" w:right="100"/>
        <w:spacing w:after="0"/>
        <w:rPr>
          <w:sz w:val="20"/>
          <w:szCs w:val="20"/>
          <w:color w:val="auto"/>
        </w:rPr>
      </w:pPr>
      <w:r>
        <w:rPr>
          <w:rFonts w:ascii="Arial" w:cs="Arial" w:eastAsia="Arial" w:hAnsi="Arial"/>
          <w:sz w:val="22"/>
          <w:szCs w:val="22"/>
          <w:color w:val="auto"/>
        </w:rPr>
        <w:t>If the other Party does not assume responsibility for the continued prosecution and/or maintenance within [**] days after the Discontinuation Notice, the Disclaiming Party will have no further responsibility with respect to the prosecution or maintenance of the relevant Patent Applications or Patents.</w:t>
      </w:r>
    </w:p>
    <w:p>
      <w:pPr>
        <w:spacing w:after="0" w:line="132" w:lineRule="exact"/>
        <w:rPr>
          <w:sz w:val="20"/>
          <w:szCs w:val="20"/>
          <w:color w:val="auto"/>
        </w:rPr>
      </w:pPr>
    </w:p>
    <w:p>
      <w:pPr>
        <w:ind w:left="880" w:right="20" w:firstLine="816"/>
        <w:spacing w:after="0"/>
        <w:tabs>
          <w:tab w:leader="none" w:pos="2602" w:val="left"/>
        </w:tabs>
        <w:numPr>
          <w:ilvl w:val="0"/>
          <w:numId w:val="79"/>
        </w:numPr>
        <w:rPr>
          <w:rFonts w:ascii="Arial" w:cs="Arial" w:eastAsia="Arial" w:hAnsi="Arial"/>
          <w:sz w:val="22"/>
          <w:szCs w:val="22"/>
          <w:b w:val="1"/>
          <w:bCs w:val="1"/>
          <w:color w:val="auto"/>
        </w:rPr>
      </w:pPr>
      <w:r>
        <w:rPr>
          <w:rFonts w:ascii="Arial" w:cs="Arial" w:eastAsia="Arial" w:hAnsi="Arial"/>
          <w:sz w:val="22"/>
          <w:szCs w:val="22"/>
          <w:color w:val="auto"/>
        </w:rPr>
        <w:t>Cerulean will retain responsibility for (and shall bear the costs of) the preparation, filing, prosecution, and maintenance of any Patent Applications or resulting Patents included in the Cerulean Background Intellectual Property.</w:t>
      </w:r>
    </w:p>
    <w:p>
      <w:pPr>
        <w:spacing w:after="0" w:line="132" w:lineRule="exact"/>
        <w:rPr>
          <w:rFonts w:ascii="Arial" w:cs="Arial" w:eastAsia="Arial" w:hAnsi="Arial"/>
          <w:sz w:val="22"/>
          <w:szCs w:val="22"/>
          <w:b w:val="1"/>
          <w:bCs w:val="1"/>
          <w:color w:val="auto"/>
        </w:rPr>
      </w:pPr>
    </w:p>
    <w:p>
      <w:pPr>
        <w:ind w:left="880" w:right="200" w:firstLine="816"/>
        <w:spacing w:after="0"/>
        <w:tabs>
          <w:tab w:leader="none" w:pos="2578" w:val="left"/>
        </w:tabs>
        <w:numPr>
          <w:ilvl w:val="0"/>
          <w:numId w:val="79"/>
        </w:numPr>
        <w:rPr>
          <w:rFonts w:ascii="Arial" w:cs="Arial" w:eastAsia="Arial" w:hAnsi="Arial"/>
          <w:sz w:val="22"/>
          <w:szCs w:val="22"/>
          <w:b w:val="1"/>
          <w:bCs w:val="1"/>
          <w:color w:val="auto"/>
        </w:rPr>
      </w:pPr>
      <w:r>
        <w:rPr>
          <w:rFonts w:ascii="Arial" w:cs="Arial" w:eastAsia="Arial" w:hAnsi="Arial"/>
          <w:sz w:val="22"/>
          <w:szCs w:val="22"/>
          <w:color w:val="auto"/>
        </w:rPr>
        <w:t>If Novartis delivers to Cerulean (or is deemed pursuant to Section 3.2.2 to have delivered to Cerulean) a Commercial License Practice Notice, then with respect to any Joint Patents that are included in the relevant Exclusively Licensed Intellectual Property:</w:t>
      </w:r>
    </w:p>
    <w:p>
      <w:pPr>
        <w:spacing w:after="0" w:line="132" w:lineRule="exact"/>
        <w:rPr>
          <w:rFonts w:ascii="Arial" w:cs="Arial" w:eastAsia="Arial" w:hAnsi="Arial"/>
          <w:sz w:val="22"/>
          <w:szCs w:val="22"/>
          <w:b w:val="1"/>
          <w:bCs w:val="1"/>
          <w:color w:val="auto"/>
        </w:rPr>
      </w:pPr>
    </w:p>
    <w:p>
      <w:pPr>
        <w:ind w:left="1760" w:right="240" w:firstLine="746"/>
        <w:spacing w:after="0" w:line="328" w:lineRule="auto"/>
        <w:tabs>
          <w:tab w:leader="none" w:pos="3355" w:val="left"/>
        </w:tabs>
        <w:numPr>
          <w:ilvl w:val="1"/>
          <w:numId w:val="79"/>
        </w:numPr>
        <w:rPr>
          <w:rFonts w:ascii="Arial" w:cs="Arial" w:eastAsia="Arial" w:hAnsi="Arial"/>
          <w:sz w:val="19"/>
          <w:szCs w:val="19"/>
          <w:b w:val="1"/>
          <w:bCs w:val="1"/>
          <w:color w:val="auto"/>
        </w:rPr>
      </w:pPr>
      <w:r>
        <w:rPr>
          <w:rFonts w:ascii="Arial" w:cs="Arial" w:eastAsia="Arial" w:hAnsi="Arial"/>
          <w:sz w:val="19"/>
          <w:szCs w:val="19"/>
          <w:color w:val="auto"/>
        </w:rPr>
        <w:t>Novartis will bear responsibility for the preparation, filing, and prosecution of the relevant Joint Patent applications and maintenance of resulting Joint Patents, at Novartis’ sole cost and expense;</w:t>
      </w:r>
    </w:p>
    <w:p>
      <w:pPr>
        <w:spacing w:after="0" w:line="51" w:lineRule="exact"/>
        <w:rPr>
          <w:rFonts w:ascii="Arial" w:cs="Arial" w:eastAsia="Arial" w:hAnsi="Arial"/>
          <w:sz w:val="19"/>
          <w:szCs w:val="19"/>
          <w:b w:val="1"/>
          <w:bCs w:val="1"/>
          <w:color w:val="auto"/>
        </w:rPr>
      </w:pPr>
    </w:p>
    <w:p>
      <w:pPr>
        <w:ind w:left="1760" w:right="400" w:firstLine="746"/>
        <w:spacing w:after="0" w:line="238" w:lineRule="auto"/>
        <w:tabs>
          <w:tab w:leader="none" w:pos="3415" w:val="left"/>
        </w:tabs>
        <w:numPr>
          <w:ilvl w:val="1"/>
          <w:numId w:val="79"/>
        </w:numPr>
        <w:rPr>
          <w:rFonts w:ascii="Arial" w:cs="Arial" w:eastAsia="Arial" w:hAnsi="Arial"/>
          <w:sz w:val="22"/>
          <w:szCs w:val="22"/>
          <w:b w:val="1"/>
          <w:bCs w:val="1"/>
          <w:color w:val="auto"/>
        </w:rPr>
      </w:pPr>
      <w:r>
        <w:rPr>
          <w:rFonts w:ascii="Arial" w:cs="Arial" w:eastAsia="Arial" w:hAnsi="Arial"/>
          <w:sz w:val="22"/>
          <w:szCs w:val="22"/>
          <w:color w:val="auto"/>
        </w:rPr>
        <w:t>Novartis will provide Cerulean a reasonable opportunity to review and comment on any such patent application, correspondence, or filing with any patenting authority or agency (and any such comments will be considered by Novartis in good faith), and Cerulean will be provided with copies of all communications with external counsel;</w:t>
      </w:r>
    </w:p>
    <w:p>
      <w:pPr>
        <w:spacing w:after="0" w:line="131" w:lineRule="exact"/>
        <w:rPr>
          <w:rFonts w:ascii="Arial" w:cs="Arial" w:eastAsia="Arial" w:hAnsi="Arial"/>
          <w:sz w:val="22"/>
          <w:szCs w:val="22"/>
          <w:b w:val="1"/>
          <w:bCs w:val="1"/>
          <w:color w:val="auto"/>
        </w:rPr>
      </w:pPr>
    </w:p>
    <w:p>
      <w:pPr>
        <w:ind w:left="1760" w:right="40" w:firstLine="746"/>
        <w:spacing w:after="0" w:line="234" w:lineRule="auto"/>
        <w:tabs>
          <w:tab w:leader="none" w:pos="3475" w:val="left"/>
        </w:tabs>
        <w:numPr>
          <w:ilvl w:val="1"/>
          <w:numId w:val="79"/>
        </w:numPr>
        <w:rPr>
          <w:rFonts w:ascii="Arial" w:cs="Arial" w:eastAsia="Arial" w:hAnsi="Arial"/>
          <w:sz w:val="22"/>
          <w:szCs w:val="22"/>
          <w:b w:val="1"/>
          <w:bCs w:val="1"/>
          <w:color w:val="auto"/>
        </w:rPr>
      </w:pPr>
      <w:r>
        <w:rPr>
          <w:rFonts w:ascii="Arial" w:cs="Arial" w:eastAsia="Arial" w:hAnsi="Arial"/>
          <w:sz w:val="22"/>
          <w:szCs w:val="22"/>
          <w:color w:val="auto"/>
        </w:rPr>
        <w:t>if Novartis elects to discontinue the preparation, filing, or prosecution of one or more Joint Patents applications or the maintenance of one or more such issued Joint Patents in one or more (or all) jurisdictions, Novartis will give prompt and timely notice (not less than [**] days) of that election to Cerulean in sufficient time to permit Cerulean to assume the prosecution and maintenance of such Patent applications or Joint Patents, and Cerulean may, at its election, assume full financial responsibility for those costs and expenses in such jurisdictions. If Cerulean assumes full financial responsibility for those costs and expenses in those jurisdictions:</w:t>
      </w:r>
    </w:p>
    <w:p>
      <w:pPr>
        <w:spacing w:after="0" w:line="137" w:lineRule="exact"/>
        <w:rPr>
          <w:rFonts w:ascii="Arial" w:cs="Arial" w:eastAsia="Arial" w:hAnsi="Arial"/>
          <w:sz w:val="22"/>
          <w:szCs w:val="22"/>
          <w:b w:val="1"/>
          <w:bCs w:val="1"/>
          <w:color w:val="auto"/>
        </w:rPr>
      </w:pPr>
    </w:p>
    <w:p>
      <w:pPr>
        <w:ind w:left="2640" w:right="80" w:firstLine="677"/>
        <w:spacing w:after="0" w:line="238" w:lineRule="auto"/>
        <w:tabs>
          <w:tab w:leader="none" w:pos="4215" w:val="left"/>
        </w:tabs>
        <w:numPr>
          <w:ilvl w:val="2"/>
          <w:numId w:val="79"/>
        </w:numPr>
        <w:rPr>
          <w:rFonts w:ascii="Arial" w:cs="Arial" w:eastAsia="Arial" w:hAnsi="Arial"/>
          <w:sz w:val="22"/>
          <w:szCs w:val="22"/>
          <w:b w:val="1"/>
          <w:bCs w:val="1"/>
          <w:color w:val="auto"/>
        </w:rPr>
      </w:pPr>
      <w:r>
        <w:rPr>
          <w:rFonts w:ascii="Arial" w:cs="Arial" w:eastAsia="Arial" w:hAnsi="Arial"/>
          <w:sz w:val="22"/>
          <w:szCs w:val="22"/>
          <w:color w:val="auto"/>
        </w:rPr>
        <w:t>Novartis’ will promptly assign its rights to the relevant Patent Applications or Patents (if any) to Cerulean in those jurisdictions (for the avoidance of doubt, on a jurisdiction-by-jurisdiction basis, only where Novartis has elected to cease its support), including the exclusive right to Practice such Patent Rights in such jurisdiction;</w:t>
      </w:r>
    </w:p>
    <w:p>
      <w:pPr>
        <w:spacing w:after="0" w:line="131" w:lineRule="exact"/>
        <w:rPr>
          <w:rFonts w:ascii="Arial" w:cs="Arial" w:eastAsia="Arial" w:hAnsi="Arial"/>
          <w:sz w:val="22"/>
          <w:szCs w:val="22"/>
          <w:b w:val="1"/>
          <w:bCs w:val="1"/>
          <w:color w:val="auto"/>
        </w:rPr>
      </w:pPr>
    </w:p>
    <w:p>
      <w:pPr>
        <w:ind w:left="2640" w:right="20" w:firstLine="677"/>
        <w:spacing w:after="0"/>
        <w:tabs>
          <w:tab w:leader="none" w:pos="4215" w:val="left"/>
        </w:tabs>
        <w:numPr>
          <w:ilvl w:val="2"/>
          <w:numId w:val="79"/>
        </w:numPr>
        <w:rPr>
          <w:rFonts w:ascii="Arial" w:cs="Arial" w:eastAsia="Arial" w:hAnsi="Arial"/>
          <w:sz w:val="22"/>
          <w:szCs w:val="22"/>
          <w:b w:val="1"/>
          <w:bCs w:val="1"/>
          <w:color w:val="auto"/>
        </w:rPr>
      </w:pPr>
      <w:r>
        <w:rPr>
          <w:rFonts w:ascii="Arial" w:cs="Arial" w:eastAsia="Arial" w:hAnsi="Arial"/>
          <w:sz w:val="22"/>
          <w:szCs w:val="22"/>
          <w:color w:val="auto"/>
        </w:rPr>
        <w:t>any licenses under this Agreement to Novartis, including for the sake of clarity, the Limited Research Purpose License and the Commercial License, will terminate with respect to the relevant Patent</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8" w:name="page89"/>
    <w:bookmarkEnd w:id="88"/>
    <w:p>
      <w:pPr>
        <w:ind w:left="9560"/>
        <w:spacing w:after="0"/>
        <w:rPr>
          <w:sz w:val="20"/>
          <w:szCs w:val="20"/>
          <w:color w:val="auto"/>
        </w:rPr>
      </w:pPr>
      <w:r>
        <w:rPr>
          <w:rFonts w:ascii="Arial" w:cs="Arial" w:eastAsia="Arial" w:hAnsi="Arial"/>
          <w:sz w:val="19"/>
          <w:szCs w:val="19"/>
          <w:color w:val="auto"/>
        </w:rPr>
        <w:t>EXECUTION COPY</w:t>
      </w:r>
    </w:p>
    <w:p>
      <w:pPr>
        <w:spacing w:after="0" w:line="268" w:lineRule="exact"/>
        <w:rPr>
          <w:sz w:val="20"/>
          <w:szCs w:val="20"/>
          <w:color w:val="auto"/>
        </w:rPr>
      </w:pPr>
    </w:p>
    <w:p>
      <w:pPr>
        <w:ind w:left="2640" w:right="240"/>
        <w:spacing w:after="0" w:line="251" w:lineRule="auto"/>
        <w:rPr>
          <w:sz w:val="20"/>
          <w:szCs w:val="20"/>
          <w:color w:val="auto"/>
        </w:rPr>
      </w:pPr>
      <w:r>
        <w:rPr>
          <w:rFonts w:ascii="Arial" w:cs="Arial" w:eastAsia="Arial" w:hAnsi="Arial"/>
          <w:sz w:val="22"/>
          <w:szCs w:val="22"/>
          <w:color w:val="auto"/>
        </w:rPr>
        <w:t>Rights (for the avoidance of doubt, on a jurisdiction-by-jurisdiction basis, only where Novartis has elected to cease its support);</w:t>
      </w:r>
    </w:p>
    <w:p>
      <w:pPr>
        <w:spacing w:after="0" w:line="119" w:lineRule="exact"/>
        <w:rPr>
          <w:sz w:val="20"/>
          <w:szCs w:val="20"/>
          <w:color w:val="auto"/>
        </w:rPr>
      </w:pPr>
    </w:p>
    <w:p>
      <w:pPr>
        <w:jc w:val="both"/>
        <w:ind w:left="2640" w:right="300" w:firstLine="677"/>
        <w:spacing w:after="0"/>
        <w:tabs>
          <w:tab w:leader="none" w:pos="4215" w:val="left"/>
        </w:tabs>
        <w:numPr>
          <w:ilvl w:val="0"/>
          <w:numId w:val="80"/>
        </w:numPr>
        <w:rPr>
          <w:rFonts w:ascii="Arial" w:cs="Arial" w:eastAsia="Arial" w:hAnsi="Arial"/>
          <w:sz w:val="22"/>
          <w:szCs w:val="22"/>
          <w:b w:val="1"/>
          <w:bCs w:val="1"/>
          <w:color w:val="auto"/>
        </w:rPr>
      </w:pPr>
      <w:r>
        <w:rPr>
          <w:rFonts w:ascii="Arial" w:cs="Arial" w:eastAsia="Arial" w:hAnsi="Arial"/>
          <w:sz w:val="22"/>
          <w:szCs w:val="22"/>
          <w:color w:val="auto"/>
        </w:rPr>
        <w:t>Novartis will have no further right to review or comment on any relevant patent application, correspondence, or filing in such jurisdiction or to receive copies of communications relevant to such jurisdiction; and</w:t>
      </w:r>
    </w:p>
    <w:p>
      <w:pPr>
        <w:spacing w:after="0" w:line="132" w:lineRule="exact"/>
        <w:rPr>
          <w:rFonts w:ascii="Arial" w:cs="Arial" w:eastAsia="Arial" w:hAnsi="Arial"/>
          <w:sz w:val="22"/>
          <w:szCs w:val="22"/>
          <w:b w:val="1"/>
          <w:bCs w:val="1"/>
          <w:color w:val="auto"/>
        </w:rPr>
      </w:pPr>
    </w:p>
    <w:p>
      <w:pPr>
        <w:ind w:left="2640" w:right="200" w:firstLine="677"/>
        <w:spacing w:after="0" w:line="238" w:lineRule="auto"/>
        <w:tabs>
          <w:tab w:leader="none" w:pos="4215" w:val="left"/>
        </w:tabs>
        <w:numPr>
          <w:ilvl w:val="0"/>
          <w:numId w:val="80"/>
        </w:numPr>
        <w:rPr>
          <w:rFonts w:ascii="Arial" w:cs="Arial" w:eastAsia="Arial" w:hAnsi="Arial"/>
          <w:sz w:val="22"/>
          <w:szCs w:val="22"/>
          <w:b w:val="1"/>
          <w:bCs w:val="1"/>
          <w:color w:val="auto"/>
        </w:rPr>
      </w:pPr>
      <w:r>
        <w:rPr>
          <w:rFonts w:ascii="Arial" w:cs="Arial" w:eastAsia="Arial" w:hAnsi="Arial"/>
          <w:sz w:val="22"/>
          <w:szCs w:val="22"/>
          <w:color w:val="auto"/>
        </w:rPr>
        <w:t>responsibility for the subsequent preparation, filing, prosecuting and maintaining patent applications and patents in such jurisdiction will be transferred to Cerulean as of the date of the assignment contemplated in Section 3.3.1(e)(i), to the extent Cerulean was not previously responsible for prosecution under Section 3.3.1(c).</w:t>
      </w:r>
    </w:p>
    <w:p>
      <w:pPr>
        <w:spacing w:after="0" w:line="131" w:lineRule="exact"/>
        <w:rPr>
          <w:sz w:val="20"/>
          <w:szCs w:val="20"/>
          <w:color w:val="auto"/>
        </w:rPr>
      </w:pPr>
    </w:p>
    <w:p>
      <w:pPr>
        <w:jc w:val="both"/>
        <w:ind w:left="1760" w:right="40"/>
        <w:spacing w:after="0"/>
        <w:rPr>
          <w:sz w:val="20"/>
          <w:szCs w:val="20"/>
          <w:color w:val="auto"/>
        </w:rPr>
      </w:pPr>
      <w:r>
        <w:rPr>
          <w:rFonts w:ascii="Arial" w:cs="Arial" w:eastAsia="Arial" w:hAnsi="Arial"/>
          <w:sz w:val="22"/>
          <w:szCs w:val="22"/>
          <w:color w:val="auto"/>
        </w:rPr>
        <w:t>If Cerulean does not assume responsibility for the continued prosecution or maintenance within [**] days after Novartis’ notice, Novartis will have no further responsibility with respect to the relevant Patent Applications or Patents.</w:t>
      </w:r>
    </w:p>
    <w:p>
      <w:pPr>
        <w:spacing w:after="0" w:line="132" w:lineRule="exact"/>
        <w:rPr>
          <w:sz w:val="20"/>
          <w:szCs w:val="20"/>
          <w:color w:val="auto"/>
        </w:rPr>
      </w:pPr>
    </w:p>
    <w:p>
      <w:pPr>
        <w:ind w:left="880" w:right="340" w:firstLine="816"/>
        <w:spacing w:after="0"/>
        <w:tabs>
          <w:tab w:leader="none" w:pos="2554" w:val="left"/>
        </w:tabs>
        <w:numPr>
          <w:ilvl w:val="0"/>
          <w:numId w:val="81"/>
        </w:numPr>
        <w:rPr>
          <w:rFonts w:ascii="Arial" w:cs="Arial" w:eastAsia="Arial" w:hAnsi="Arial"/>
          <w:sz w:val="22"/>
          <w:szCs w:val="22"/>
          <w:b w:val="1"/>
          <w:bCs w:val="1"/>
          <w:color w:val="auto"/>
        </w:rPr>
      </w:pPr>
      <w:r>
        <w:rPr>
          <w:rFonts w:ascii="Arial" w:cs="Arial" w:eastAsia="Arial" w:hAnsi="Arial"/>
          <w:sz w:val="22"/>
          <w:szCs w:val="22"/>
          <w:color w:val="auto"/>
        </w:rPr>
        <w:t>If Novartis delivers to Cerulean (or is deemed pursuant to Section 3.2.2 to have delivered) a Commercial License Practice Notice, then with respect to Patent Rights included in the relevant Exclusively Licensed Intellectual Property, Cerulean shall, at Novartis’ reasonable cost</w:t>
      </w:r>
    </w:p>
    <w:p>
      <w:pPr>
        <w:spacing w:after="0" w:line="132" w:lineRule="exact"/>
        <w:rPr>
          <w:rFonts w:ascii="Arial" w:cs="Arial" w:eastAsia="Arial" w:hAnsi="Arial"/>
          <w:sz w:val="22"/>
          <w:szCs w:val="22"/>
          <w:b w:val="1"/>
          <w:bCs w:val="1"/>
          <w:color w:val="auto"/>
        </w:rPr>
      </w:pPr>
    </w:p>
    <w:p>
      <w:pPr>
        <w:ind w:left="1760" w:right="280" w:firstLine="746"/>
        <w:spacing w:after="0" w:line="238" w:lineRule="auto"/>
        <w:tabs>
          <w:tab w:leader="none" w:pos="3355" w:val="left"/>
        </w:tabs>
        <w:numPr>
          <w:ilvl w:val="1"/>
          <w:numId w:val="81"/>
        </w:numPr>
        <w:rPr>
          <w:rFonts w:ascii="Arial" w:cs="Arial" w:eastAsia="Arial" w:hAnsi="Arial"/>
          <w:sz w:val="22"/>
          <w:szCs w:val="22"/>
          <w:b w:val="1"/>
          <w:bCs w:val="1"/>
          <w:color w:val="auto"/>
        </w:rPr>
      </w:pPr>
      <w:r>
        <w:rPr>
          <w:rFonts w:ascii="Arial" w:cs="Arial" w:eastAsia="Arial" w:hAnsi="Arial"/>
          <w:sz w:val="22"/>
          <w:szCs w:val="22"/>
          <w:color w:val="auto"/>
        </w:rPr>
        <w:t>cooperate in obtaining patent term restoration (under but not limited to Drug Price Competition and Patent Term Restoration Act), supplemental protection certificates or their equivalents, and patent term extensions with respect to the Exclusively Licensed Intellectual Property in any country and/or region where applicable; and</w:t>
      </w:r>
    </w:p>
    <w:p>
      <w:pPr>
        <w:spacing w:after="0" w:line="131" w:lineRule="exact"/>
        <w:rPr>
          <w:rFonts w:ascii="Arial" w:cs="Arial" w:eastAsia="Arial" w:hAnsi="Arial"/>
          <w:sz w:val="22"/>
          <w:szCs w:val="22"/>
          <w:b w:val="1"/>
          <w:bCs w:val="1"/>
          <w:color w:val="auto"/>
        </w:rPr>
      </w:pPr>
    </w:p>
    <w:p>
      <w:pPr>
        <w:ind w:left="1760" w:right="160" w:firstLine="746"/>
        <w:spacing w:after="0"/>
        <w:tabs>
          <w:tab w:leader="none" w:pos="3415" w:val="left"/>
        </w:tabs>
        <w:numPr>
          <w:ilvl w:val="1"/>
          <w:numId w:val="81"/>
        </w:numPr>
        <w:rPr>
          <w:rFonts w:ascii="Arial" w:cs="Arial" w:eastAsia="Arial" w:hAnsi="Arial"/>
          <w:sz w:val="22"/>
          <w:szCs w:val="22"/>
          <w:b w:val="1"/>
          <w:bCs w:val="1"/>
          <w:color w:val="auto"/>
        </w:rPr>
      </w:pPr>
      <w:r>
        <w:rPr>
          <w:rFonts w:ascii="Arial" w:cs="Arial" w:eastAsia="Arial" w:hAnsi="Arial"/>
          <w:sz w:val="22"/>
          <w:szCs w:val="22"/>
          <w:color w:val="auto"/>
        </w:rPr>
        <w:t>provide all reasonable assistance requested by Novartis, including permitting Novartis to proceed with applications for such in the name of Cerulean, if deemed appropriate by Novartis, and executing documents and providing any relevant information to Novartis.</w:t>
      </w:r>
    </w:p>
    <w:p>
      <w:pPr>
        <w:spacing w:after="0" w:line="132" w:lineRule="exact"/>
        <w:rPr>
          <w:sz w:val="20"/>
          <w:szCs w:val="20"/>
          <w:color w:val="auto"/>
        </w:rPr>
      </w:pPr>
    </w:p>
    <w:p>
      <w:pPr>
        <w:ind w:left="880" w:right="120"/>
        <w:spacing w:after="0" w:line="274" w:lineRule="auto"/>
        <w:rPr>
          <w:sz w:val="20"/>
          <w:szCs w:val="20"/>
          <w:color w:val="auto"/>
        </w:rPr>
      </w:pPr>
      <w:r>
        <w:rPr>
          <w:rFonts w:ascii="Arial" w:cs="Arial" w:eastAsia="Arial" w:hAnsi="Arial"/>
          <w:sz w:val="21"/>
          <w:szCs w:val="21"/>
          <w:color w:val="auto"/>
        </w:rPr>
        <w:t>Novartis shall, after first consulting with Cerulean and providing good faith consideration to Cerulean’s input, determine in its sole discretion which, if any, Exclusively Licensed Intellectual Property it will apply to extend.</w:t>
      </w:r>
    </w:p>
    <w:p>
      <w:pPr>
        <w:spacing w:after="0" w:line="91" w:lineRule="exact"/>
        <w:rPr>
          <w:sz w:val="20"/>
          <w:szCs w:val="20"/>
          <w:color w:val="auto"/>
        </w:rPr>
      </w:pPr>
    </w:p>
    <w:p>
      <w:pPr>
        <w:ind w:right="20" w:firstLine="877"/>
        <w:spacing w:after="0" w:line="280" w:lineRule="auto"/>
        <w:rPr>
          <w:sz w:val="20"/>
          <w:szCs w:val="20"/>
          <w:color w:val="auto"/>
        </w:rPr>
      </w:pPr>
      <w:r>
        <w:rPr>
          <w:rFonts w:ascii="Arial" w:cs="Arial" w:eastAsia="Arial" w:hAnsi="Arial"/>
          <w:sz w:val="21"/>
          <w:szCs w:val="21"/>
          <w:b w:val="1"/>
          <w:bCs w:val="1"/>
          <w:color w:val="auto"/>
        </w:rPr>
        <w:t xml:space="preserve">3.3.2 Patent Infringement Following Commercial License Practice Notice. </w:t>
      </w:r>
      <w:r>
        <w:rPr>
          <w:rFonts w:ascii="Arial" w:cs="Arial" w:eastAsia="Arial" w:hAnsi="Arial"/>
          <w:sz w:val="21"/>
          <w:szCs w:val="21"/>
          <w:color w:val="auto"/>
        </w:rPr>
        <w:t>If Novartis delivers to Cerulean (or</w:t>
      </w:r>
      <w:r>
        <w:rPr>
          <w:rFonts w:ascii="Arial" w:cs="Arial" w:eastAsia="Arial" w:hAnsi="Arial"/>
          <w:sz w:val="21"/>
          <w:szCs w:val="21"/>
          <w:b w:val="1"/>
          <w:bCs w:val="1"/>
          <w:color w:val="auto"/>
        </w:rPr>
        <w:t xml:space="preserve"> </w:t>
      </w:r>
      <w:r>
        <w:rPr>
          <w:rFonts w:ascii="Arial" w:cs="Arial" w:eastAsia="Arial" w:hAnsi="Arial"/>
          <w:sz w:val="21"/>
          <w:szCs w:val="21"/>
          <w:color w:val="auto"/>
        </w:rPr>
        <w:t>is deemed pursuant to Section 3.2.2 to have delivered to Cerulean) a Commercial License Practice Notice, then</w:t>
      </w:r>
    </w:p>
    <w:p>
      <w:pPr>
        <w:spacing w:after="0" w:line="91" w:lineRule="exact"/>
        <w:rPr>
          <w:sz w:val="20"/>
          <w:szCs w:val="20"/>
          <w:color w:val="auto"/>
        </w:rPr>
      </w:pPr>
    </w:p>
    <w:p>
      <w:pPr>
        <w:ind w:left="880" w:right="20" w:firstLine="816"/>
        <w:spacing w:after="0" w:line="235" w:lineRule="auto"/>
        <w:tabs>
          <w:tab w:leader="none" w:pos="2590" w:val="left"/>
        </w:tabs>
        <w:numPr>
          <w:ilvl w:val="0"/>
          <w:numId w:val="82"/>
        </w:numPr>
        <w:rPr>
          <w:rFonts w:ascii="Arial" w:cs="Arial" w:eastAsia="Arial" w:hAnsi="Arial"/>
          <w:sz w:val="22"/>
          <w:szCs w:val="22"/>
          <w:b w:val="1"/>
          <w:bCs w:val="1"/>
          <w:color w:val="auto"/>
        </w:rPr>
      </w:pPr>
      <w:r>
        <w:rPr>
          <w:rFonts w:ascii="Arial" w:cs="Arial" w:eastAsia="Arial" w:hAnsi="Arial"/>
          <w:sz w:val="22"/>
          <w:szCs w:val="22"/>
          <w:color w:val="auto"/>
        </w:rPr>
        <w:t>with respect to Patent Rights included in the relevant Exclusively Licensed Intellectual Property, each Party will promptly notify the other of any infringement by a Third Party of such Patent Rights of which it becomes aware, including any “patent certification” filed in the United States under 21 USC §355(b)(2) or 21 USC §355(j)(2) or similar provisions in other jurisdictions, and of any request for declaratory judgment, opposition, nullity action, interference, inter-partes reexamination, inter-partes review, post-grant review, derivation proceeding, or similar action alleging the invalidity,</w:t>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9" w:name="page90"/>
    <w:bookmarkEnd w:id="89"/>
    <w:p>
      <w:pPr>
        <w:ind w:left="9560"/>
        <w:spacing w:after="0"/>
        <w:rPr>
          <w:sz w:val="20"/>
          <w:szCs w:val="20"/>
          <w:color w:val="auto"/>
        </w:rPr>
      </w:pPr>
      <w:r>
        <w:rPr>
          <w:rFonts w:ascii="Arial" w:cs="Arial" w:eastAsia="Arial" w:hAnsi="Arial"/>
          <w:sz w:val="19"/>
          <w:szCs w:val="19"/>
          <w:color w:val="auto"/>
        </w:rPr>
        <w:t>EXECUTION COPY</w:t>
      </w:r>
    </w:p>
    <w:p>
      <w:pPr>
        <w:spacing w:after="0" w:line="26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unenforceability or non-infringement of any of such Patent Rights (collectively “</w:t>
      </w:r>
      <w:r>
        <w:rPr>
          <w:rFonts w:ascii="Arial" w:cs="Arial" w:eastAsia="Arial" w:hAnsi="Arial"/>
          <w:sz w:val="22"/>
          <w:szCs w:val="22"/>
          <w:u w:val="single" w:color="auto"/>
          <w:color w:val="auto"/>
        </w:rPr>
        <w:t>Third Party Infringement</w:t>
      </w:r>
      <w:r>
        <w:rPr>
          <w:rFonts w:ascii="Arial" w:cs="Arial" w:eastAsia="Arial" w:hAnsi="Arial"/>
          <w:sz w:val="22"/>
          <w:szCs w:val="22"/>
          <w:color w:val="auto"/>
        </w:rPr>
        <w:t>”).</w:t>
      </w:r>
    </w:p>
    <w:p>
      <w:pPr>
        <w:spacing w:after="0" w:line="152" w:lineRule="exact"/>
        <w:rPr>
          <w:sz w:val="20"/>
          <w:szCs w:val="20"/>
          <w:color w:val="auto"/>
        </w:rPr>
      </w:pPr>
    </w:p>
    <w:p>
      <w:pPr>
        <w:ind w:left="880" w:right="60" w:firstLine="816"/>
        <w:spacing w:after="0" w:line="274" w:lineRule="auto"/>
        <w:tabs>
          <w:tab w:leader="none" w:pos="2602" w:val="left"/>
        </w:tabs>
        <w:numPr>
          <w:ilvl w:val="0"/>
          <w:numId w:val="83"/>
        </w:numPr>
        <w:rPr>
          <w:rFonts w:ascii="Arial" w:cs="Arial" w:eastAsia="Arial" w:hAnsi="Arial"/>
          <w:sz w:val="19"/>
          <w:szCs w:val="19"/>
          <w:b w:val="1"/>
          <w:bCs w:val="1"/>
          <w:color w:val="auto"/>
        </w:rPr>
      </w:pPr>
      <w:r>
        <w:rPr>
          <w:rFonts w:ascii="Arial" w:cs="Arial" w:eastAsia="Arial" w:hAnsi="Arial"/>
          <w:sz w:val="19"/>
          <w:szCs w:val="19"/>
          <w:color w:val="auto"/>
        </w:rPr>
        <w:t xml:space="preserve">Novartis will have the first right to bring and control any legal action in connection with Third Party Infringement relating to the Exclusively Licensed Patent Rights with respect to the relevant Designated Target, at its own expense as it reasonably determines appropriate, and Cerulean shall have the right, at its own expense, to be represented in any such action by counsel of its own choice; </w:t>
      </w:r>
      <w:r>
        <w:rPr>
          <w:rFonts w:ascii="Arial" w:cs="Arial" w:eastAsia="Arial" w:hAnsi="Arial"/>
          <w:sz w:val="19"/>
          <w:szCs w:val="19"/>
          <w:i w:val="1"/>
          <w:iCs w:val="1"/>
          <w:color w:val="auto"/>
        </w:rPr>
        <w:t>provided, however</w:t>
      </w:r>
      <w:r>
        <w:rPr>
          <w:rFonts w:ascii="Arial" w:cs="Arial" w:eastAsia="Arial" w:hAnsi="Arial"/>
          <w:sz w:val="19"/>
          <w:szCs w:val="19"/>
          <w:color w:val="auto"/>
        </w:rPr>
        <w:t>, that if such Third Party Infringement arises from a Third Party product that is directed to the relevant Designated Target but such Third Party product is not an actual or potential Generic Equivalent, then such legal action shall be subject to Cerulean’s prior written consent, not to be unreasonably withheld. If Novartis fails to bring an action or proceeding with respect to, or to terminate, any such infringement of any Exclusively Licensed Patent Rights with respect to the relevant Designated Target (other than as a result of Cerulean’s failure to give consent as described above):</w:t>
      </w:r>
    </w:p>
    <w:p>
      <w:pPr>
        <w:spacing w:after="0" w:line="104" w:lineRule="exact"/>
        <w:rPr>
          <w:rFonts w:ascii="Arial" w:cs="Arial" w:eastAsia="Arial" w:hAnsi="Arial"/>
          <w:sz w:val="19"/>
          <w:szCs w:val="19"/>
          <w:b w:val="1"/>
          <w:bCs w:val="1"/>
          <w:color w:val="auto"/>
        </w:rPr>
      </w:pPr>
    </w:p>
    <w:p>
      <w:pPr>
        <w:ind w:left="3420" w:hanging="914"/>
        <w:spacing w:after="0"/>
        <w:tabs>
          <w:tab w:leader="none" w:pos="3420" w:val="left"/>
        </w:tabs>
        <w:numPr>
          <w:ilvl w:val="1"/>
          <w:numId w:val="83"/>
        </w:numPr>
        <w:rPr>
          <w:rFonts w:ascii="Arial" w:cs="Arial" w:eastAsia="Arial" w:hAnsi="Arial"/>
          <w:sz w:val="22"/>
          <w:szCs w:val="22"/>
          <w:b w:val="1"/>
          <w:bCs w:val="1"/>
          <w:color w:val="auto"/>
        </w:rPr>
      </w:pPr>
      <w:r>
        <w:rPr>
          <w:rFonts w:ascii="Arial" w:cs="Arial" w:eastAsia="Arial" w:hAnsi="Arial"/>
          <w:sz w:val="22"/>
          <w:szCs w:val="22"/>
          <w:color w:val="auto"/>
        </w:rPr>
        <w:t>within [**] days following the notice of alleged infringement; or</w:t>
      </w:r>
    </w:p>
    <w:p>
      <w:pPr>
        <w:spacing w:after="0" w:line="152" w:lineRule="exact"/>
        <w:rPr>
          <w:rFonts w:ascii="Arial" w:cs="Arial" w:eastAsia="Arial" w:hAnsi="Arial"/>
          <w:sz w:val="22"/>
          <w:szCs w:val="22"/>
          <w:b w:val="1"/>
          <w:bCs w:val="1"/>
          <w:color w:val="auto"/>
        </w:rPr>
      </w:pPr>
    </w:p>
    <w:p>
      <w:pPr>
        <w:ind w:left="1760" w:right="520" w:firstLine="746"/>
        <w:spacing w:after="0" w:line="251" w:lineRule="auto"/>
        <w:tabs>
          <w:tab w:leader="none" w:pos="3469" w:val="left"/>
        </w:tabs>
        <w:numPr>
          <w:ilvl w:val="1"/>
          <w:numId w:val="83"/>
        </w:numPr>
        <w:rPr>
          <w:rFonts w:ascii="Arial" w:cs="Arial" w:eastAsia="Arial" w:hAnsi="Arial"/>
          <w:sz w:val="22"/>
          <w:szCs w:val="22"/>
          <w:b w:val="1"/>
          <w:bCs w:val="1"/>
          <w:color w:val="auto"/>
        </w:rPr>
      </w:pPr>
      <w:r>
        <w:rPr>
          <w:rFonts w:ascii="Arial" w:cs="Arial" w:eastAsia="Arial" w:hAnsi="Arial"/>
          <w:sz w:val="22"/>
          <w:szCs w:val="22"/>
          <w:color w:val="auto"/>
        </w:rPr>
        <w:t>prior to [**] days before the time limit, if any, set forth in the Applicable Laws for the filing of such actions, whichever comes first,</w:t>
      </w:r>
    </w:p>
    <w:p>
      <w:pPr>
        <w:spacing w:after="0" w:line="119" w:lineRule="exact"/>
        <w:rPr>
          <w:sz w:val="20"/>
          <w:szCs w:val="20"/>
          <w:color w:val="auto"/>
        </w:rPr>
      </w:pPr>
    </w:p>
    <w:p>
      <w:pPr>
        <w:ind w:left="880" w:right="60"/>
        <w:spacing w:after="0" w:line="279" w:lineRule="auto"/>
        <w:rPr>
          <w:sz w:val="20"/>
          <w:szCs w:val="20"/>
          <w:color w:val="auto"/>
        </w:rPr>
      </w:pPr>
      <w:r>
        <w:rPr>
          <w:rFonts w:ascii="Arial" w:cs="Arial" w:eastAsia="Arial" w:hAnsi="Arial"/>
          <w:sz w:val="19"/>
          <w:szCs w:val="19"/>
          <w:color w:val="auto"/>
        </w:rPr>
        <w:t xml:space="preserve">then Cerulean shall have the right, after first consulting with Novartis and providing good faith consideration to Novartis' reasons for not initiating any action, to bring and control any such action at its own expense and by counsel of its own choice, and Novartis shall have the right, at its own expense, to be represented in any such action by counsel of its own choice; </w:t>
      </w:r>
      <w:r>
        <w:rPr>
          <w:rFonts w:ascii="Arial" w:cs="Arial" w:eastAsia="Arial" w:hAnsi="Arial"/>
          <w:sz w:val="19"/>
          <w:szCs w:val="19"/>
          <w:i w:val="1"/>
          <w:iCs w:val="1"/>
          <w:color w:val="auto"/>
        </w:rPr>
        <w:t>provided, however</w:t>
      </w:r>
      <w:r>
        <w:rPr>
          <w:rFonts w:ascii="Arial" w:cs="Arial" w:eastAsia="Arial" w:hAnsi="Arial"/>
          <w:sz w:val="19"/>
          <w:szCs w:val="19"/>
          <w:color w:val="auto"/>
        </w:rPr>
        <w:t>, that if Novartis notifies Cerulean in writing prior to [**] days before such time limit for the filing of any such action that Novartis intends to file such action before the time limit, then Novartis shall be obligated to file such action before the time limit, and Cerulean will not have the right to bring and control such action.</w:t>
      </w:r>
    </w:p>
    <w:p>
      <w:pPr>
        <w:spacing w:after="0" w:line="97" w:lineRule="exact"/>
        <w:rPr>
          <w:sz w:val="20"/>
          <w:szCs w:val="20"/>
          <w:color w:val="auto"/>
        </w:rPr>
      </w:pPr>
    </w:p>
    <w:p>
      <w:pPr>
        <w:jc w:val="both"/>
        <w:ind w:left="880" w:right="300" w:firstLine="816"/>
        <w:spacing w:after="0"/>
        <w:tabs>
          <w:tab w:leader="none" w:pos="2578" w:val="left"/>
        </w:tabs>
        <w:numPr>
          <w:ilvl w:val="0"/>
          <w:numId w:val="84"/>
        </w:numPr>
        <w:rPr>
          <w:rFonts w:ascii="Arial" w:cs="Arial" w:eastAsia="Arial" w:hAnsi="Arial"/>
          <w:sz w:val="22"/>
          <w:szCs w:val="22"/>
          <w:b w:val="1"/>
          <w:bCs w:val="1"/>
          <w:color w:val="auto"/>
        </w:rPr>
      </w:pPr>
      <w:r>
        <w:rPr>
          <w:rFonts w:ascii="Arial" w:cs="Arial" w:eastAsia="Arial" w:hAnsi="Arial"/>
          <w:sz w:val="22"/>
          <w:szCs w:val="22"/>
          <w:color w:val="auto"/>
        </w:rPr>
        <w:t>At the request of Novartis, Cerulean shall provide assistance in connection therewith, including by executing reasonably appropriate documents, access to Cerulean’s premises and employees, cooperating reasonably in discovery and joining as a party to the action if required.</w:t>
      </w:r>
    </w:p>
    <w:p>
      <w:pPr>
        <w:spacing w:after="0" w:line="132" w:lineRule="exact"/>
        <w:rPr>
          <w:rFonts w:ascii="Arial" w:cs="Arial" w:eastAsia="Arial" w:hAnsi="Arial"/>
          <w:sz w:val="22"/>
          <w:szCs w:val="22"/>
          <w:b w:val="1"/>
          <w:bCs w:val="1"/>
          <w:color w:val="auto"/>
        </w:rPr>
      </w:pPr>
    </w:p>
    <w:p>
      <w:pPr>
        <w:ind w:left="880" w:right="160" w:firstLine="816"/>
        <w:spacing w:after="0" w:line="297" w:lineRule="auto"/>
        <w:tabs>
          <w:tab w:leader="none" w:pos="2602" w:val="left"/>
        </w:tabs>
        <w:numPr>
          <w:ilvl w:val="0"/>
          <w:numId w:val="84"/>
        </w:numPr>
        <w:rPr>
          <w:rFonts w:ascii="Arial" w:cs="Arial" w:eastAsia="Arial" w:hAnsi="Arial"/>
          <w:sz w:val="19"/>
          <w:szCs w:val="19"/>
          <w:b w:val="1"/>
          <w:bCs w:val="1"/>
          <w:color w:val="auto"/>
        </w:rPr>
      </w:pPr>
      <w:r>
        <w:rPr>
          <w:rFonts w:ascii="Arial" w:cs="Arial" w:eastAsia="Arial" w:hAnsi="Arial"/>
          <w:sz w:val="19"/>
          <w:szCs w:val="19"/>
          <w:color w:val="auto"/>
        </w:rPr>
        <w:t>In connection with any such proceeding, Novartis shall not enter into any settlement admitting the invalidity of, or otherwise impairing Cerulean’s rights in, the Patent Rights included in the Exclusively Licensed Intellectual Property without the prior written consent of Cerulean, which will not be unreasonably withheld or delayed.</w:t>
      </w:r>
    </w:p>
    <w:p>
      <w:pPr>
        <w:spacing w:after="0" w:line="80" w:lineRule="exact"/>
        <w:rPr>
          <w:rFonts w:ascii="Arial" w:cs="Arial" w:eastAsia="Arial" w:hAnsi="Arial"/>
          <w:sz w:val="19"/>
          <w:szCs w:val="19"/>
          <w:b w:val="1"/>
          <w:bCs w:val="1"/>
          <w:color w:val="auto"/>
        </w:rPr>
      </w:pPr>
    </w:p>
    <w:p>
      <w:pPr>
        <w:ind w:left="880" w:right="140" w:firstLine="816"/>
        <w:spacing w:after="0" w:line="274" w:lineRule="auto"/>
        <w:tabs>
          <w:tab w:leader="none" w:pos="2578" w:val="left"/>
        </w:tabs>
        <w:numPr>
          <w:ilvl w:val="0"/>
          <w:numId w:val="84"/>
        </w:numPr>
        <w:rPr>
          <w:rFonts w:ascii="Arial" w:cs="Arial" w:eastAsia="Arial" w:hAnsi="Arial"/>
          <w:sz w:val="21"/>
          <w:szCs w:val="21"/>
          <w:b w:val="1"/>
          <w:bCs w:val="1"/>
          <w:color w:val="auto"/>
        </w:rPr>
      </w:pPr>
      <w:r>
        <w:rPr>
          <w:rFonts w:ascii="Arial" w:cs="Arial" w:eastAsia="Arial" w:hAnsi="Arial"/>
          <w:sz w:val="21"/>
          <w:szCs w:val="21"/>
          <w:color w:val="auto"/>
        </w:rPr>
        <w:t>Any recoveries resulting from such an action relating to a claim of Third Party Infringement shall be first applied against payment of each Party’s costs and expenses in connection therewith.</w:t>
      </w:r>
    </w:p>
    <w:p>
      <w:pPr>
        <w:spacing w:after="0" w:line="96" w:lineRule="exact"/>
        <w:rPr>
          <w:rFonts w:ascii="Arial" w:cs="Arial" w:eastAsia="Arial" w:hAnsi="Arial"/>
          <w:sz w:val="21"/>
          <w:szCs w:val="21"/>
          <w:b w:val="1"/>
          <w:bCs w:val="1"/>
          <w:color w:val="auto"/>
        </w:rPr>
      </w:pPr>
    </w:p>
    <w:p>
      <w:pPr>
        <w:ind w:left="1760" w:right="340" w:firstLine="746"/>
        <w:spacing w:after="0" w:line="251" w:lineRule="auto"/>
        <w:tabs>
          <w:tab w:leader="none" w:pos="3355" w:val="left"/>
        </w:tabs>
        <w:numPr>
          <w:ilvl w:val="1"/>
          <w:numId w:val="84"/>
        </w:numPr>
        <w:rPr>
          <w:rFonts w:ascii="Arial" w:cs="Arial" w:eastAsia="Arial" w:hAnsi="Arial"/>
          <w:sz w:val="22"/>
          <w:szCs w:val="22"/>
          <w:b w:val="1"/>
          <w:bCs w:val="1"/>
          <w:color w:val="auto"/>
        </w:rPr>
      </w:pPr>
      <w:r>
        <w:rPr>
          <w:rFonts w:ascii="Arial" w:cs="Arial" w:eastAsia="Arial" w:hAnsi="Arial"/>
          <w:sz w:val="22"/>
          <w:szCs w:val="22"/>
          <w:color w:val="auto"/>
        </w:rPr>
        <w:t>If Novartis brought such action and the action relates to an actual or potential Third Party Generic Equivalent product, [**].</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0" w:name="page91"/>
    <w:bookmarkEnd w:id="90"/>
    <w:p>
      <w:pPr>
        <w:ind w:left="9560"/>
        <w:spacing w:after="0"/>
        <w:rPr>
          <w:sz w:val="20"/>
          <w:szCs w:val="20"/>
          <w:color w:val="auto"/>
        </w:rPr>
      </w:pPr>
      <w:r>
        <w:rPr>
          <w:rFonts w:ascii="Arial" w:cs="Arial" w:eastAsia="Arial" w:hAnsi="Arial"/>
          <w:sz w:val="19"/>
          <w:szCs w:val="19"/>
          <w:color w:val="auto"/>
        </w:rPr>
        <w:t>EXECUTION COPY</w:t>
      </w:r>
    </w:p>
    <w:p>
      <w:pPr>
        <w:spacing w:after="0" w:line="268" w:lineRule="exact"/>
        <w:rPr>
          <w:sz w:val="20"/>
          <w:szCs w:val="20"/>
          <w:color w:val="auto"/>
        </w:rPr>
      </w:pPr>
    </w:p>
    <w:p>
      <w:pPr>
        <w:ind w:left="1760" w:right="280" w:firstLine="746"/>
        <w:spacing w:after="0" w:line="328" w:lineRule="auto"/>
        <w:tabs>
          <w:tab w:leader="none" w:pos="3415" w:val="left"/>
        </w:tabs>
        <w:numPr>
          <w:ilvl w:val="0"/>
          <w:numId w:val="85"/>
        </w:numPr>
        <w:rPr>
          <w:rFonts w:ascii="Arial" w:cs="Arial" w:eastAsia="Arial" w:hAnsi="Arial"/>
          <w:sz w:val="19"/>
          <w:szCs w:val="19"/>
          <w:b w:val="1"/>
          <w:bCs w:val="1"/>
          <w:color w:val="auto"/>
        </w:rPr>
      </w:pPr>
      <w:r>
        <w:rPr>
          <w:rFonts w:ascii="Arial" w:cs="Arial" w:eastAsia="Arial" w:hAnsi="Arial"/>
          <w:sz w:val="19"/>
          <w:szCs w:val="19"/>
          <w:color w:val="auto"/>
        </w:rPr>
        <w:t>If Novartis brought such action and the action relates to an actual or potential Third Party product directed to the Designated Target that is not an actual or potential Generic Equivalent, [**].</w:t>
      </w:r>
    </w:p>
    <w:p>
      <w:pPr>
        <w:spacing w:after="0" w:line="51" w:lineRule="exact"/>
        <w:rPr>
          <w:rFonts w:ascii="Arial" w:cs="Arial" w:eastAsia="Arial" w:hAnsi="Arial"/>
          <w:sz w:val="19"/>
          <w:szCs w:val="19"/>
          <w:b w:val="1"/>
          <w:bCs w:val="1"/>
          <w:color w:val="auto"/>
        </w:rPr>
      </w:pPr>
    </w:p>
    <w:p>
      <w:pPr>
        <w:ind w:left="3480" w:hanging="974"/>
        <w:spacing w:after="0"/>
        <w:tabs>
          <w:tab w:leader="none" w:pos="3480" w:val="left"/>
        </w:tabs>
        <w:numPr>
          <w:ilvl w:val="0"/>
          <w:numId w:val="85"/>
        </w:numPr>
        <w:rPr>
          <w:rFonts w:ascii="Arial" w:cs="Arial" w:eastAsia="Arial" w:hAnsi="Arial"/>
          <w:sz w:val="22"/>
          <w:szCs w:val="22"/>
          <w:b w:val="1"/>
          <w:bCs w:val="1"/>
          <w:color w:val="auto"/>
        </w:rPr>
      </w:pPr>
      <w:r>
        <w:rPr>
          <w:rFonts w:ascii="Arial" w:cs="Arial" w:eastAsia="Arial" w:hAnsi="Arial"/>
          <w:sz w:val="22"/>
          <w:szCs w:val="22"/>
          <w:color w:val="auto"/>
        </w:rPr>
        <w:t>If Cerulean brought such action, [**].</w:t>
      </w:r>
    </w:p>
    <w:p>
      <w:pPr>
        <w:spacing w:after="0" w:line="146" w:lineRule="exact"/>
        <w:rPr>
          <w:sz w:val="20"/>
          <w:szCs w:val="20"/>
          <w:color w:val="auto"/>
        </w:rPr>
      </w:pPr>
    </w:p>
    <w:p>
      <w:pPr>
        <w:ind w:right="60" w:firstLine="877"/>
        <w:spacing w:after="0" w:line="239" w:lineRule="auto"/>
        <w:rPr>
          <w:sz w:val="20"/>
          <w:szCs w:val="20"/>
          <w:color w:val="auto"/>
        </w:rPr>
      </w:pPr>
      <w:r>
        <w:rPr>
          <w:rFonts w:ascii="Arial" w:cs="Arial" w:eastAsia="Arial" w:hAnsi="Arial"/>
          <w:sz w:val="22"/>
          <w:szCs w:val="22"/>
          <w:b w:val="1"/>
          <w:bCs w:val="1"/>
          <w:color w:val="auto"/>
        </w:rPr>
        <w:t xml:space="preserve">3.3.3 Patent Infringement Without Commercial License Practice Notice. </w:t>
      </w:r>
      <w:r>
        <w:rPr>
          <w:rFonts w:ascii="Arial" w:cs="Arial" w:eastAsia="Arial" w:hAnsi="Arial"/>
          <w:sz w:val="22"/>
          <w:szCs w:val="22"/>
          <w:color w:val="auto"/>
        </w:rPr>
        <w:t>If Novartis has not delivered to</w:t>
      </w:r>
      <w:r>
        <w:rPr>
          <w:rFonts w:ascii="Arial" w:cs="Arial" w:eastAsia="Arial" w:hAnsi="Arial"/>
          <w:sz w:val="22"/>
          <w:szCs w:val="22"/>
          <w:b w:val="1"/>
          <w:bCs w:val="1"/>
          <w:color w:val="auto"/>
        </w:rPr>
        <w:t xml:space="preserve"> </w:t>
      </w:r>
      <w:r>
        <w:rPr>
          <w:rFonts w:ascii="Arial" w:cs="Arial" w:eastAsia="Arial" w:hAnsi="Arial"/>
          <w:sz w:val="22"/>
          <w:szCs w:val="22"/>
          <w:color w:val="auto"/>
        </w:rPr>
        <w:t>Cerulean (or is deemed pursuant to Section 3.2.2 to have delivered) a Commercial License Practice Notice by the end of the Contingent Development Term, then with respect to Patent Rights included in the Collaboration Intellectual Property, the following provisions shall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1388110</wp:posOffset>
            </wp:positionH>
            <wp:positionV relativeFrom="paragraph">
              <wp:posOffset>-184150</wp:posOffset>
            </wp:positionV>
            <wp:extent cx="3429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13" w:lineRule="exact"/>
        <w:rPr>
          <w:sz w:val="20"/>
          <w:szCs w:val="20"/>
          <w:color w:val="auto"/>
        </w:rPr>
      </w:pPr>
    </w:p>
    <w:p>
      <w:pPr>
        <w:ind w:left="880" w:right="100" w:firstLine="816"/>
        <w:spacing w:after="0" w:line="251" w:lineRule="auto"/>
        <w:tabs>
          <w:tab w:leader="none" w:pos="2590" w:val="left"/>
        </w:tabs>
        <w:numPr>
          <w:ilvl w:val="0"/>
          <w:numId w:val="86"/>
        </w:numPr>
        <w:rPr>
          <w:rFonts w:ascii="Arial" w:cs="Arial" w:eastAsia="Arial" w:hAnsi="Arial"/>
          <w:sz w:val="22"/>
          <w:szCs w:val="22"/>
          <w:b w:val="1"/>
          <w:bCs w:val="1"/>
          <w:color w:val="auto"/>
        </w:rPr>
      </w:pPr>
      <w:r>
        <w:rPr>
          <w:rFonts w:ascii="Arial" w:cs="Arial" w:eastAsia="Arial" w:hAnsi="Arial"/>
          <w:sz w:val="22"/>
          <w:szCs w:val="22"/>
          <w:color w:val="auto"/>
        </w:rPr>
        <w:t>each of the Parties shall have the right to enforce the relevant Collaboration Intellectual Property that is owned exclusively by it; and</w:t>
      </w:r>
    </w:p>
    <w:p>
      <w:pPr>
        <w:spacing w:after="0" w:line="119" w:lineRule="exact"/>
        <w:rPr>
          <w:rFonts w:ascii="Arial" w:cs="Arial" w:eastAsia="Arial" w:hAnsi="Arial"/>
          <w:sz w:val="22"/>
          <w:szCs w:val="22"/>
          <w:b w:val="1"/>
          <w:bCs w:val="1"/>
          <w:color w:val="auto"/>
        </w:rPr>
      </w:pPr>
    </w:p>
    <w:p>
      <w:pPr>
        <w:ind w:left="880" w:right="260" w:firstLine="816"/>
        <w:spacing w:after="0" w:line="274" w:lineRule="auto"/>
        <w:tabs>
          <w:tab w:leader="none" w:pos="2602" w:val="left"/>
        </w:tabs>
        <w:numPr>
          <w:ilvl w:val="0"/>
          <w:numId w:val="86"/>
        </w:numPr>
        <w:rPr>
          <w:rFonts w:ascii="Arial" w:cs="Arial" w:eastAsia="Arial" w:hAnsi="Arial"/>
          <w:sz w:val="21"/>
          <w:szCs w:val="21"/>
          <w:b w:val="1"/>
          <w:bCs w:val="1"/>
          <w:color w:val="auto"/>
        </w:rPr>
      </w:pPr>
      <w:r>
        <w:rPr>
          <w:rFonts w:ascii="Arial" w:cs="Arial" w:eastAsia="Arial" w:hAnsi="Arial"/>
          <w:sz w:val="21"/>
          <w:szCs w:val="21"/>
          <w:color w:val="auto"/>
        </w:rPr>
        <w:t>with respect to any relevant Joint Patent Rights, each Party will have the right to Practice and grant licenses to such Joint Patent Rights without the consent of or any accounting to the other Party.</w:t>
      </w:r>
    </w:p>
    <w:p>
      <w:pPr>
        <w:spacing w:after="0" w:line="91" w:lineRule="exact"/>
        <w:rPr>
          <w:sz w:val="20"/>
          <w:szCs w:val="20"/>
          <w:color w:val="auto"/>
        </w:rPr>
      </w:pPr>
    </w:p>
    <w:p>
      <w:pPr>
        <w:spacing w:after="0"/>
        <w:tabs>
          <w:tab w:leader="none" w:pos="1640" w:val="left"/>
        </w:tabs>
        <w:rPr>
          <w:sz w:val="20"/>
          <w:szCs w:val="20"/>
          <w:color w:val="auto"/>
        </w:rPr>
      </w:pPr>
      <w:r>
        <w:rPr>
          <w:rFonts w:ascii="Arial" w:cs="Arial" w:eastAsia="Arial" w:hAnsi="Arial"/>
          <w:sz w:val="22"/>
          <w:szCs w:val="22"/>
          <w:b w:val="1"/>
          <w:bCs w:val="1"/>
          <w:color w:val="auto"/>
        </w:rPr>
        <w:t>Section 3.4</w:t>
      </w:r>
      <w:r>
        <w:rPr>
          <w:sz w:val="20"/>
          <w:szCs w:val="20"/>
          <w:color w:val="auto"/>
        </w:rPr>
        <w:tab/>
      </w:r>
      <w:r>
        <w:rPr>
          <w:rFonts w:ascii="Arial" w:cs="Arial" w:eastAsia="Arial" w:hAnsi="Arial"/>
          <w:sz w:val="19"/>
          <w:szCs w:val="19"/>
          <w:b w:val="1"/>
          <w:bCs w:val="1"/>
          <w:color w:val="auto"/>
        </w:rPr>
        <w:t>Target Exclusivity.</w:t>
      </w:r>
    </w:p>
    <w:p>
      <w:pPr>
        <w:spacing w:after="0" w:line="158" w:lineRule="exact"/>
        <w:rPr>
          <w:sz w:val="20"/>
          <w:szCs w:val="20"/>
          <w:color w:val="auto"/>
        </w:rPr>
      </w:pPr>
    </w:p>
    <w:p>
      <w:pPr>
        <w:ind w:right="40" w:firstLine="877"/>
        <w:spacing w:after="0" w:line="248" w:lineRule="auto"/>
        <w:rPr>
          <w:sz w:val="20"/>
          <w:szCs w:val="20"/>
          <w:color w:val="auto"/>
        </w:rPr>
      </w:pPr>
      <w:r>
        <w:rPr>
          <w:rFonts w:ascii="Arial" w:cs="Arial" w:eastAsia="Arial" w:hAnsi="Arial"/>
          <w:sz w:val="21"/>
          <w:szCs w:val="21"/>
          <w:color w:val="auto"/>
        </w:rPr>
        <w:t xml:space="preserve">On a Designated Target-by-Designated Target basis and other than pursuant to this Agreement, during the Research Term and the Contingent Development Term (if any) and for so long as the Commercial License is in effect for such Program, Cerulean will not </w:t>
      </w:r>
      <w:r>
        <w:rPr>
          <w:rFonts w:ascii="Arial" w:cs="Arial" w:eastAsia="Arial" w:hAnsi="Arial"/>
          <w:sz w:val="21"/>
          <w:szCs w:val="21"/>
          <w:b w:val="1"/>
          <w:bCs w:val="1"/>
          <w:color w:val="auto"/>
        </w:rPr>
        <w:t>(i)</w:t>
      </w:r>
      <w:r>
        <w:rPr>
          <w:rFonts w:ascii="Arial" w:cs="Arial" w:eastAsia="Arial" w:hAnsi="Arial"/>
          <w:sz w:val="21"/>
          <w:szCs w:val="21"/>
          <w:color w:val="auto"/>
        </w:rPr>
        <w:t xml:space="preserve"> research or develop therapeutic, diagnostic, palliative, or prophylactic products directed to the relevant Designated Target, either by or for itself or in combination with a Third Party, or </w:t>
      </w:r>
      <w:r>
        <w:rPr>
          <w:rFonts w:ascii="Arial" w:cs="Arial" w:eastAsia="Arial" w:hAnsi="Arial"/>
          <w:sz w:val="21"/>
          <w:szCs w:val="21"/>
          <w:b w:val="1"/>
          <w:bCs w:val="1"/>
          <w:color w:val="auto"/>
        </w:rPr>
        <w:t>(ii)</w:t>
      </w:r>
      <w:r>
        <w:rPr>
          <w:rFonts w:ascii="Arial" w:cs="Arial" w:eastAsia="Arial" w:hAnsi="Arial"/>
          <w:sz w:val="21"/>
          <w:szCs w:val="21"/>
          <w:color w:val="auto"/>
        </w:rPr>
        <w:t xml:space="preserve"> grant any Third Party a license or right to practice the Cerulean Background Intellectual Property, Cerulean Sole Collaboration Intellectual Property, or its interest in Joint Collaboration Intellectual Property with respect to the relevant Designated Target.</w:t>
      </w:r>
    </w:p>
    <w:p>
      <w:pPr>
        <w:spacing w:after="0" w:line="117" w:lineRule="exact"/>
        <w:rPr>
          <w:sz w:val="20"/>
          <w:szCs w:val="20"/>
          <w:color w:val="auto"/>
        </w:rPr>
      </w:pPr>
    </w:p>
    <w:p>
      <w:pPr>
        <w:spacing w:after="0"/>
        <w:tabs>
          <w:tab w:leader="none" w:pos="1640" w:val="left"/>
        </w:tabs>
        <w:rPr>
          <w:sz w:val="20"/>
          <w:szCs w:val="20"/>
          <w:color w:val="auto"/>
        </w:rPr>
      </w:pPr>
      <w:r>
        <w:rPr>
          <w:rFonts w:ascii="Arial" w:cs="Arial" w:eastAsia="Arial" w:hAnsi="Arial"/>
          <w:sz w:val="22"/>
          <w:szCs w:val="22"/>
          <w:b w:val="1"/>
          <w:bCs w:val="1"/>
          <w:color w:val="auto"/>
        </w:rPr>
        <w:t>Section 3.5</w:t>
      </w:r>
      <w:r>
        <w:rPr>
          <w:sz w:val="20"/>
          <w:szCs w:val="20"/>
          <w:color w:val="auto"/>
        </w:rPr>
        <w:tab/>
      </w:r>
      <w:r>
        <w:rPr>
          <w:rFonts w:ascii="Arial" w:cs="Arial" w:eastAsia="Arial" w:hAnsi="Arial"/>
          <w:sz w:val="19"/>
          <w:szCs w:val="19"/>
          <w:b w:val="1"/>
          <w:bCs w:val="1"/>
          <w:color w:val="auto"/>
        </w:rPr>
        <w:t>No Implied Licenses.</w:t>
      </w:r>
    </w:p>
    <w:p>
      <w:pPr>
        <w:spacing w:after="0" w:line="158" w:lineRule="exact"/>
        <w:rPr>
          <w:sz w:val="20"/>
          <w:szCs w:val="20"/>
          <w:color w:val="auto"/>
        </w:rPr>
      </w:pPr>
    </w:p>
    <w:p>
      <w:pPr>
        <w:ind w:right="40" w:firstLine="877"/>
        <w:spacing w:after="0" w:line="251" w:lineRule="auto"/>
        <w:rPr>
          <w:sz w:val="20"/>
          <w:szCs w:val="20"/>
          <w:color w:val="auto"/>
        </w:rPr>
      </w:pPr>
      <w:r>
        <w:rPr>
          <w:rFonts w:ascii="Arial" w:cs="Arial" w:eastAsia="Arial" w:hAnsi="Arial"/>
          <w:sz w:val="22"/>
          <w:szCs w:val="22"/>
          <w:color w:val="auto"/>
        </w:rPr>
        <w:t>The licenses set forth in this Article III are limited in scope to those expressly set forth in this Agreement, and no implied license is intended to be created by this Agreement.</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DEVELOPMENT AND COMMERCIALIZATION</w:t>
      </w:r>
    </w:p>
    <w:p>
      <w:pPr>
        <w:spacing w:after="0" w:line="128" w:lineRule="exact"/>
        <w:rPr>
          <w:sz w:val="20"/>
          <w:szCs w:val="20"/>
          <w:color w:val="auto"/>
        </w:rPr>
      </w:pPr>
    </w:p>
    <w:p>
      <w:pPr>
        <w:spacing w:after="0"/>
        <w:tabs>
          <w:tab w:leader="none" w:pos="1640" w:val="left"/>
        </w:tabs>
        <w:rPr>
          <w:sz w:val="20"/>
          <w:szCs w:val="20"/>
          <w:color w:val="auto"/>
        </w:rPr>
      </w:pPr>
      <w:r>
        <w:rPr>
          <w:rFonts w:ascii="Arial" w:cs="Arial" w:eastAsia="Arial" w:hAnsi="Arial"/>
          <w:sz w:val="22"/>
          <w:szCs w:val="22"/>
          <w:b w:val="1"/>
          <w:bCs w:val="1"/>
          <w:color w:val="auto"/>
        </w:rPr>
        <w:t>Section 4.1</w:t>
      </w:r>
      <w:r>
        <w:rPr>
          <w:sz w:val="20"/>
          <w:szCs w:val="20"/>
          <w:color w:val="auto"/>
        </w:rPr>
        <w:tab/>
      </w:r>
      <w:r>
        <w:rPr>
          <w:rFonts w:ascii="Arial" w:cs="Arial" w:eastAsia="Arial" w:hAnsi="Arial"/>
          <w:sz w:val="19"/>
          <w:szCs w:val="19"/>
          <w:b w:val="1"/>
          <w:bCs w:val="1"/>
          <w:color w:val="auto"/>
        </w:rPr>
        <w:t>Development of Licensed Products.</w:t>
      </w:r>
    </w:p>
    <w:p>
      <w:pPr>
        <w:spacing w:after="0" w:line="152" w:lineRule="exact"/>
        <w:rPr>
          <w:sz w:val="20"/>
          <w:szCs w:val="20"/>
          <w:color w:val="auto"/>
        </w:rPr>
      </w:pPr>
    </w:p>
    <w:p>
      <w:pPr>
        <w:ind w:right="60" w:firstLine="877"/>
        <w:spacing w:after="0" w:line="280" w:lineRule="auto"/>
        <w:rPr>
          <w:sz w:val="20"/>
          <w:szCs w:val="20"/>
          <w:color w:val="auto"/>
        </w:rPr>
      </w:pPr>
      <w:r>
        <w:rPr>
          <w:rFonts w:ascii="Arial" w:cs="Arial" w:eastAsia="Arial" w:hAnsi="Arial"/>
          <w:sz w:val="19"/>
          <w:szCs w:val="19"/>
          <w:b w:val="1"/>
          <w:bCs w:val="1"/>
          <w:color w:val="auto"/>
        </w:rPr>
        <w:t xml:space="preserve">4.1.1. Development; Commercially Reasonable Efforts. </w:t>
      </w:r>
      <w:r>
        <w:rPr>
          <w:rFonts w:ascii="Arial" w:cs="Arial" w:eastAsia="Arial" w:hAnsi="Arial"/>
          <w:sz w:val="19"/>
          <w:szCs w:val="19"/>
          <w:color w:val="auto"/>
        </w:rPr>
        <w:t>Novartis will be responsible for conducting, at its sole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expense, such research and preclinical, clinical and other Development of any Licensed Products as it determines appropriate, in its sole discretion;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w:t>
      </w:r>
      <w:r>
        <w:rPr>
          <w:rFonts w:ascii="Arial" w:cs="Arial" w:eastAsia="Arial" w:hAnsi="Arial"/>
          <w:sz w:val="19"/>
          <w:szCs w:val="19"/>
          <w:b w:val="1"/>
          <w:bCs w:val="1"/>
          <w:color w:val="auto"/>
        </w:rPr>
        <w:t>(a)</w:t>
      </w:r>
      <w:r>
        <w:rPr>
          <w:rFonts w:ascii="Arial" w:cs="Arial" w:eastAsia="Arial" w:hAnsi="Arial"/>
          <w:sz w:val="19"/>
          <w:szCs w:val="19"/>
          <w:color w:val="auto"/>
        </w:rPr>
        <w:t xml:space="preserve"> Novartis may not conduct human clinical trials of a NDC Product without issuing (or being deemed to have issued pursuant to Section 3.2.2) the Commercial License Practice Notice obligating it to make the payments set forth in Section 5.3 with respect to the relevant Program; and </w:t>
      </w:r>
      <w:r>
        <w:rPr>
          <w:rFonts w:ascii="Arial" w:cs="Arial" w:eastAsia="Arial" w:hAnsi="Arial"/>
          <w:sz w:val="19"/>
          <w:szCs w:val="19"/>
          <w:b w:val="1"/>
          <w:bCs w:val="1"/>
          <w:color w:val="auto"/>
        </w:rPr>
        <w:t>(b)</w:t>
      </w:r>
      <w:r>
        <w:rPr>
          <w:rFonts w:ascii="Arial" w:cs="Arial" w:eastAsia="Arial" w:hAnsi="Arial"/>
          <w:sz w:val="19"/>
          <w:szCs w:val="19"/>
          <w:color w:val="auto"/>
        </w:rPr>
        <w:t xml:space="preserve"> if Novartis issues (or is deemed to have issued pursuant to Section 3.2.2) the Commercial License Practice Notice, then with respect to the relevant Program, Novartis will use</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1" w:name="page92"/>
    <w:bookmarkEnd w:id="91"/>
    <w:p>
      <w:pPr>
        <w:ind w:left="9560"/>
        <w:spacing w:after="0"/>
        <w:rPr>
          <w:sz w:val="20"/>
          <w:szCs w:val="20"/>
          <w:color w:val="auto"/>
        </w:rPr>
      </w:pPr>
      <w:r>
        <w:rPr>
          <w:rFonts w:ascii="Arial" w:cs="Arial" w:eastAsia="Arial" w:hAnsi="Arial"/>
          <w:sz w:val="19"/>
          <w:szCs w:val="19"/>
          <w:color w:val="auto"/>
        </w:rPr>
        <w:t>EXECUTION COPY</w:t>
      </w:r>
    </w:p>
    <w:p>
      <w:pPr>
        <w:spacing w:after="0" w:line="268"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Commercially Reasonable Efforts to research and Develop at least one Licensed Product directed to the Designated Target of such Program in, at least, the United States and Europe.</w:t>
      </w:r>
    </w:p>
    <w:p>
      <w:pPr>
        <w:spacing w:after="0" w:line="113"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2"/>
          <w:szCs w:val="22"/>
          <w:b w:val="1"/>
          <w:bCs w:val="1"/>
          <w:color w:val="auto"/>
        </w:rPr>
        <w:t>4.1.2</w:t>
      </w:r>
      <w:r>
        <w:rPr>
          <w:sz w:val="20"/>
          <w:szCs w:val="20"/>
          <w:color w:val="auto"/>
        </w:rPr>
        <w:tab/>
      </w:r>
      <w:r>
        <w:rPr>
          <w:rFonts w:ascii="Arial" w:cs="Arial" w:eastAsia="Arial" w:hAnsi="Arial"/>
          <w:sz w:val="19"/>
          <w:szCs w:val="19"/>
          <w:b w:val="1"/>
          <w:bCs w:val="1"/>
          <w:color w:val="auto"/>
        </w:rPr>
        <w:t>Regulatory.</w:t>
      </w:r>
    </w:p>
    <w:p>
      <w:pPr>
        <w:spacing w:after="0" w:line="158" w:lineRule="exact"/>
        <w:rPr>
          <w:sz w:val="20"/>
          <w:szCs w:val="20"/>
          <w:color w:val="auto"/>
        </w:rPr>
      </w:pPr>
    </w:p>
    <w:p>
      <w:pPr>
        <w:ind w:left="2600" w:hanging="904"/>
        <w:spacing w:after="0"/>
        <w:tabs>
          <w:tab w:leader="none" w:pos="2600" w:val="left"/>
        </w:tabs>
        <w:numPr>
          <w:ilvl w:val="0"/>
          <w:numId w:val="87"/>
        </w:numPr>
        <w:rPr>
          <w:rFonts w:ascii="Arial" w:cs="Arial" w:eastAsia="Arial" w:hAnsi="Arial"/>
          <w:sz w:val="22"/>
          <w:szCs w:val="22"/>
          <w:b w:val="1"/>
          <w:bCs w:val="1"/>
          <w:color w:val="auto"/>
        </w:rPr>
      </w:pPr>
      <w:r>
        <w:rPr>
          <w:rFonts w:ascii="Arial" w:cs="Arial" w:eastAsia="Arial" w:hAnsi="Arial"/>
          <w:sz w:val="22"/>
          <w:szCs w:val="22"/>
          <w:color w:val="auto"/>
        </w:rPr>
        <w:t>Novartis will</w:t>
      </w:r>
    </w:p>
    <w:p>
      <w:pPr>
        <w:spacing w:after="0" w:line="152" w:lineRule="exact"/>
        <w:rPr>
          <w:rFonts w:ascii="Arial" w:cs="Arial" w:eastAsia="Arial" w:hAnsi="Arial"/>
          <w:sz w:val="22"/>
          <w:szCs w:val="22"/>
          <w:b w:val="1"/>
          <w:bCs w:val="1"/>
          <w:color w:val="auto"/>
        </w:rPr>
      </w:pPr>
    </w:p>
    <w:p>
      <w:pPr>
        <w:ind w:left="3360" w:hanging="854"/>
        <w:spacing w:after="0"/>
        <w:tabs>
          <w:tab w:leader="none" w:pos="3360" w:val="left"/>
        </w:tabs>
        <w:numPr>
          <w:ilvl w:val="1"/>
          <w:numId w:val="87"/>
        </w:numPr>
        <w:rPr>
          <w:rFonts w:ascii="Arial" w:cs="Arial" w:eastAsia="Arial" w:hAnsi="Arial"/>
          <w:sz w:val="22"/>
          <w:szCs w:val="22"/>
          <w:b w:val="1"/>
          <w:bCs w:val="1"/>
          <w:color w:val="auto"/>
        </w:rPr>
      </w:pPr>
      <w:r>
        <w:rPr>
          <w:rFonts w:ascii="Arial" w:cs="Arial" w:eastAsia="Arial" w:hAnsi="Arial"/>
          <w:sz w:val="22"/>
          <w:szCs w:val="22"/>
          <w:color w:val="auto"/>
        </w:rPr>
        <w:t>determine the regulatory plans and strategies for any Licensed Products;</w:t>
      </w:r>
    </w:p>
    <w:p>
      <w:pPr>
        <w:spacing w:after="0" w:line="152" w:lineRule="exact"/>
        <w:rPr>
          <w:rFonts w:ascii="Arial" w:cs="Arial" w:eastAsia="Arial" w:hAnsi="Arial"/>
          <w:sz w:val="22"/>
          <w:szCs w:val="22"/>
          <w:b w:val="1"/>
          <w:bCs w:val="1"/>
          <w:color w:val="auto"/>
        </w:rPr>
      </w:pPr>
    </w:p>
    <w:p>
      <w:pPr>
        <w:ind w:left="1760" w:firstLine="746"/>
        <w:spacing w:after="0" w:line="251" w:lineRule="auto"/>
        <w:tabs>
          <w:tab w:leader="none" w:pos="3415" w:val="left"/>
        </w:tabs>
        <w:numPr>
          <w:ilvl w:val="1"/>
          <w:numId w:val="87"/>
        </w:numPr>
        <w:rPr>
          <w:rFonts w:ascii="Arial" w:cs="Arial" w:eastAsia="Arial" w:hAnsi="Arial"/>
          <w:sz w:val="22"/>
          <w:szCs w:val="22"/>
          <w:b w:val="1"/>
          <w:bCs w:val="1"/>
          <w:color w:val="auto"/>
        </w:rPr>
      </w:pPr>
      <w:r>
        <w:rPr>
          <w:rFonts w:ascii="Arial" w:cs="Arial" w:eastAsia="Arial" w:hAnsi="Arial"/>
          <w:sz w:val="22"/>
          <w:szCs w:val="22"/>
          <w:color w:val="auto"/>
        </w:rPr>
        <w:t>make all Regulatory Filings with respect to the Licensed Products, either itself or through its Affiliates or sublicensees; and</w:t>
      </w:r>
    </w:p>
    <w:p>
      <w:pPr>
        <w:spacing w:after="0" w:line="119" w:lineRule="exact"/>
        <w:rPr>
          <w:rFonts w:ascii="Arial" w:cs="Arial" w:eastAsia="Arial" w:hAnsi="Arial"/>
          <w:sz w:val="22"/>
          <w:szCs w:val="22"/>
          <w:b w:val="1"/>
          <w:bCs w:val="1"/>
          <w:color w:val="auto"/>
        </w:rPr>
      </w:pPr>
    </w:p>
    <w:p>
      <w:pPr>
        <w:ind w:left="1760" w:firstLine="746"/>
        <w:spacing w:after="0" w:line="251" w:lineRule="auto"/>
        <w:tabs>
          <w:tab w:leader="none" w:pos="3475" w:val="left"/>
        </w:tabs>
        <w:numPr>
          <w:ilvl w:val="1"/>
          <w:numId w:val="87"/>
        </w:numPr>
        <w:rPr>
          <w:rFonts w:ascii="Arial" w:cs="Arial" w:eastAsia="Arial" w:hAnsi="Arial"/>
          <w:sz w:val="22"/>
          <w:szCs w:val="22"/>
          <w:b w:val="1"/>
          <w:bCs w:val="1"/>
          <w:color w:val="auto"/>
        </w:rPr>
      </w:pPr>
      <w:r>
        <w:rPr>
          <w:rFonts w:ascii="Arial" w:cs="Arial" w:eastAsia="Arial" w:hAnsi="Arial"/>
          <w:sz w:val="22"/>
          <w:szCs w:val="22"/>
          <w:color w:val="auto"/>
        </w:rPr>
        <w:t>be responsible for obtaining and maintaining Regulatory Approvals throughout the world in the name of Novartis or its Affiliates or sublicensees.</w:t>
      </w:r>
    </w:p>
    <w:p>
      <w:pPr>
        <w:spacing w:after="0" w:line="119" w:lineRule="exact"/>
        <w:rPr>
          <w:rFonts w:ascii="Arial" w:cs="Arial" w:eastAsia="Arial" w:hAnsi="Arial"/>
          <w:sz w:val="22"/>
          <w:szCs w:val="22"/>
          <w:b w:val="1"/>
          <w:bCs w:val="1"/>
          <w:color w:val="auto"/>
        </w:rPr>
      </w:pPr>
    </w:p>
    <w:p>
      <w:pPr>
        <w:ind w:left="880" w:firstLine="816"/>
        <w:spacing w:after="0" w:line="271" w:lineRule="auto"/>
        <w:tabs>
          <w:tab w:leader="none" w:pos="2602" w:val="left"/>
        </w:tabs>
        <w:numPr>
          <w:ilvl w:val="0"/>
          <w:numId w:val="87"/>
        </w:numPr>
        <w:rPr>
          <w:rFonts w:ascii="Arial" w:cs="Arial" w:eastAsia="Arial" w:hAnsi="Arial"/>
          <w:sz w:val="19"/>
          <w:szCs w:val="19"/>
          <w:b w:val="1"/>
          <w:bCs w:val="1"/>
          <w:color w:val="auto"/>
        </w:rPr>
      </w:pPr>
      <w:r>
        <w:rPr>
          <w:rFonts w:ascii="Arial" w:cs="Arial" w:eastAsia="Arial" w:hAnsi="Arial"/>
          <w:sz w:val="19"/>
          <w:szCs w:val="19"/>
          <w:color w:val="auto"/>
        </w:rPr>
        <w:t xml:space="preserve">Cerulean will reasonably cooperate with and provide assistance to Novartis in connection with filings to any Regulatory Authority relating to the Licensed Products, including by executing any required documents, providing access to personnel, and providing Novartis with copies of all reasonably required documentation, and will cause its vendors and service providers to transfer any such filings that are in their control. To cooperate and assist pursuant to this Section, Cerulean will provide, at its expense, up to [**] hours of working time by Cerulean employees; Novartis will bear all reasonable costs and expenses associated with any additional hours required from Cerulean employees hereunder, as well as any reasonable costs associated with cooperation or assistance required from Cerulean’s vendors or service providers. Cerulean will have the right to attend CMC-specific meetings with Regulatory Authorities,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this will not prevent the attendance of required Novartis personnel, as determined by Novartis, due to limitations on the number of attendees imposed by such Regulatory Authorities, and to provide comments (which will be reasonably considered by Novartis) on Regulatory Filings and other communications with Regulatory Authorities that are directly related to the Cerulean platform as implemented in a Licensed Product; and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any such activities conducted at Cerulean’s election (and not at Novartis’ request) shall be at Cerulean’s own cost and expense (and will not be counted toward the [**] hours of assistance described above). Novartis will share any guidance received from Regulatory Authorities that specifically relates to the Cerulean platform. Any information arising from such activities will be deemed to be the Proprietary Information of Novartis.</w:t>
      </w:r>
    </w:p>
    <w:p>
      <w:pPr>
        <w:spacing w:after="0" w:line="350" w:lineRule="exact"/>
        <w:rPr>
          <w:rFonts w:ascii="Arial" w:cs="Arial" w:eastAsia="Arial" w:hAnsi="Arial"/>
          <w:sz w:val="19"/>
          <w:szCs w:val="19"/>
          <w:b w:val="1"/>
          <w:bCs w:val="1"/>
          <w:color w:val="auto"/>
        </w:rPr>
      </w:pPr>
    </w:p>
    <w:p>
      <w:pPr>
        <w:ind w:left="880" w:right="360" w:firstLine="816"/>
        <w:spacing w:after="0"/>
        <w:tabs>
          <w:tab w:leader="none" w:pos="2578" w:val="left"/>
        </w:tabs>
        <w:numPr>
          <w:ilvl w:val="0"/>
          <w:numId w:val="87"/>
        </w:numPr>
        <w:rPr>
          <w:rFonts w:ascii="Arial" w:cs="Arial" w:eastAsia="Arial" w:hAnsi="Arial"/>
          <w:sz w:val="22"/>
          <w:szCs w:val="22"/>
          <w:b w:val="1"/>
          <w:bCs w:val="1"/>
          <w:color w:val="auto"/>
        </w:rPr>
      </w:pPr>
      <w:r>
        <w:rPr>
          <w:rFonts w:ascii="Arial" w:cs="Arial" w:eastAsia="Arial" w:hAnsi="Arial"/>
          <w:sz w:val="22"/>
          <w:szCs w:val="22"/>
          <w:color w:val="auto"/>
        </w:rPr>
        <w:t>To the extent necessary, Cerulean will grant or cause to be granted to Novartis and its Affiliates or sublicensees cross-reference rights to any relevant drug master files and other filings submitted by Cerulean or its Affiliates with any Regulatory Authority.</w:t>
      </w:r>
    </w:p>
    <w:p>
      <w:pPr>
        <w:spacing w:after="0" w:line="132" w:lineRule="exact"/>
        <w:rPr>
          <w:rFonts w:ascii="Arial" w:cs="Arial" w:eastAsia="Arial" w:hAnsi="Arial"/>
          <w:sz w:val="22"/>
          <w:szCs w:val="22"/>
          <w:b w:val="1"/>
          <w:bCs w:val="1"/>
          <w:color w:val="auto"/>
        </w:rPr>
      </w:pPr>
    </w:p>
    <w:p>
      <w:pPr>
        <w:ind w:left="880" w:right="620" w:firstLine="816"/>
        <w:spacing w:after="0" w:line="251" w:lineRule="auto"/>
        <w:tabs>
          <w:tab w:leader="none" w:pos="2602" w:val="left"/>
        </w:tabs>
        <w:numPr>
          <w:ilvl w:val="0"/>
          <w:numId w:val="87"/>
        </w:numPr>
        <w:rPr>
          <w:rFonts w:ascii="Arial" w:cs="Arial" w:eastAsia="Arial" w:hAnsi="Arial"/>
          <w:sz w:val="22"/>
          <w:szCs w:val="22"/>
          <w:b w:val="1"/>
          <w:bCs w:val="1"/>
          <w:color w:val="auto"/>
        </w:rPr>
      </w:pPr>
      <w:r>
        <w:rPr>
          <w:rFonts w:ascii="Arial" w:cs="Arial" w:eastAsia="Arial" w:hAnsi="Arial"/>
          <w:sz w:val="22"/>
          <w:szCs w:val="22"/>
          <w:color w:val="auto"/>
        </w:rPr>
        <w:t>Novartis will have the right to disclose the existence of, and the results from, any clinical trials conducted under this Agreement in accordance with its standard policies.</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2" w:name="page93"/>
    <w:bookmarkEnd w:id="92"/>
    <w:p>
      <w:pPr>
        <w:ind w:left="9560"/>
        <w:spacing w:after="0"/>
        <w:rPr>
          <w:sz w:val="20"/>
          <w:szCs w:val="20"/>
          <w:color w:val="auto"/>
        </w:rPr>
      </w:pPr>
      <w:r>
        <w:rPr>
          <w:rFonts w:ascii="Arial" w:cs="Arial" w:eastAsia="Arial" w:hAnsi="Arial"/>
          <w:sz w:val="19"/>
          <w:szCs w:val="19"/>
          <w:color w:val="auto"/>
        </w:rPr>
        <w:t>EXECUTION COPY</w:t>
      </w:r>
    </w:p>
    <w:p>
      <w:pPr>
        <w:spacing w:after="0" w:line="268" w:lineRule="exact"/>
        <w:rPr>
          <w:sz w:val="20"/>
          <w:szCs w:val="20"/>
          <w:color w:val="auto"/>
        </w:rPr>
      </w:pPr>
    </w:p>
    <w:p>
      <w:pPr>
        <w:ind w:left="880" w:right="80" w:firstLine="816"/>
        <w:spacing w:after="0"/>
        <w:tabs>
          <w:tab w:leader="none" w:pos="2578" w:val="left"/>
        </w:tabs>
        <w:numPr>
          <w:ilvl w:val="0"/>
          <w:numId w:val="88"/>
        </w:numPr>
        <w:rPr>
          <w:rFonts w:ascii="Arial" w:cs="Arial" w:eastAsia="Arial" w:hAnsi="Arial"/>
          <w:sz w:val="22"/>
          <w:szCs w:val="22"/>
          <w:b w:val="1"/>
          <w:bCs w:val="1"/>
          <w:color w:val="auto"/>
        </w:rPr>
      </w:pPr>
      <w:r>
        <w:rPr>
          <w:rFonts w:ascii="Arial" w:cs="Arial" w:eastAsia="Arial" w:hAnsi="Arial"/>
          <w:sz w:val="22"/>
          <w:szCs w:val="22"/>
          <w:color w:val="auto"/>
        </w:rPr>
        <w:t>When and as deemed necessary or appropriate by Novartis, the Parties will enter into a commercially reasonable pharmacovigilance agreement with respect to any Licensed Product being Developed by Novartis or its Affiliates.</w:t>
      </w:r>
    </w:p>
    <w:p>
      <w:pPr>
        <w:spacing w:after="0" w:line="126"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2"/>
          <w:szCs w:val="22"/>
          <w:b w:val="1"/>
          <w:bCs w:val="1"/>
          <w:color w:val="auto"/>
        </w:rPr>
        <w:t>4.1.3</w:t>
      </w:r>
      <w:r>
        <w:rPr>
          <w:sz w:val="20"/>
          <w:szCs w:val="20"/>
          <w:color w:val="auto"/>
        </w:rPr>
        <w:tab/>
      </w:r>
      <w:r>
        <w:rPr>
          <w:rFonts w:ascii="Arial" w:cs="Arial" w:eastAsia="Arial" w:hAnsi="Arial"/>
          <w:sz w:val="19"/>
          <w:szCs w:val="19"/>
          <w:b w:val="1"/>
          <w:bCs w:val="1"/>
          <w:color w:val="auto"/>
        </w:rPr>
        <w:t xml:space="preserve">Compliance. </w:t>
      </w:r>
      <w:r>
        <w:rPr>
          <w:rFonts w:ascii="Arial" w:cs="Arial" w:eastAsia="Arial" w:hAnsi="Arial"/>
          <w:sz w:val="19"/>
          <w:szCs w:val="19"/>
          <w:color w:val="auto"/>
        </w:rPr>
        <w:t>In connection with any activities related to an NDC Product or a Licensed Product, each Party</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will</w:t>
      </w:r>
    </w:p>
    <w:p>
      <w:pPr>
        <w:spacing w:after="0" w:line="134" w:lineRule="exact"/>
        <w:rPr>
          <w:sz w:val="20"/>
          <w:szCs w:val="20"/>
          <w:color w:val="auto"/>
        </w:rPr>
      </w:pPr>
    </w:p>
    <w:p>
      <w:pPr>
        <w:ind w:left="880" w:right="60" w:firstLine="1451"/>
        <w:spacing w:after="0" w:line="251" w:lineRule="auto"/>
        <w:tabs>
          <w:tab w:leader="none" w:pos="3294" w:val="left"/>
        </w:tabs>
        <w:numPr>
          <w:ilvl w:val="0"/>
          <w:numId w:val="89"/>
        </w:numPr>
        <w:rPr>
          <w:rFonts w:ascii="Arial" w:cs="Arial" w:eastAsia="Arial" w:hAnsi="Arial"/>
          <w:sz w:val="22"/>
          <w:szCs w:val="22"/>
          <w:b w:val="1"/>
          <w:bCs w:val="1"/>
          <w:color w:val="auto"/>
        </w:rPr>
      </w:pPr>
      <w:r>
        <w:rPr>
          <w:rFonts w:ascii="Arial" w:cs="Arial" w:eastAsia="Arial" w:hAnsi="Arial"/>
          <w:sz w:val="22"/>
          <w:szCs w:val="22"/>
          <w:color w:val="auto"/>
        </w:rPr>
        <w:t>comply with all applicable current international regulatory standards, including cGMP, cGLP, cGCP and other rules, regulations and requirements; and</w:t>
      </w:r>
    </w:p>
    <w:p>
      <w:pPr>
        <w:spacing w:after="0" w:line="119" w:lineRule="exact"/>
        <w:rPr>
          <w:rFonts w:ascii="Arial" w:cs="Arial" w:eastAsia="Arial" w:hAnsi="Arial"/>
          <w:sz w:val="22"/>
          <w:szCs w:val="22"/>
          <w:b w:val="1"/>
          <w:bCs w:val="1"/>
          <w:color w:val="auto"/>
        </w:rPr>
      </w:pPr>
    </w:p>
    <w:p>
      <w:pPr>
        <w:ind w:left="880" w:right="360" w:firstLine="1451"/>
        <w:spacing w:after="0" w:line="251" w:lineRule="auto"/>
        <w:tabs>
          <w:tab w:leader="none" w:pos="3252" w:val="left"/>
        </w:tabs>
        <w:numPr>
          <w:ilvl w:val="0"/>
          <w:numId w:val="89"/>
        </w:numPr>
        <w:rPr>
          <w:rFonts w:ascii="Arial" w:cs="Arial" w:eastAsia="Arial" w:hAnsi="Arial"/>
          <w:sz w:val="22"/>
          <w:szCs w:val="22"/>
          <w:b w:val="1"/>
          <w:bCs w:val="1"/>
          <w:color w:val="auto"/>
        </w:rPr>
      </w:pPr>
      <w:r>
        <w:rPr>
          <w:rFonts w:ascii="Arial" w:cs="Arial" w:eastAsia="Arial" w:hAnsi="Arial"/>
          <w:sz w:val="22"/>
          <w:szCs w:val="22"/>
          <w:color w:val="auto"/>
        </w:rPr>
        <w:t>not employ or use any person that has been debarred under Section 306(a) or 306(b) of the U.S. Federal Food, Drug and Cosmetic Act.</w:t>
      </w:r>
    </w:p>
    <w:p>
      <w:pPr>
        <w:spacing w:after="0" w:line="113" w:lineRule="exact"/>
        <w:rPr>
          <w:sz w:val="20"/>
          <w:szCs w:val="20"/>
          <w:color w:val="auto"/>
        </w:rPr>
      </w:pPr>
    </w:p>
    <w:p>
      <w:pPr>
        <w:spacing w:after="0"/>
        <w:tabs>
          <w:tab w:leader="none" w:pos="1640" w:val="left"/>
        </w:tabs>
        <w:rPr>
          <w:sz w:val="20"/>
          <w:szCs w:val="20"/>
          <w:color w:val="auto"/>
        </w:rPr>
      </w:pPr>
      <w:r>
        <w:rPr>
          <w:rFonts w:ascii="Arial" w:cs="Arial" w:eastAsia="Arial" w:hAnsi="Arial"/>
          <w:sz w:val="22"/>
          <w:szCs w:val="22"/>
          <w:b w:val="1"/>
          <w:bCs w:val="1"/>
          <w:color w:val="auto"/>
        </w:rPr>
        <w:t>Section 4.2</w:t>
      </w:r>
      <w:r>
        <w:rPr>
          <w:sz w:val="20"/>
          <w:szCs w:val="20"/>
          <w:color w:val="auto"/>
        </w:rPr>
        <w:tab/>
      </w:r>
      <w:r>
        <w:rPr>
          <w:rFonts w:ascii="Arial" w:cs="Arial" w:eastAsia="Arial" w:hAnsi="Arial"/>
          <w:sz w:val="19"/>
          <w:szCs w:val="19"/>
          <w:b w:val="1"/>
          <w:bCs w:val="1"/>
          <w:color w:val="auto"/>
        </w:rPr>
        <w:t>Manufacturing and Commercialization.</w:t>
      </w:r>
    </w:p>
    <w:p>
      <w:pPr>
        <w:spacing w:after="0" w:line="152" w:lineRule="exact"/>
        <w:rPr>
          <w:sz w:val="20"/>
          <w:szCs w:val="20"/>
          <w:color w:val="auto"/>
        </w:rPr>
      </w:pPr>
    </w:p>
    <w:p>
      <w:pPr>
        <w:ind w:right="140" w:firstLine="877"/>
        <w:spacing w:after="0" w:line="243" w:lineRule="auto"/>
        <w:rPr>
          <w:sz w:val="20"/>
          <w:szCs w:val="20"/>
          <w:color w:val="auto"/>
        </w:rPr>
      </w:pPr>
      <w:r>
        <w:rPr>
          <w:rFonts w:ascii="Arial" w:cs="Arial" w:eastAsia="Arial" w:hAnsi="Arial"/>
          <w:sz w:val="22"/>
          <w:szCs w:val="22"/>
          <w:b w:val="1"/>
          <w:bCs w:val="1"/>
          <w:color w:val="auto"/>
        </w:rPr>
        <w:t xml:space="preserve">4.2.1 Manufacturing. </w:t>
      </w:r>
      <w:r>
        <w:rPr>
          <w:rFonts w:ascii="Arial" w:cs="Arial" w:eastAsia="Arial" w:hAnsi="Arial"/>
          <w:sz w:val="22"/>
          <w:szCs w:val="22"/>
          <w:color w:val="auto"/>
        </w:rPr>
        <w:t>Novartis, its Affiliates, its or their designated sublicensees, or their Third Party service</w:t>
      </w:r>
      <w:r>
        <w:rPr>
          <w:rFonts w:ascii="Arial" w:cs="Arial" w:eastAsia="Arial" w:hAnsi="Arial"/>
          <w:sz w:val="22"/>
          <w:szCs w:val="22"/>
          <w:b w:val="1"/>
          <w:bCs w:val="1"/>
          <w:color w:val="auto"/>
        </w:rPr>
        <w:t xml:space="preserve"> </w:t>
      </w:r>
      <w:r>
        <w:rPr>
          <w:rFonts w:ascii="Arial" w:cs="Arial" w:eastAsia="Arial" w:hAnsi="Arial"/>
          <w:sz w:val="22"/>
          <w:szCs w:val="22"/>
          <w:color w:val="auto"/>
        </w:rPr>
        <w:t>providers will be solely responsible for the manufacture and supply of the Licensed Products being Developed or Commercialized under this Agreement.</w:t>
      </w:r>
    </w:p>
    <w:p>
      <w:pPr>
        <w:spacing w:after="0" w:line="123" w:lineRule="exact"/>
        <w:rPr>
          <w:sz w:val="20"/>
          <w:szCs w:val="20"/>
          <w:color w:val="auto"/>
        </w:rPr>
      </w:pPr>
    </w:p>
    <w:p>
      <w:pPr>
        <w:ind w:right="20" w:firstLine="877"/>
        <w:spacing w:after="0" w:line="269" w:lineRule="auto"/>
        <w:rPr>
          <w:sz w:val="20"/>
          <w:szCs w:val="20"/>
          <w:color w:val="auto"/>
        </w:rPr>
      </w:pPr>
      <w:r>
        <w:rPr>
          <w:rFonts w:ascii="Arial" w:cs="Arial" w:eastAsia="Arial" w:hAnsi="Arial"/>
          <w:sz w:val="19"/>
          <w:szCs w:val="19"/>
          <w:b w:val="1"/>
          <w:bCs w:val="1"/>
          <w:color w:val="auto"/>
        </w:rPr>
        <w:t xml:space="preserve">4.2.2 Commercialization. </w:t>
      </w:r>
      <w:r>
        <w:rPr>
          <w:rFonts w:ascii="Arial" w:cs="Arial" w:eastAsia="Arial" w:hAnsi="Arial"/>
          <w:sz w:val="19"/>
          <w:szCs w:val="19"/>
          <w:color w:val="auto"/>
        </w:rPr>
        <w:t>Novartis will be solely responsible for all aspects of Commercialization of the</w:t>
      </w:r>
      <w:r>
        <w:rPr>
          <w:rFonts w:ascii="Arial" w:cs="Arial" w:eastAsia="Arial" w:hAnsi="Arial"/>
          <w:sz w:val="19"/>
          <w:szCs w:val="19"/>
          <w:b w:val="1"/>
          <w:bCs w:val="1"/>
          <w:color w:val="auto"/>
        </w:rPr>
        <w:t xml:space="preserve"> </w:t>
      </w:r>
      <w:r>
        <w:rPr>
          <w:rFonts w:ascii="Arial" w:cs="Arial" w:eastAsia="Arial" w:hAnsi="Arial"/>
          <w:sz w:val="19"/>
          <w:szCs w:val="19"/>
          <w:color w:val="auto"/>
        </w:rPr>
        <w:t>Licensed Product, including planning and implementation, distribution, booking of sales, pricing, and reimbursement and will use Commercially Reasonable Efforts with respect to all aspects of its Commercialization of Licensed Product. If Novartis issues (or is deemed to have issued pursuant to Section 3.2.2) a Commercial License Practice Notice with respect to a Program, Novartis will use Commercially Reasonable Efforts to Commercialize at least one Licensed Product directed to the relevant Designated Target of such Program in, at least, the United States and Europe. Novartis shall have the right to brand the Licensed Product using Novartis related trademarks and any other trademarks and trade names it determines appropriate for the Licensed Product, which may vary by jurisdiction or within a jurisdiction, and (as may be required by Regulatory Authorities) will accurately and appropriately use Cerulean’s name, trademarks and trade names, as may be relevant in the product labels or inserts for such Licensed</w:t>
      </w:r>
    </w:p>
    <w:p>
      <w:pPr>
        <w:spacing w:after="0" w:line="8" w:lineRule="exact"/>
        <w:rPr>
          <w:sz w:val="20"/>
          <w:szCs w:val="20"/>
          <w:color w:val="auto"/>
        </w:rPr>
      </w:pPr>
    </w:p>
    <w:p>
      <w:pPr>
        <w:ind w:right="980"/>
        <w:spacing w:after="0" w:line="237" w:lineRule="auto"/>
        <w:rPr>
          <w:sz w:val="20"/>
          <w:szCs w:val="20"/>
          <w:color w:val="auto"/>
        </w:rPr>
      </w:pPr>
      <w:r>
        <w:rPr>
          <w:rFonts w:ascii="Arial" w:cs="Arial" w:eastAsia="Arial" w:hAnsi="Arial"/>
          <w:sz w:val="22"/>
          <w:szCs w:val="22"/>
          <w:color w:val="auto"/>
        </w:rPr>
        <w:t>Product. Novartis shall own all rights in such marks and register and maintain such marks in the countries and regions it determines reasonably necessary.</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FINANCIAL PROVISIONS</w:t>
      </w:r>
    </w:p>
    <w:p>
      <w:pPr>
        <w:spacing w:after="0" w:line="128" w:lineRule="exact"/>
        <w:rPr>
          <w:sz w:val="20"/>
          <w:szCs w:val="20"/>
          <w:color w:val="auto"/>
        </w:rPr>
      </w:pPr>
    </w:p>
    <w:p>
      <w:pPr>
        <w:spacing w:after="0"/>
        <w:tabs>
          <w:tab w:leader="none" w:pos="1640" w:val="left"/>
        </w:tabs>
        <w:rPr>
          <w:sz w:val="20"/>
          <w:szCs w:val="20"/>
          <w:color w:val="auto"/>
        </w:rPr>
      </w:pPr>
      <w:r>
        <w:rPr>
          <w:rFonts w:ascii="Arial" w:cs="Arial" w:eastAsia="Arial" w:hAnsi="Arial"/>
          <w:sz w:val="22"/>
          <w:szCs w:val="22"/>
          <w:b w:val="1"/>
          <w:bCs w:val="1"/>
          <w:color w:val="auto"/>
        </w:rPr>
        <w:t>Section 5.1</w:t>
      </w:r>
      <w:r>
        <w:rPr>
          <w:sz w:val="20"/>
          <w:szCs w:val="20"/>
          <w:color w:val="auto"/>
        </w:rPr>
        <w:tab/>
      </w:r>
      <w:r>
        <w:rPr>
          <w:rFonts w:ascii="Arial" w:cs="Arial" w:eastAsia="Arial" w:hAnsi="Arial"/>
          <w:sz w:val="19"/>
          <w:szCs w:val="19"/>
          <w:b w:val="1"/>
          <w:bCs w:val="1"/>
          <w:color w:val="auto"/>
        </w:rPr>
        <w:t>Upfront; Annual Maintenance Fee; Fee for Commercial Rights.</w:t>
      </w:r>
    </w:p>
    <w:p>
      <w:pPr>
        <w:spacing w:after="0" w:line="152" w:lineRule="exact"/>
        <w:rPr>
          <w:sz w:val="20"/>
          <w:szCs w:val="20"/>
          <w:color w:val="auto"/>
        </w:rPr>
      </w:pPr>
    </w:p>
    <w:p>
      <w:pPr>
        <w:ind w:right="80" w:firstLine="877"/>
        <w:spacing w:after="0" w:line="256" w:lineRule="auto"/>
        <w:rPr>
          <w:sz w:val="20"/>
          <w:szCs w:val="20"/>
          <w:color w:val="auto"/>
        </w:rPr>
      </w:pPr>
      <w:r>
        <w:rPr>
          <w:rFonts w:ascii="Arial" w:cs="Arial" w:eastAsia="Arial" w:hAnsi="Arial"/>
          <w:sz w:val="22"/>
          <w:szCs w:val="22"/>
          <w:b w:val="1"/>
          <w:bCs w:val="1"/>
          <w:color w:val="auto"/>
        </w:rPr>
        <w:t xml:space="preserve">5.1.1 Upfront. </w:t>
      </w:r>
      <w:r>
        <w:rPr>
          <w:rFonts w:ascii="Arial" w:cs="Arial" w:eastAsia="Arial" w:hAnsi="Arial"/>
          <w:sz w:val="22"/>
          <w:szCs w:val="22"/>
          <w:color w:val="auto"/>
        </w:rPr>
        <w:t>Novartis will make a payment of USD$5,000,000 within [**] days of receipt of an Invoice for the</w:t>
      </w:r>
      <w:r>
        <w:rPr>
          <w:rFonts w:ascii="Arial" w:cs="Arial" w:eastAsia="Arial" w:hAnsi="Arial"/>
          <w:sz w:val="22"/>
          <w:szCs w:val="22"/>
          <w:b w:val="1"/>
          <w:bCs w:val="1"/>
          <w:color w:val="auto"/>
        </w:rPr>
        <w:t xml:space="preserve"> </w:t>
      </w:r>
      <w:r>
        <w:rPr>
          <w:rFonts w:ascii="Arial" w:cs="Arial" w:eastAsia="Arial" w:hAnsi="Arial"/>
          <w:sz w:val="22"/>
          <w:szCs w:val="22"/>
          <w:color w:val="auto"/>
        </w:rPr>
        <w:t>same, which will be issued upon the Effective Date.</w:t>
      </w:r>
    </w:p>
    <w:p>
      <w:pPr>
        <w:spacing w:after="0" w:line="109" w:lineRule="exact"/>
        <w:rPr>
          <w:sz w:val="20"/>
          <w:szCs w:val="20"/>
          <w:color w:val="auto"/>
        </w:rPr>
      </w:pPr>
    </w:p>
    <w:p>
      <w:pPr>
        <w:ind w:right="20" w:firstLine="877"/>
        <w:spacing w:after="0" w:line="254" w:lineRule="auto"/>
        <w:rPr>
          <w:sz w:val="20"/>
          <w:szCs w:val="20"/>
          <w:color w:val="auto"/>
        </w:rPr>
      </w:pPr>
      <w:r>
        <w:rPr>
          <w:rFonts w:ascii="Arial" w:cs="Arial" w:eastAsia="Arial" w:hAnsi="Arial"/>
          <w:sz w:val="21"/>
          <w:szCs w:val="21"/>
          <w:b w:val="1"/>
          <w:bCs w:val="1"/>
          <w:color w:val="auto"/>
        </w:rPr>
        <w:t xml:space="preserve">5.1.2 Annual Maintenance Fee. </w:t>
      </w:r>
      <w:r>
        <w:rPr>
          <w:rFonts w:ascii="Arial" w:cs="Arial" w:eastAsia="Arial" w:hAnsi="Arial"/>
          <w:sz w:val="21"/>
          <w:szCs w:val="21"/>
          <w:color w:val="auto"/>
        </w:rPr>
        <w:t>On a Program-by-Program basis, and commencing on the expiry of the relevant</w:t>
      </w:r>
      <w:r>
        <w:rPr>
          <w:rFonts w:ascii="Arial" w:cs="Arial" w:eastAsia="Arial" w:hAnsi="Arial"/>
          <w:sz w:val="21"/>
          <w:szCs w:val="21"/>
          <w:b w:val="1"/>
          <w:bCs w:val="1"/>
          <w:color w:val="auto"/>
        </w:rPr>
        <w:t xml:space="preserve"> </w:t>
      </w:r>
      <w:r>
        <w:rPr>
          <w:rFonts w:ascii="Arial" w:cs="Arial" w:eastAsia="Arial" w:hAnsi="Arial"/>
          <w:sz w:val="21"/>
          <w:szCs w:val="21"/>
          <w:color w:val="auto"/>
        </w:rPr>
        <w:t>Research Term (as may be extended pursuant to Section 2.1.2) for the relevant Program and on each anniversary thereafter during the Contingent Development Term, in consideration of Novartis retaining rights to the Commercial License and the exclusive rights set forth in Section 3.4 for the relevant Designated Target, Novartis will pay an annual</w:t>
      </w:r>
    </w:p>
    <w:p>
      <w:pPr>
        <w:spacing w:after="0" w:line="1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3" w:name="page94"/>
    <w:bookmarkEnd w:id="93"/>
    <w:p>
      <w:pPr>
        <w:ind w:left="9560"/>
        <w:spacing w:after="0"/>
        <w:rPr>
          <w:sz w:val="20"/>
          <w:szCs w:val="20"/>
          <w:color w:val="auto"/>
        </w:rPr>
      </w:pPr>
      <w:r>
        <w:rPr>
          <w:rFonts w:ascii="Arial" w:cs="Arial" w:eastAsia="Arial" w:hAnsi="Arial"/>
          <w:sz w:val="19"/>
          <w:szCs w:val="19"/>
          <w:color w:val="auto"/>
        </w:rPr>
        <w:t>EXECUTION COPY</w:t>
      </w:r>
    </w:p>
    <w:p>
      <w:pPr>
        <w:spacing w:after="0" w:line="268"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license maintenance fee of $[**] for each such Program (the “</w:t>
      </w:r>
      <w:r>
        <w:rPr>
          <w:rFonts w:ascii="Arial" w:cs="Arial" w:eastAsia="Arial" w:hAnsi="Arial"/>
          <w:sz w:val="19"/>
          <w:szCs w:val="19"/>
          <w:u w:val="single" w:color="auto"/>
          <w:color w:val="auto"/>
        </w:rPr>
        <w:t>Annual Maintenance Fee</w:t>
      </w:r>
      <w:r>
        <w:rPr>
          <w:rFonts w:ascii="Arial" w:cs="Arial" w:eastAsia="Arial" w:hAnsi="Arial"/>
          <w:sz w:val="19"/>
          <w:szCs w:val="19"/>
          <w:color w:val="auto"/>
        </w:rPr>
        <w:t>”). Novartis will give notice of its election to pay the initial Annual Maintenance Fee not later than [**] Business Days before the expiration of the relevant Research Term, and Cerulean will issue an Invoice to Novartis for the Annual Maintenance Fee upon receipt of such notice, and on each subsequent anniversary of receipt of such notice (unless the Annual Maintenance Fee is terminated prior to such date as described</w:t>
      </w:r>
    </w:p>
    <w:p>
      <w:pPr>
        <w:spacing w:after="0" w:line="4" w:lineRule="exact"/>
        <w:rPr>
          <w:sz w:val="20"/>
          <w:szCs w:val="20"/>
          <w:color w:val="auto"/>
        </w:rPr>
      </w:pPr>
    </w:p>
    <w:p>
      <w:pPr>
        <w:ind w:right="40"/>
        <w:spacing w:after="0" w:line="271" w:lineRule="auto"/>
        <w:rPr>
          <w:sz w:val="20"/>
          <w:szCs w:val="20"/>
          <w:color w:val="auto"/>
        </w:rPr>
      </w:pPr>
      <w:r>
        <w:rPr>
          <w:rFonts w:ascii="Arial" w:cs="Arial" w:eastAsia="Arial" w:hAnsi="Arial"/>
          <w:sz w:val="19"/>
          <w:szCs w:val="19"/>
          <w:color w:val="auto"/>
        </w:rPr>
        <w:t xml:space="preserve">below). Each Annual Maintenance Fee payment will be due not later than [**] days after receipt of the relevant Invoice. Novartis will have the right to terminate the Annual Maintenance Fee and the Contingent Development Term on a year-to-year basis by providing no less than ten Business Days’ written notice to Cerulean;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once terminated, </w:t>
      </w:r>
      <w:r>
        <w:rPr>
          <w:rFonts w:ascii="Arial" w:cs="Arial" w:eastAsia="Arial" w:hAnsi="Arial"/>
          <w:sz w:val="19"/>
          <w:szCs w:val="19"/>
          <w:b w:val="1"/>
          <w:bCs w:val="1"/>
          <w:color w:val="auto"/>
        </w:rPr>
        <w:t>(a)</w:t>
      </w:r>
      <w:r>
        <w:rPr>
          <w:rFonts w:ascii="Arial" w:cs="Arial" w:eastAsia="Arial" w:hAnsi="Arial"/>
          <w:sz w:val="19"/>
          <w:szCs w:val="19"/>
          <w:color w:val="auto"/>
        </w:rPr>
        <w:t xml:space="preserve"> the Limited Research Purposes Licenses under Section 3.1.2 with respect to such Program will terminate; </w:t>
      </w:r>
      <w:r>
        <w:rPr>
          <w:rFonts w:ascii="Arial" w:cs="Arial" w:eastAsia="Arial" w:hAnsi="Arial"/>
          <w:sz w:val="19"/>
          <w:szCs w:val="19"/>
          <w:b w:val="1"/>
          <w:bCs w:val="1"/>
          <w:color w:val="auto"/>
        </w:rPr>
        <w:t>(b)</w:t>
      </w:r>
      <w:r>
        <w:rPr>
          <w:rFonts w:ascii="Arial" w:cs="Arial" w:eastAsia="Arial" w:hAnsi="Arial"/>
          <w:sz w:val="19"/>
          <w:szCs w:val="19"/>
          <w:color w:val="auto"/>
        </w:rPr>
        <w:t xml:space="preserve"> the Commercial License will terminate with respect to such Program (it being understood that the Commercial License could not be Practiced prior to the payment of the Commercial Rights Fee), </w:t>
      </w:r>
      <w:r>
        <w:rPr>
          <w:rFonts w:ascii="Arial" w:cs="Arial" w:eastAsia="Arial" w:hAnsi="Arial"/>
          <w:sz w:val="19"/>
          <w:szCs w:val="19"/>
          <w:b w:val="1"/>
          <w:bCs w:val="1"/>
          <w:color w:val="auto"/>
        </w:rPr>
        <w:t>(c)</w:t>
      </w:r>
      <w:r>
        <w:rPr>
          <w:rFonts w:ascii="Arial" w:cs="Arial" w:eastAsia="Arial" w:hAnsi="Arial"/>
          <w:sz w:val="19"/>
          <w:szCs w:val="19"/>
          <w:color w:val="auto"/>
        </w:rPr>
        <w:t xml:space="preserve"> Novartis’ and its Affiliates’ and licensees’ rights under Section 3.2.1 and Section 3.2.2 will terminate with respect to such Program, and </w:t>
      </w:r>
      <w:r>
        <w:rPr>
          <w:rFonts w:ascii="Arial" w:cs="Arial" w:eastAsia="Arial" w:hAnsi="Arial"/>
          <w:sz w:val="19"/>
          <w:szCs w:val="19"/>
          <w:b w:val="1"/>
          <w:bCs w:val="1"/>
          <w:color w:val="auto"/>
        </w:rPr>
        <w:t>(d)</w:t>
      </w:r>
      <w:r>
        <w:rPr>
          <w:rFonts w:ascii="Arial" w:cs="Arial" w:eastAsia="Arial" w:hAnsi="Arial"/>
          <w:sz w:val="19"/>
          <w:szCs w:val="19"/>
          <w:color w:val="auto"/>
        </w:rPr>
        <w:t xml:space="preserve"> Cerulean’s exclusivity obligations under Section 3.4 with respect to the Designated Target of such Program will terminate. For the avoidance of doubt, with respect to the relevant Program, the Annual Maintenance Fee, the Limited Research Purpose Licenses and the Commercial License may not, once each is terminated, be revived. Further, for clarity, in the event that Novartis pays the Commercial Rights Fee with respect to a Designated Target, it will no longer be obligated to pay the Annual Maintenance Fee for the relevant Program.</w:t>
      </w:r>
    </w:p>
    <w:p>
      <w:pPr>
        <w:spacing w:after="0" w:line="98" w:lineRule="exact"/>
        <w:rPr>
          <w:sz w:val="20"/>
          <w:szCs w:val="20"/>
          <w:color w:val="auto"/>
        </w:rPr>
      </w:pPr>
    </w:p>
    <w:p>
      <w:pPr>
        <w:spacing w:after="0"/>
        <w:tabs>
          <w:tab w:leader="none" w:pos="1640" w:val="left"/>
        </w:tabs>
        <w:rPr>
          <w:sz w:val="20"/>
          <w:szCs w:val="20"/>
          <w:color w:val="auto"/>
        </w:rPr>
      </w:pPr>
      <w:r>
        <w:rPr>
          <w:rFonts w:ascii="Arial" w:cs="Arial" w:eastAsia="Arial" w:hAnsi="Arial"/>
          <w:sz w:val="22"/>
          <w:szCs w:val="22"/>
          <w:b w:val="1"/>
          <w:bCs w:val="1"/>
          <w:color w:val="auto"/>
        </w:rPr>
        <w:t>Section 5.2</w:t>
      </w:r>
      <w:r>
        <w:rPr>
          <w:sz w:val="20"/>
          <w:szCs w:val="20"/>
          <w:color w:val="auto"/>
        </w:rPr>
        <w:tab/>
      </w:r>
      <w:r>
        <w:rPr>
          <w:rFonts w:ascii="Arial" w:cs="Arial" w:eastAsia="Arial" w:hAnsi="Arial"/>
          <w:sz w:val="19"/>
          <w:szCs w:val="19"/>
          <w:b w:val="1"/>
          <w:bCs w:val="1"/>
          <w:color w:val="auto"/>
        </w:rPr>
        <w:t>FTE Payment; Technology Transfer.</w:t>
      </w:r>
    </w:p>
    <w:p>
      <w:pPr>
        <w:spacing w:after="0" w:line="152" w:lineRule="exact"/>
        <w:rPr>
          <w:sz w:val="20"/>
          <w:szCs w:val="20"/>
          <w:color w:val="auto"/>
        </w:rPr>
      </w:pPr>
    </w:p>
    <w:p>
      <w:pPr>
        <w:ind w:right="20" w:firstLine="877"/>
        <w:spacing w:after="0" w:line="237" w:lineRule="auto"/>
        <w:rPr>
          <w:sz w:val="20"/>
          <w:szCs w:val="20"/>
          <w:color w:val="auto"/>
        </w:rPr>
      </w:pPr>
      <w:r>
        <w:rPr>
          <w:rFonts w:ascii="Arial" w:cs="Arial" w:eastAsia="Arial" w:hAnsi="Arial"/>
          <w:sz w:val="22"/>
          <w:szCs w:val="22"/>
          <w:b w:val="1"/>
          <w:bCs w:val="1"/>
          <w:color w:val="auto"/>
        </w:rPr>
        <w:t xml:space="preserve">5.2.1. FTE Payments. </w:t>
      </w:r>
      <w:r>
        <w:rPr>
          <w:rFonts w:ascii="Arial" w:cs="Arial" w:eastAsia="Arial" w:hAnsi="Arial"/>
          <w:sz w:val="22"/>
          <w:szCs w:val="22"/>
          <w:color w:val="auto"/>
        </w:rPr>
        <w:t>Novartis will reimburse Cerulean at the FTE Rate for up to five FTEs engaged in</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Collaboration activities, as set forth in the Research Plans (including the extension of the Research Term for one or more of the Programs as contemplated by Section 2.1.2). Reimbursement will be made once per Calendar Quarter, in arrears, within [**] days after receipt of an Invoice including a summary of the FTE activities in such Calendar Quarter. For the avoidance of doubt, the FTE Rate includes all </w:t>
      </w: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129" w:lineRule="exact"/>
        <w:rPr>
          <w:sz w:val="20"/>
          <w:szCs w:val="20"/>
          <w:color w:val="auto"/>
        </w:rPr>
      </w:pPr>
    </w:p>
    <w:p>
      <w:pPr>
        <w:ind w:right="180" w:firstLine="877"/>
        <w:spacing w:after="0" w:line="254" w:lineRule="auto"/>
        <w:rPr>
          <w:sz w:val="20"/>
          <w:szCs w:val="20"/>
          <w:color w:val="auto"/>
        </w:rPr>
      </w:pPr>
      <w:r>
        <w:rPr>
          <w:rFonts w:ascii="Arial" w:cs="Arial" w:eastAsia="Arial" w:hAnsi="Arial"/>
          <w:sz w:val="21"/>
          <w:szCs w:val="21"/>
          <w:b w:val="1"/>
          <w:bCs w:val="1"/>
          <w:color w:val="auto"/>
        </w:rPr>
        <w:t xml:space="preserve">5.2.2 Technology Transfer Payments. </w:t>
      </w:r>
      <w:r>
        <w:rPr>
          <w:rFonts w:ascii="Arial" w:cs="Arial" w:eastAsia="Arial" w:hAnsi="Arial"/>
          <w:sz w:val="21"/>
          <w:szCs w:val="21"/>
          <w:color w:val="auto"/>
        </w:rPr>
        <w:t>Novartis will pay Cerulean reasonable, mutually agreed upon costs</w:t>
      </w:r>
      <w:r>
        <w:rPr>
          <w:rFonts w:ascii="Arial" w:cs="Arial" w:eastAsia="Arial" w:hAnsi="Arial"/>
          <w:sz w:val="21"/>
          <w:szCs w:val="21"/>
          <w:b w:val="1"/>
          <w:bCs w:val="1"/>
          <w:color w:val="auto"/>
        </w:rPr>
        <w:t xml:space="preserve"> </w:t>
      </w:r>
      <w:r>
        <w:rPr>
          <w:rFonts w:ascii="Arial" w:cs="Arial" w:eastAsia="Arial" w:hAnsi="Arial"/>
          <w:sz w:val="21"/>
          <w:szCs w:val="21"/>
          <w:color w:val="auto"/>
        </w:rPr>
        <w:t>associated with Technology Transfer, not to exceed USD$[**] for Poly-Tech Transfer and USD$[**] per NDC for Specific NDC Product Tech Transfer. Payment will be made within [**] days after receipt of an Invoice for the same, which will be issued upon completion, to Novartis’ reasonable satisfaction, of the relevant Technology Transfer activities.</w:t>
      </w:r>
    </w:p>
    <w:p>
      <w:pPr>
        <w:spacing w:after="0" w:line="112"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2"/>
          <w:szCs w:val="22"/>
          <w:b w:val="1"/>
          <w:bCs w:val="1"/>
          <w:color w:val="auto"/>
        </w:rPr>
        <w:t>5.2.3</w:t>
      </w:r>
      <w:r>
        <w:rPr>
          <w:sz w:val="20"/>
          <w:szCs w:val="20"/>
          <w:color w:val="auto"/>
        </w:rPr>
        <w:tab/>
      </w:r>
      <w:r>
        <w:rPr>
          <w:rFonts w:ascii="Arial" w:cs="Arial" w:eastAsia="Arial" w:hAnsi="Arial"/>
          <w:sz w:val="19"/>
          <w:szCs w:val="19"/>
          <w:b w:val="1"/>
          <w:bCs w:val="1"/>
          <w:color w:val="auto"/>
        </w:rPr>
        <w:t>Novartis Election for Additional Cerulean Collaboration Activities; No Further Payments</w:t>
      </w:r>
      <w:r>
        <w:rPr>
          <w:rFonts w:ascii="Arial" w:cs="Arial" w:eastAsia="Arial" w:hAnsi="Arial"/>
          <w:sz w:val="19"/>
          <w:szCs w:val="19"/>
          <w:color w:val="auto"/>
        </w:rPr>
        <w:t>.</w:t>
      </w:r>
    </w:p>
    <w:p>
      <w:pPr>
        <w:spacing w:after="0" w:line="158" w:lineRule="exact"/>
        <w:rPr>
          <w:sz w:val="20"/>
          <w:szCs w:val="20"/>
          <w:color w:val="auto"/>
        </w:rPr>
      </w:pPr>
    </w:p>
    <w:p>
      <w:pPr>
        <w:ind w:left="880" w:right="80" w:firstLine="816"/>
        <w:spacing w:after="0" w:line="247" w:lineRule="auto"/>
        <w:tabs>
          <w:tab w:leader="none" w:pos="2590" w:val="left"/>
        </w:tabs>
        <w:numPr>
          <w:ilvl w:val="0"/>
          <w:numId w:val="90"/>
        </w:numPr>
        <w:rPr>
          <w:rFonts w:ascii="Arial" w:cs="Arial" w:eastAsia="Arial" w:hAnsi="Arial"/>
          <w:sz w:val="21"/>
          <w:szCs w:val="21"/>
          <w:b w:val="1"/>
          <w:bCs w:val="1"/>
          <w:color w:val="auto"/>
        </w:rPr>
      </w:pPr>
      <w:r>
        <w:rPr>
          <w:rFonts w:ascii="Arial" w:cs="Arial" w:eastAsia="Arial" w:hAnsi="Arial"/>
          <w:sz w:val="21"/>
          <w:szCs w:val="21"/>
          <w:color w:val="auto"/>
        </w:rPr>
        <w:t xml:space="preserve">On a Program by Program basis, and after the Research Plan has been approved by the JSC, Novartis may request that Cerulean perform one or more of the research activities assigned to Novartis under the Research Plan. For the avoidance of doubt, any such activities must be approved by both </w:t>
      </w:r>
      <w:r>
        <w:rPr>
          <w:rFonts w:ascii="Arial" w:cs="Arial" w:eastAsia="Arial" w:hAnsi="Arial"/>
          <w:sz w:val="21"/>
          <w:szCs w:val="21"/>
          <w:b w:val="1"/>
          <w:bCs w:val="1"/>
          <w:color w:val="auto"/>
        </w:rPr>
        <w:t>(i)</w:t>
      </w:r>
      <w:r>
        <w:rPr>
          <w:rFonts w:ascii="Arial" w:cs="Arial" w:eastAsia="Arial" w:hAnsi="Arial"/>
          <w:sz w:val="21"/>
          <w:szCs w:val="21"/>
          <w:color w:val="auto"/>
        </w:rPr>
        <w:t xml:space="preserve"> the JSC (if the Research Term is still in effect) and </w:t>
      </w:r>
      <w:r>
        <w:rPr>
          <w:rFonts w:ascii="Arial" w:cs="Arial" w:eastAsia="Arial" w:hAnsi="Arial"/>
          <w:sz w:val="21"/>
          <w:szCs w:val="21"/>
          <w:b w:val="1"/>
          <w:bCs w:val="1"/>
          <w:color w:val="auto"/>
        </w:rPr>
        <w:t>(ii)</w:t>
      </w:r>
      <w:r>
        <w:rPr>
          <w:rFonts w:ascii="Arial" w:cs="Arial" w:eastAsia="Arial" w:hAnsi="Arial"/>
          <w:sz w:val="21"/>
          <w:szCs w:val="21"/>
          <w:color w:val="auto"/>
        </w:rPr>
        <w:t xml:space="preserve"> Novartis, in writing detailing the activities and reimbursement commitment. In such event, the Parties will discuss and agree on the additional FTE payments necessary for Cerulean to perform those additional research activities, and Novartis will pay all external costs and expenses, including all materials and reagents, associated with those additional activities.</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4" w:name="page95"/>
    <w:bookmarkEnd w:id="94"/>
    <w:p>
      <w:pPr>
        <w:ind w:left="9560"/>
        <w:spacing w:after="0"/>
        <w:rPr>
          <w:sz w:val="20"/>
          <w:szCs w:val="20"/>
          <w:color w:val="auto"/>
        </w:rPr>
      </w:pPr>
      <w:r>
        <w:rPr>
          <w:rFonts w:ascii="Arial" w:cs="Arial" w:eastAsia="Arial" w:hAnsi="Arial"/>
          <w:sz w:val="19"/>
          <w:szCs w:val="19"/>
          <w:color w:val="auto"/>
        </w:rPr>
        <w:t>EXECUTION COPY</w:t>
      </w:r>
    </w:p>
    <w:p>
      <w:pPr>
        <w:spacing w:after="0" w:line="268" w:lineRule="exact"/>
        <w:rPr>
          <w:sz w:val="20"/>
          <w:szCs w:val="20"/>
          <w:color w:val="auto"/>
        </w:rPr>
      </w:pPr>
    </w:p>
    <w:p>
      <w:pPr>
        <w:ind w:left="880" w:right="100" w:firstLine="816"/>
        <w:spacing w:after="0" w:line="236" w:lineRule="auto"/>
        <w:tabs>
          <w:tab w:leader="none" w:pos="2602" w:val="left"/>
        </w:tabs>
        <w:numPr>
          <w:ilvl w:val="0"/>
          <w:numId w:val="91"/>
        </w:numPr>
        <w:rPr>
          <w:rFonts w:ascii="Arial" w:cs="Arial" w:eastAsia="Arial" w:hAnsi="Arial"/>
          <w:sz w:val="22"/>
          <w:szCs w:val="22"/>
          <w:b w:val="1"/>
          <w:bCs w:val="1"/>
          <w:color w:val="auto"/>
        </w:rPr>
      </w:pPr>
      <w:r>
        <w:rPr>
          <w:rFonts w:ascii="Arial" w:cs="Arial" w:eastAsia="Arial" w:hAnsi="Arial"/>
          <w:sz w:val="22"/>
          <w:szCs w:val="22"/>
          <w:color w:val="auto"/>
        </w:rPr>
        <w:t>Except with respect to these Novartis elections, no further payments of any kind will be payable by Novartis to Cerulean for Collaboration activities or any costs or expenses arising under the Collaboration. For the avoidance of doubt, the Collaboration activities for which Cerulean is responsible under the Research Plans will not exceed what is covered by the applicable agreed upon budgets set forth in the applicable Research Plans (as each may be amended).</w:t>
      </w:r>
    </w:p>
    <w:p>
      <w:pPr>
        <w:spacing w:after="0" w:line="128" w:lineRule="exact"/>
        <w:rPr>
          <w:sz w:val="20"/>
          <w:szCs w:val="20"/>
          <w:color w:val="auto"/>
        </w:rPr>
      </w:pPr>
    </w:p>
    <w:p>
      <w:pPr>
        <w:spacing w:after="0"/>
        <w:tabs>
          <w:tab w:leader="none" w:pos="1640" w:val="left"/>
        </w:tabs>
        <w:rPr>
          <w:sz w:val="20"/>
          <w:szCs w:val="20"/>
          <w:color w:val="auto"/>
        </w:rPr>
      </w:pPr>
      <w:r>
        <w:rPr>
          <w:rFonts w:ascii="Arial" w:cs="Arial" w:eastAsia="Arial" w:hAnsi="Arial"/>
          <w:sz w:val="22"/>
          <w:szCs w:val="22"/>
          <w:b w:val="1"/>
          <w:bCs w:val="1"/>
          <w:color w:val="auto"/>
        </w:rPr>
        <w:t>Section 5.3</w:t>
      </w:r>
      <w:r>
        <w:rPr>
          <w:sz w:val="20"/>
          <w:szCs w:val="20"/>
          <w:color w:val="auto"/>
        </w:rPr>
        <w:tab/>
      </w:r>
      <w:r>
        <w:rPr>
          <w:rFonts w:ascii="Arial" w:cs="Arial" w:eastAsia="Arial" w:hAnsi="Arial"/>
          <w:sz w:val="19"/>
          <w:szCs w:val="19"/>
          <w:b w:val="1"/>
          <w:bCs w:val="1"/>
          <w:color w:val="auto"/>
        </w:rPr>
        <w:t>Fee for Commercial Rights.</w:t>
      </w:r>
    </w:p>
    <w:p>
      <w:pPr>
        <w:spacing w:after="0" w:line="158" w:lineRule="exact"/>
        <w:rPr>
          <w:sz w:val="20"/>
          <w:szCs w:val="20"/>
          <w:color w:val="auto"/>
        </w:rPr>
      </w:pPr>
    </w:p>
    <w:p>
      <w:pPr>
        <w:ind w:right="60" w:firstLine="877"/>
        <w:spacing w:after="0" w:line="297" w:lineRule="auto"/>
        <w:rPr>
          <w:sz w:val="20"/>
          <w:szCs w:val="20"/>
          <w:color w:val="auto"/>
        </w:rPr>
      </w:pPr>
      <w:r>
        <w:rPr>
          <w:rFonts w:ascii="Arial" w:cs="Arial" w:eastAsia="Arial" w:hAnsi="Arial"/>
          <w:sz w:val="19"/>
          <w:szCs w:val="19"/>
          <w:color w:val="auto"/>
        </w:rPr>
        <w:t>On a Program by Program basis, and only once per Program, if Novartis delivers (or is deemed to have delivered pursuant to Section 3.2.2) a Commercial License Practice Notice, Cerulean shall submit to Novartis an Invoice for USD$7,000,000 (the “</w:t>
      </w:r>
      <w:r>
        <w:rPr>
          <w:rFonts w:ascii="Arial" w:cs="Arial" w:eastAsia="Arial" w:hAnsi="Arial"/>
          <w:sz w:val="19"/>
          <w:szCs w:val="19"/>
          <w:u w:val="single" w:color="auto"/>
          <w:color w:val="auto"/>
        </w:rPr>
        <w:t>Commercial Rights Fee</w:t>
      </w:r>
      <w:r>
        <w:rPr>
          <w:rFonts w:ascii="Arial" w:cs="Arial" w:eastAsia="Arial" w:hAnsi="Arial"/>
          <w:sz w:val="19"/>
          <w:szCs w:val="19"/>
          <w:color w:val="auto"/>
        </w:rPr>
        <w:t>”). Novartis will pay the Commercial Rights Fee within [**] days after delivery of that Invoice.</w:t>
      </w:r>
    </w:p>
    <w:p>
      <w:pPr>
        <w:spacing w:after="0" w:line="74" w:lineRule="exact"/>
        <w:rPr>
          <w:sz w:val="20"/>
          <w:szCs w:val="20"/>
          <w:color w:val="auto"/>
        </w:rPr>
      </w:pPr>
    </w:p>
    <w:p>
      <w:pPr>
        <w:spacing w:after="0"/>
        <w:tabs>
          <w:tab w:leader="none" w:pos="1640" w:val="left"/>
        </w:tabs>
        <w:rPr>
          <w:sz w:val="20"/>
          <w:szCs w:val="20"/>
          <w:color w:val="auto"/>
        </w:rPr>
      </w:pPr>
      <w:r>
        <w:rPr>
          <w:rFonts w:ascii="Arial" w:cs="Arial" w:eastAsia="Arial" w:hAnsi="Arial"/>
          <w:sz w:val="22"/>
          <w:szCs w:val="22"/>
          <w:b w:val="1"/>
          <w:bCs w:val="1"/>
          <w:color w:val="auto"/>
        </w:rPr>
        <w:t>Section 5.4</w:t>
      </w:r>
      <w:r>
        <w:rPr>
          <w:sz w:val="20"/>
          <w:szCs w:val="20"/>
          <w:color w:val="auto"/>
        </w:rPr>
        <w:tab/>
      </w:r>
      <w:r>
        <w:rPr>
          <w:rFonts w:ascii="Arial" w:cs="Arial" w:eastAsia="Arial" w:hAnsi="Arial"/>
          <w:sz w:val="19"/>
          <w:szCs w:val="19"/>
          <w:b w:val="1"/>
          <w:bCs w:val="1"/>
          <w:color w:val="auto"/>
        </w:rPr>
        <w:t>Development Milestones.</w:t>
      </w:r>
    </w:p>
    <w:p>
      <w:pPr>
        <w:spacing w:after="0" w:line="152" w:lineRule="exact"/>
        <w:rPr>
          <w:sz w:val="20"/>
          <w:szCs w:val="20"/>
          <w:color w:val="auto"/>
        </w:rPr>
      </w:pPr>
    </w:p>
    <w:p>
      <w:pPr>
        <w:ind w:right="60" w:firstLine="877"/>
        <w:spacing w:after="0" w:line="237" w:lineRule="auto"/>
        <w:rPr>
          <w:sz w:val="20"/>
          <w:szCs w:val="20"/>
          <w:color w:val="auto"/>
        </w:rPr>
      </w:pPr>
      <w:r>
        <w:rPr>
          <w:rFonts w:ascii="Arial" w:cs="Arial" w:eastAsia="Arial" w:hAnsi="Arial"/>
          <w:sz w:val="22"/>
          <w:szCs w:val="22"/>
          <w:b w:val="1"/>
          <w:bCs w:val="1"/>
          <w:color w:val="auto"/>
        </w:rPr>
        <w:t xml:space="preserve">5.4.1 Milestones. </w:t>
      </w:r>
      <w:r>
        <w:rPr>
          <w:rFonts w:ascii="Arial" w:cs="Arial" w:eastAsia="Arial" w:hAnsi="Arial"/>
          <w:sz w:val="22"/>
          <w:szCs w:val="22"/>
          <w:color w:val="auto"/>
        </w:rPr>
        <w:t>On a Program-by-Program basis, the following one-time per Program payments set forth below</w:t>
      </w:r>
      <w:r>
        <w:rPr>
          <w:rFonts w:ascii="Arial" w:cs="Arial" w:eastAsia="Arial" w:hAnsi="Arial"/>
          <w:sz w:val="22"/>
          <w:szCs w:val="22"/>
          <w:b w:val="1"/>
          <w:bCs w:val="1"/>
          <w:color w:val="auto"/>
        </w:rPr>
        <w:t xml:space="preserve"> </w:t>
      </w:r>
      <w:r>
        <w:rPr>
          <w:rFonts w:ascii="Arial" w:cs="Arial" w:eastAsia="Arial" w:hAnsi="Arial"/>
          <w:sz w:val="22"/>
          <w:szCs w:val="22"/>
          <w:color w:val="auto"/>
        </w:rPr>
        <w:t>(collectively, “</w:t>
      </w:r>
      <w:r>
        <w:rPr>
          <w:rFonts w:ascii="Arial" w:cs="Arial" w:eastAsia="Arial" w:hAnsi="Arial"/>
          <w:sz w:val="22"/>
          <w:szCs w:val="22"/>
          <w:u w:val="single" w:color="auto"/>
          <w:color w:val="auto"/>
        </w:rPr>
        <w:t>Milestone Payments</w:t>
      </w:r>
      <w:r>
        <w:rPr>
          <w:rFonts w:ascii="Arial" w:cs="Arial" w:eastAsia="Arial" w:hAnsi="Arial"/>
          <w:sz w:val="22"/>
          <w:szCs w:val="22"/>
          <w:color w:val="auto"/>
        </w:rPr>
        <w:t>”) will accrue to Cerulean upon the achievement by Novartis, its Affiliates, or any of their sublicensees of the corresponding events (the “</w:t>
      </w:r>
      <w:r>
        <w:rPr>
          <w:rFonts w:ascii="Arial" w:cs="Arial" w:eastAsia="Arial" w:hAnsi="Arial"/>
          <w:sz w:val="22"/>
          <w:szCs w:val="22"/>
          <w:u w:val="single" w:color="auto"/>
          <w:color w:val="auto"/>
        </w:rPr>
        <w:t>Milestones</w:t>
      </w:r>
      <w:r>
        <w:rPr>
          <w:rFonts w:ascii="Arial" w:cs="Arial" w:eastAsia="Arial" w:hAnsi="Arial"/>
          <w:sz w:val="22"/>
          <w:szCs w:val="22"/>
          <w:color w:val="auto"/>
        </w:rPr>
        <w:t>”) with respect to the first Licensed Product per Program that achieves such Milestone, it being understood that Milestones #3, 4 and 5 are only achievable if Novartis delivers (or is deemed to have delivered) a Commercial License Practice Notice for a Program:</w:t>
      </w:r>
    </w:p>
    <w:p>
      <w:pPr>
        <w:spacing w:after="0" w:line="125" w:lineRule="exact"/>
        <w:rPr>
          <w:sz w:val="20"/>
          <w:szCs w:val="20"/>
          <w:color w:val="auto"/>
        </w:rPr>
      </w:pPr>
    </w:p>
    <w:tbl>
      <w:tblPr>
        <w:tblLayout w:type="fixed"/>
        <w:tblInd w:w="1580" w:type="dxa"/>
        <w:tblCellMar>
          <w:top w:w="0" w:type="dxa"/>
          <w:left w:w="0" w:type="dxa"/>
          <w:bottom w:w="0" w:type="dxa"/>
          <w:right w:w="0" w:type="dxa"/>
        </w:tblCellMar>
      </w:tblPr>
      <w:tr>
        <w:trPr>
          <w:trHeight w:val="207"/>
        </w:trPr>
        <w:tc>
          <w:tcPr>
            <w:tcW w:w="32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w:t>
            </w:r>
          </w:p>
        </w:tc>
        <w:tc>
          <w:tcPr>
            <w:tcW w:w="2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340" w:type="dxa"/>
            <w:vAlign w:val="bottom"/>
            <w:gridSpan w:val="3"/>
          </w:tcPr>
          <w:p>
            <w:pPr>
              <w:ind w:left="2820"/>
              <w:spacing w:after="0"/>
              <w:rPr>
                <w:sz w:val="20"/>
                <w:szCs w:val="20"/>
                <w:color w:val="auto"/>
              </w:rPr>
            </w:pPr>
            <w:r>
              <w:rPr>
                <w:rFonts w:ascii="Arial" w:cs="Arial" w:eastAsia="Arial" w:hAnsi="Arial"/>
                <w:sz w:val="18"/>
                <w:szCs w:val="18"/>
                <w:b w:val="1"/>
                <w:bCs w:val="1"/>
                <w:color w:val="auto"/>
                <w:w w:val="91"/>
              </w:rPr>
              <w:t>Milestone Payment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432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Milestone</w:t>
            </w:r>
          </w:p>
        </w:tc>
        <w:tc>
          <w:tcPr>
            <w:tcW w:w="7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3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140" w:type="dxa"/>
            <w:vAlign w:val="bottom"/>
            <w:shd w:val="clear" w:color="auto" w:fill="E6E6E6"/>
          </w:tcPr>
          <w:p>
            <w:pPr>
              <w:jc w:val="right"/>
              <w:spacing w:after="0"/>
              <w:rPr>
                <w:sz w:val="20"/>
                <w:szCs w:val="20"/>
                <w:color w:val="auto"/>
              </w:rPr>
            </w:pPr>
            <w:r>
              <w:rPr>
                <w:rFonts w:ascii="Arial" w:cs="Arial" w:eastAsia="Arial" w:hAnsi="Arial"/>
                <w:sz w:val="13"/>
                <w:szCs w:val="13"/>
                <w:b w:val="1"/>
                <w:bCs w:val="1"/>
                <w:color w:val="auto"/>
                <w:w w:val="73"/>
              </w:rPr>
              <w:t>1.</w:t>
            </w:r>
          </w:p>
        </w:tc>
        <w:tc>
          <w:tcPr>
            <w:tcW w:w="8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880" w:type="dxa"/>
            <w:vAlign w:val="bottom"/>
            <w:shd w:val="clear" w:color="auto" w:fill="E6E6E6"/>
          </w:tcPr>
          <w:p>
            <w:pPr>
              <w:jc w:val="right"/>
              <w:ind w:right="2410"/>
              <w:spacing w:after="0"/>
              <w:rPr>
                <w:sz w:val="20"/>
                <w:szCs w:val="20"/>
                <w:color w:val="auto"/>
              </w:rPr>
            </w:pPr>
            <w:r>
              <w:rPr>
                <w:rFonts w:ascii="Arial" w:cs="Arial" w:eastAsia="Arial" w:hAnsi="Arial"/>
                <w:sz w:val="18"/>
                <w:szCs w:val="18"/>
                <w:color w:val="auto"/>
              </w:rPr>
              <w:t>[**]</w:t>
            </w:r>
          </w:p>
        </w:tc>
        <w:tc>
          <w:tcPr>
            <w:tcW w:w="740" w:type="dxa"/>
            <w:vAlign w:val="bottom"/>
            <w:shd w:val="clear" w:color="auto" w:fill="E6E6E6"/>
          </w:tcPr>
          <w:p>
            <w:pPr>
              <w:spacing w:after="0"/>
              <w:rPr>
                <w:sz w:val="24"/>
                <w:szCs w:val="24"/>
                <w:color w:val="auto"/>
              </w:rPr>
            </w:pPr>
          </w:p>
        </w:tc>
        <w:tc>
          <w:tcPr>
            <w:tcW w:w="4340" w:type="dxa"/>
            <w:vAlign w:val="bottom"/>
            <w:gridSpan w:val="3"/>
            <w:shd w:val="clear" w:color="auto" w:fill="E6E6E6"/>
          </w:tcPr>
          <w:p>
            <w:pPr>
              <w:ind w:left="3540"/>
              <w:spacing w:after="0"/>
              <w:rPr>
                <w:sz w:val="20"/>
                <w:szCs w:val="20"/>
                <w:color w:val="auto"/>
              </w:rPr>
            </w:pPr>
            <w:r>
              <w:rPr>
                <w:rFonts w:ascii="Arial" w:cs="Arial" w:eastAsia="Arial" w:hAnsi="Arial"/>
                <w:sz w:val="18"/>
                <w:szCs w:val="18"/>
                <w:color w:val="auto"/>
              </w:rPr>
              <w:t>USD $[**]</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40" w:type="dxa"/>
            <w:vAlign w:val="bottom"/>
            <w:shd w:val="clear" w:color="auto" w:fill="E6E6E6"/>
          </w:tcPr>
          <w:p>
            <w:pPr>
              <w:spacing w:after="0"/>
              <w:rPr>
                <w:sz w:val="11"/>
                <w:szCs w:val="11"/>
                <w:color w:val="auto"/>
              </w:rPr>
            </w:pPr>
          </w:p>
        </w:tc>
        <w:tc>
          <w:tcPr>
            <w:tcW w:w="80" w:type="dxa"/>
            <w:vAlign w:val="bottom"/>
            <w:shd w:val="clear" w:color="auto" w:fill="E6E6E6"/>
          </w:tcPr>
          <w:p>
            <w:pPr>
              <w:spacing w:after="0"/>
              <w:rPr>
                <w:sz w:val="11"/>
                <w:szCs w:val="11"/>
                <w:color w:val="auto"/>
              </w:rPr>
            </w:pPr>
          </w:p>
        </w:tc>
        <w:tc>
          <w:tcPr>
            <w:tcW w:w="80" w:type="dxa"/>
            <w:vAlign w:val="bottom"/>
            <w:shd w:val="clear" w:color="auto" w:fill="E6E6E6"/>
          </w:tcPr>
          <w:p>
            <w:pPr>
              <w:spacing w:after="0"/>
              <w:rPr>
                <w:sz w:val="11"/>
                <w:szCs w:val="11"/>
                <w:color w:val="auto"/>
              </w:rPr>
            </w:pPr>
          </w:p>
        </w:tc>
        <w:tc>
          <w:tcPr>
            <w:tcW w:w="2880" w:type="dxa"/>
            <w:vAlign w:val="bottom"/>
            <w:shd w:val="clear" w:color="auto" w:fill="E6E6E6"/>
          </w:tcPr>
          <w:p>
            <w:pPr>
              <w:spacing w:after="0"/>
              <w:rPr>
                <w:sz w:val="11"/>
                <w:szCs w:val="11"/>
                <w:color w:val="auto"/>
              </w:rPr>
            </w:pPr>
          </w:p>
        </w:tc>
        <w:tc>
          <w:tcPr>
            <w:tcW w:w="740" w:type="dxa"/>
            <w:vAlign w:val="bottom"/>
            <w:shd w:val="clear" w:color="auto" w:fill="E6E6E6"/>
          </w:tcPr>
          <w:p>
            <w:pPr>
              <w:spacing w:after="0"/>
              <w:rPr>
                <w:sz w:val="11"/>
                <w:szCs w:val="11"/>
                <w:color w:val="auto"/>
              </w:rPr>
            </w:pPr>
          </w:p>
        </w:tc>
        <w:tc>
          <w:tcPr>
            <w:tcW w:w="3580" w:type="dxa"/>
            <w:vAlign w:val="bottom"/>
            <w:shd w:val="clear" w:color="auto" w:fill="E6E6E6"/>
          </w:tcPr>
          <w:p>
            <w:pPr>
              <w:spacing w:after="0"/>
              <w:rPr>
                <w:sz w:val="11"/>
                <w:szCs w:val="11"/>
                <w:color w:val="auto"/>
              </w:rPr>
            </w:pPr>
          </w:p>
        </w:tc>
        <w:tc>
          <w:tcPr>
            <w:tcW w:w="720" w:type="dxa"/>
            <w:vAlign w:val="bottom"/>
            <w:shd w:val="clear" w:color="auto" w:fill="E6E6E6"/>
          </w:tcPr>
          <w:p>
            <w:pPr>
              <w:spacing w:after="0"/>
              <w:rPr>
                <w:sz w:val="11"/>
                <w:szCs w:val="11"/>
                <w:color w:val="auto"/>
              </w:rPr>
            </w:pPr>
          </w:p>
        </w:tc>
        <w:tc>
          <w:tcPr>
            <w:tcW w:w="40" w:type="dxa"/>
            <w:vAlign w:val="bottom"/>
            <w:shd w:val="clear" w:color="auto" w:fill="E6E6E6"/>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73"/>
              </w:rPr>
              <w:t>2.</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80" w:type="dxa"/>
            <w:vAlign w:val="bottom"/>
          </w:tcPr>
          <w:p>
            <w:pPr>
              <w:jc w:val="right"/>
              <w:ind w:right="241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2"/>
                <w:szCs w:val="22"/>
                <w:color w:val="auto"/>
              </w:rPr>
            </w:pPr>
          </w:p>
        </w:tc>
        <w:tc>
          <w:tcPr>
            <w:tcW w:w="4340" w:type="dxa"/>
            <w:vAlign w:val="bottom"/>
            <w:gridSpan w:val="3"/>
          </w:tcPr>
          <w:p>
            <w:pPr>
              <w:ind w:left="3540"/>
              <w:spacing w:after="0"/>
              <w:rPr>
                <w:sz w:val="20"/>
                <w:szCs w:val="20"/>
                <w:color w:val="auto"/>
              </w:rPr>
            </w:pPr>
            <w:r>
              <w:rPr>
                <w:rFonts w:ascii="Arial" w:cs="Arial" w:eastAsia="Arial" w:hAnsi="Arial"/>
                <w:sz w:val="18"/>
                <w:szCs w:val="18"/>
                <w:color w:val="auto"/>
              </w:rPr>
              <w:t>USD $[**]</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1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3"/>
                <w:szCs w:val="13"/>
                <w:b w:val="1"/>
                <w:bCs w:val="1"/>
                <w:color w:val="auto"/>
                <w:w w:val="73"/>
              </w:rPr>
              <w:t>3.</w:t>
            </w:r>
          </w:p>
        </w:tc>
        <w:tc>
          <w:tcPr>
            <w:tcW w:w="80" w:type="dxa"/>
            <w:vAlign w:val="bottom"/>
            <w:tcBorders>
              <w:bottom w:val="single" w:sz="8" w:color="E6E6E6"/>
            </w:tcBorders>
            <w:shd w:val="clear" w:color="auto" w:fill="E6E6E6"/>
          </w:tcPr>
          <w:p>
            <w:pPr>
              <w:spacing w:after="0"/>
              <w:rPr>
                <w:sz w:val="22"/>
                <w:szCs w:val="22"/>
                <w:color w:val="auto"/>
              </w:rPr>
            </w:pPr>
          </w:p>
        </w:tc>
        <w:tc>
          <w:tcPr>
            <w:tcW w:w="80" w:type="dxa"/>
            <w:vAlign w:val="bottom"/>
            <w:tcBorders>
              <w:bottom w:val="single" w:sz="8" w:color="E6E6E6"/>
            </w:tcBorders>
            <w:shd w:val="clear" w:color="auto" w:fill="E6E6E6"/>
          </w:tcPr>
          <w:p>
            <w:pPr>
              <w:spacing w:after="0"/>
              <w:rPr>
                <w:sz w:val="22"/>
                <w:szCs w:val="22"/>
                <w:color w:val="auto"/>
              </w:rPr>
            </w:pPr>
          </w:p>
        </w:tc>
        <w:tc>
          <w:tcPr>
            <w:tcW w:w="2880" w:type="dxa"/>
            <w:vAlign w:val="bottom"/>
            <w:tcBorders>
              <w:bottom w:val="single" w:sz="8" w:color="E6E6E6"/>
            </w:tcBorders>
            <w:shd w:val="clear" w:color="auto" w:fill="E6E6E6"/>
          </w:tcPr>
          <w:p>
            <w:pPr>
              <w:jc w:val="right"/>
              <w:ind w:right="24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E6E6E6"/>
            </w:tcBorders>
            <w:shd w:val="clear" w:color="auto" w:fill="E6E6E6"/>
          </w:tcPr>
          <w:p>
            <w:pPr>
              <w:spacing w:after="0"/>
              <w:rPr>
                <w:sz w:val="22"/>
                <w:szCs w:val="22"/>
                <w:color w:val="auto"/>
              </w:rPr>
            </w:pPr>
          </w:p>
        </w:tc>
        <w:tc>
          <w:tcPr>
            <w:tcW w:w="4340" w:type="dxa"/>
            <w:vAlign w:val="bottom"/>
            <w:tcBorders>
              <w:bottom w:val="single" w:sz="8" w:color="E6E6E6"/>
            </w:tcBorders>
            <w:gridSpan w:val="3"/>
            <w:shd w:val="clear" w:color="auto" w:fill="E6E6E6"/>
          </w:tcPr>
          <w:p>
            <w:pPr>
              <w:ind w:left="3540"/>
              <w:spacing w:after="0"/>
              <w:rPr>
                <w:sz w:val="20"/>
                <w:szCs w:val="20"/>
                <w:color w:val="auto"/>
              </w:rPr>
            </w:pPr>
            <w:r>
              <w:rPr>
                <w:rFonts w:ascii="Arial" w:cs="Arial" w:eastAsia="Arial" w:hAnsi="Arial"/>
                <w:sz w:val="18"/>
                <w:szCs w:val="18"/>
                <w:color w:val="auto"/>
              </w:rPr>
              <w:t>USD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73"/>
              </w:rPr>
              <w:t>4.</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80" w:type="dxa"/>
            <w:vAlign w:val="bottom"/>
          </w:tcPr>
          <w:p>
            <w:pPr>
              <w:jc w:val="right"/>
              <w:ind w:right="241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1"/>
                <w:szCs w:val="21"/>
                <w:color w:val="auto"/>
              </w:rPr>
            </w:pPr>
          </w:p>
        </w:tc>
        <w:tc>
          <w:tcPr>
            <w:tcW w:w="4340" w:type="dxa"/>
            <w:vAlign w:val="bottom"/>
            <w:gridSpan w:val="3"/>
          </w:tcPr>
          <w:p>
            <w:pPr>
              <w:ind w:left="3540"/>
              <w:spacing w:after="0"/>
              <w:rPr>
                <w:sz w:val="20"/>
                <w:szCs w:val="20"/>
                <w:color w:val="auto"/>
              </w:rPr>
            </w:pPr>
            <w:r>
              <w:rPr>
                <w:rFonts w:ascii="Arial" w:cs="Arial" w:eastAsia="Arial" w:hAnsi="Arial"/>
                <w:sz w:val="18"/>
                <w:szCs w:val="18"/>
                <w:color w:val="auto"/>
              </w:rPr>
              <w:t>USD $[**]</w:t>
            </w:r>
          </w:p>
        </w:tc>
        <w:tc>
          <w:tcPr>
            <w:tcW w:w="0" w:type="dxa"/>
            <w:vAlign w:val="bottom"/>
          </w:tcPr>
          <w:p>
            <w:pPr>
              <w:spacing w:after="0"/>
              <w:rPr>
                <w:sz w:val="1"/>
                <w:szCs w:val="1"/>
                <w:color w:val="auto"/>
              </w:rPr>
            </w:pPr>
          </w:p>
        </w:tc>
      </w:tr>
      <w:tr>
        <w:trPr>
          <w:trHeight w:val="243"/>
        </w:trPr>
        <w:tc>
          <w:tcPr>
            <w:tcW w:w="160" w:type="dxa"/>
            <w:vAlign w:val="bottom"/>
            <w:gridSpan w:val="2"/>
            <w:vMerge w:val="restart"/>
          </w:tcPr>
          <w:p>
            <w:pPr>
              <w:jc w:val="right"/>
              <w:spacing w:after="0"/>
              <w:rPr>
                <w:sz w:val="20"/>
                <w:szCs w:val="20"/>
                <w:color w:val="auto"/>
              </w:rPr>
            </w:pPr>
            <w:r>
              <w:rPr>
                <w:rFonts w:ascii="Arial" w:cs="Arial" w:eastAsia="Arial" w:hAnsi="Arial"/>
                <w:sz w:val="17"/>
                <w:szCs w:val="17"/>
                <w:b w:val="1"/>
                <w:bCs w:val="1"/>
                <w:color w:val="auto"/>
                <w:w w:val="70"/>
              </w:rPr>
              <w:t>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80" w:type="dxa"/>
            <w:vAlign w:val="bottom"/>
            <w:vMerge w:val="restart"/>
          </w:tcPr>
          <w:p>
            <w:pPr>
              <w:jc w:val="right"/>
              <w:ind w:right="241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1"/>
                <w:szCs w:val="21"/>
                <w:color w:val="auto"/>
              </w:rPr>
            </w:pPr>
          </w:p>
        </w:tc>
        <w:tc>
          <w:tcPr>
            <w:tcW w:w="4340" w:type="dxa"/>
            <w:vAlign w:val="bottom"/>
            <w:gridSpan w:val="3"/>
          </w:tcPr>
          <w:p>
            <w:pPr>
              <w:ind w:left="3540"/>
              <w:spacing w:after="0"/>
              <w:rPr>
                <w:sz w:val="20"/>
                <w:szCs w:val="20"/>
                <w:color w:val="auto"/>
              </w:rPr>
            </w:pPr>
            <w:r>
              <w:rPr>
                <w:rFonts w:ascii="Arial" w:cs="Arial" w:eastAsia="Arial" w:hAnsi="Arial"/>
                <w:sz w:val="18"/>
                <w:szCs w:val="18"/>
                <w:color w:val="auto"/>
              </w:rPr>
              <w:t>USD $[**]</w:t>
            </w:r>
          </w:p>
        </w:tc>
        <w:tc>
          <w:tcPr>
            <w:tcW w:w="0" w:type="dxa"/>
            <w:vAlign w:val="bottom"/>
          </w:tcPr>
          <w:p>
            <w:pPr>
              <w:spacing w:after="0"/>
              <w:rPr>
                <w:sz w:val="1"/>
                <w:szCs w:val="1"/>
                <w:color w:val="auto"/>
              </w:rPr>
            </w:pPr>
          </w:p>
        </w:tc>
      </w:tr>
      <w:tr>
        <w:trPr>
          <w:trHeight w:val="81"/>
        </w:trPr>
        <w:tc>
          <w:tcPr>
            <w:tcW w:w="1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88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35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-187960</wp:posOffset>
            </wp:positionV>
            <wp:extent cx="5257165" cy="2400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257165" cy="240030"/>
                    </a:xfrm>
                    <a:prstGeom prst="rect">
                      <a:avLst/>
                    </a:prstGeom>
                    <a:noFill/>
                  </pic:spPr>
                </pic:pic>
              </a:graphicData>
            </a:graphic>
          </wp:anchor>
        </w:drawing>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6"/>
          <w:szCs w:val="16"/>
          <w:color w:val="auto"/>
        </w:rPr>
        <w:t>.</w:t>
      </w:r>
    </w:p>
    <w:p>
      <w:pPr>
        <w:spacing w:after="0" w:line="180" w:lineRule="exact"/>
        <w:rPr>
          <w:sz w:val="20"/>
          <w:szCs w:val="20"/>
          <w:color w:val="auto"/>
        </w:rPr>
      </w:pPr>
    </w:p>
    <w:p>
      <w:pPr>
        <w:jc w:val="both"/>
        <w:ind w:right="20" w:firstLine="877"/>
        <w:spacing w:after="0" w:line="243" w:lineRule="auto"/>
        <w:rPr>
          <w:sz w:val="20"/>
          <w:szCs w:val="20"/>
          <w:color w:val="auto"/>
        </w:rPr>
      </w:pPr>
      <w:r>
        <w:rPr>
          <w:rFonts w:ascii="Arial" w:cs="Arial" w:eastAsia="Arial" w:hAnsi="Arial"/>
          <w:sz w:val="22"/>
          <w:szCs w:val="22"/>
          <w:b w:val="1"/>
          <w:bCs w:val="1"/>
          <w:color w:val="auto"/>
        </w:rPr>
        <w:t xml:space="preserve">5.4.2 Payments. </w:t>
      </w:r>
      <w:r>
        <w:rPr>
          <w:rFonts w:ascii="Arial" w:cs="Arial" w:eastAsia="Arial" w:hAnsi="Arial"/>
          <w:sz w:val="22"/>
          <w:szCs w:val="22"/>
          <w:color w:val="auto"/>
        </w:rPr>
        <w:t>Novartis will provide Cerulean with written notice within [**] days after Novartis determines or</w:t>
      </w:r>
      <w:r>
        <w:rPr>
          <w:rFonts w:ascii="Arial" w:cs="Arial" w:eastAsia="Arial" w:hAnsi="Arial"/>
          <w:sz w:val="22"/>
          <w:szCs w:val="22"/>
          <w:b w:val="1"/>
          <w:bCs w:val="1"/>
          <w:color w:val="auto"/>
        </w:rPr>
        <w:t xml:space="preserve"> </w:t>
      </w:r>
      <w:r>
        <w:rPr>
          <w:rFonts w:ascii="Arial" w:cs="Arial" w:eastAsia="Arial" w:hAnsi="Arial"/>
          <w:sz w:val="22"/>
          <w:szCs w:val="22"/>
          <w:color w:val="auto"/>
        </w:rPr>
        <w:t>is informed that the relevant Milestone has been achieved. Novartis will pay the corresponding Milestone Payment within [**] days after receipt of the Invoice.</w:t>
      </w:r>
    </w:p>
    <w:p>
      <w:pPr>
        <w:spacing w:after="0" w:line="123" w:lineRule="exact"/>
        <w:rPr>
          <w:sz w:val="20"/>
          <w:szCs w:val="20"/>
          <w:color w:val="auto"/>
        </w:rPr>
      </w:pPr>
    </w:p>
    <w:p>
      <w:pPr>
        <w:ind w:right="40" w:firstLine="877"/>
        <w:spacing w:after="0" w:line="235" w:lineRule="auto"/>
        <w:rPr>
          <w:sz w:val="20"/>
          <w:szCs w:val="20"/>
          <w:color w:val="auto"/>
        </w:rPr>
      </w:pPr>
      <w:r>
        <w:rPr>
          <w:rFonts w:ascii="Arial" w:cs="Arial" w:eastAsia="Arial" w:hAnsi="Arial"/>
          <w:sz w:val="22"/>
          <w:szCs w:val="22"/>
          <w:b w:val="1"/>
          <w:bCs w:val="1"/>
          <w:color w:val="auto"/>
        </w:rPr>
        <w:t xml:space="preserve">5.4.3 Skipped Milestones. </w:t>
      </w:r>
      <w:r>
        <w:rPr>
          <w:rFonts w:ascii="Arial" w:cs="Arial" w:eastAsia="Arial" w:hAnsi="Arial"/>
          <w:sz w:val="22"/>
          <w:szCs w:val="22"/>
          <w:color w:val="auto"/>
        </w:rPr>
        <w:t>Milestones #1, 2, 3, and 4 are referred to as “</w:t>
      </w:r>
      <w:r>
        <w:rPr>
          <w:rFonts w:ascii="Arial" w:cs="Arial" w:eastAsia="Arial" w:hAnsi="Arial"/>
          <w:sz w:val="22"/>
          <w:szCs w:val="22"/>
          <w:u w:val="single" w:color="auto"/>
          <w:color w:val="auto"/>
        </w:rPr>
        <w:t>Development Milestones</w:t>
      </w:r>
      <w:r>
        <w:rPr>
          <w:rFonts w:ascii="Arial" w:cs="Arial" w:eastAsia="Arial" w:hAnsi="Arial"/>
          <w:sz w:val="22"/>
          <w:szCs w:val="22"/>
          <w:color w:val="auto"/>
        </w:rPr>
        <w:t>”. Milestone #5</w:t>
      </w:r>
      <w:r>
        <w:rPr>
          <w:rFonts w:ascii="Arial" w:cs="Arial" w:eastAsia="Arial" w:hAnsi="Arial"/>
          <w:sz w:val="22"/>
          <w:szCs w:val="22"/>
          <w:b w:val="1"/>
          <w:bCs w:val="1"/>
          <w:color w:val="auto"/>
        </w:rPr>
        <w:t xml:space="preserve"> </w:t>
      </w:r>
      <w:r>
        <w:rPr>
          <w:rFonts w:ascii="Arial" w:cs="Arial" w:eastAsia="Arial" w:hAnsi="Arial"/>
          <w:sz w:val="22"/>
          <w:szCs w:val="22"/>
          <w:color w:val="auto"/>
        </w:rPr>
        <w:t>is referred to as an “</w:t>
      </w:r>
      <w:r>
        <w:rPr>
          <w:rFonts w:ascii="Arial" w:cs="Arial" w:eastAsia="Arial" w:hAnsi="Arial"/>
          <w:sz w:val="22"/>
          <w:szCs w:val="22"/>
          <w:u w:val="single" w:color="auto"/>
          <w:color w:val="auto"/>
        </w:rPr>
        <w:t>Approval Milestone</w:t>
      </w:r>
      <w:r>
        <w:rPr>
          <w:rFonts w:ascii="Arial" w:cs="Arial" w:eastAsia="Arial" w:hAnsi="Arial"/>
          <w:sz w:val="22"/>
          <w:szCs w:val="22"/>
          <w:color w:val="auto"/>
        </w:rPr>
        <w:t>”. If a Development Milestone is skipped and not been paid for a specified Program but a subsequent Development Milestone is achieved for the same Program (whether by the same or a different Licensed Product), then all prior Development Milestones for such Program will be deemed achieved and will become payable at the time of achievement of the subsequent Development Milestone. For example, if a [**]. If the Approval Milestone is met for a Licensed Product, then all of the Development Milestones will be deemed to have been achieved (if not previously achieved) and payable (if not previously paid) for such Program.</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5" w:name="page96"/>
    <w:bookmarkEnd w:id="95"/>
    <w:p>
      <w:pPr>
        <w:ind w:left="9560"/>
        <w:spacing w:after="0"/>
        <w:rPr>
          <w:sz w:val="20"/>
          <w:szCs w:val="20"/>
          <w:color w:val="auto"/>
        </w:rPr>
      </w:pPr>
      <w:r>
        <w:rPr>
          <w:rFonts w:ascii="Arial" w:cs="Arial" w:eastAsia="Arial" w:hAnsi="Arial"/>
          <w:sz w:val="19"/>
          <w:szCs w:val="19"/>
          <w:color w:val="auto"/>
        </w:rPr>
        <w:t>EXECUTION COPY</w:t>
      </w:r>
    </w:p>
    <w:p>
      <w:pPr>
        <w:spacing w:after="0" w:line="262" w:lineRule="exact"/>
        <w:rPr>
          <w:sz w:val="20"/>
          <w:szCs w:val="20"/>
          <w:color w:val="auto"/>
        </w:rPr>
      </w:pPr>
    </w:p>
    <w:p>
      <w:pPr>
        <w:ind w:right="320" w:firstLine="877"/>
        <w:spacing w:after="0" w:line="256" w:lineRule="auto"/>
        <w:rPr>
          <w:sz w:val="20"/>
          <w:szCs w:val="20"/>
          <w:color w:val="auto"/>
        </w:rPr>
      </w:pPr>
      <w:r>
        <w:rPr>
          <w:rFonts w:ascii="Arial" w:cs="Arial" w:eastAsia="Arial" w:hAnsi="Arial"/>
          <w:sz w:val="22"/>
          <w:szCs w:val="22"/>
          <w:b w:val="1"/>
          <w:bCs w:val="1"/>
          <w:color w:val="auto"/>
        </w:rPr>
        <w:t xml:space="preserve">5.4.4 Limit on Milestones. </w:t>
      </w:r>
      <w:r>
        <w:rPr>
          <w:rFonts w:ascii="Arial" w:cs="Arial" w:eastAsia="Arial" w:hAnsi="Arial"/>
          <w:sz w:val="22"/>
          <w:szCs w:val="22"/>
          <w:color w:val="auto"/>
        </w:rPr>
        <w:t>For the avoidance of doubt, each of the Development and Approval Milestones set</w:t>
      </w:r>
      <w:r>
        <w:rPr>
          <w:rFonts w:ascii="Arial" w:cs="Arial" w:eastAsia="Arial" w:hAnsi="Arial"/>
          <w:sz w:val="22"/>
          <w:szCs w:val="22"/>
          <w:b w:val="1"/>
          <w:bCs w:val="1"/>
          <w:color w:val="auto"/>
        </w:rPr>
        <w:t xml:space="preserve"> </w:t>
      </w:r>
      <w:r>
        <w:rPr>
          <w:rFonts w:ascii="Arial" w:cs="Arial" w:eastAsia="Arial" w:hAnsi="Arial"/>
          <w:sz w:val="22"/>
          <w:szCs w:val="22"/>
          <w:color w:val="auto"/>
        </w:rPr>
        <w:t>forth above will not be payable more than once per Program.</w:t>
      </w:r>
    </w:p>
    <w:p>
      <w:pPr>
        <w:spacing w:after="0" w:line="109" w:lineRule="exact"/>
        <w:rPr>
          <w:sz w:val="20"/>
          <w:szCs w:val="20"/>
          <w:color w:val="auto"/>
        </w:rPr>
      </w:pPr>
    </w:p>
    <w:p>
      <w:pPr>
        <w:spacing w:after="0"/>
        <w:tabs>
          <w:tab w:leader="none" w:pos="1640" w:val="left"/>
        </w:tabs>
        <w:rPr>
          <w:sz w:val="20"/>
          <w:szCs w:val="20"/>
          <w:color w:val="auto"/>
        </w:rPr>
      </w:pPr>
      <w:r>
        <w:rPr>
          <w:rFonts w:ascii="Arial" w:cs="Arial" w:eastAsia="Arial" w:hAnsi="Arial"/>
          <w:sz w:val="22"/>
          <w:szCs w:val="22"/>
          <w:b w:val="1"/>
          <w:bCs w:val="1"/>
          <w:color w:val="auto"/>
        </w:rPr>
        <w:t>Section 5.5</w:t>
      </w:r>
      <w:r>
        <w:rPr>
          <w:sz w:val="20"/>
          <w:szCs w:val="20"/>
          <w:color w:val="auto"/>
        </w:rPr>
        <w:tab/>
      </w:r>
      <w:r>
        <w:rPr>
          <w:rFonts w:ascii="Arial" w:cs="Arial" w:eastAsia="Arial" w:hAnsi="Arial"/>
          <w:sz w:val="18"/>
          <w:szCs w:val="18"/>
          <w:b w:val="1"/>
          <w:bCs w:val="1"/>
          <w:color w:val="auto"/>
        </w:rPr>
        <w:t>Sales Milestones; Royalties.</w:t>
      </w:r>
    </w:p>
    <w:p>
      <w:pPr>
        <w:spacing w:after="0" w:line="152"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2"/>
          <w:szCs w:val="22"/>
          <w:b w:val="1"/>
          <w:bCs w:val="1"/>
          <w:color w:val="auto"/>
        </w:rPr>
        <w:t>5.5.1</w:t>
      </w:r>
      <w:r>
        <w:rPr>
          <w:sz w:val="20"/>
          <w:szCs w:val="20"/>
          <w:color w:val="auto"/>
        </w:rPr>
        <w:tab/>
      </w:r>
      <w:r>
        <w:rPr>
          <w:rFonts w:ascii="Arial" w:cs="Arial" w:eastAsia="Arial" w:hAnsi="Arial"/>
          <w:sz w:val="18"/>
          <w:szCs w:val="18"/>
          <w:b w:val="1"/>
          <w:bCs w:val="1"/>
          <w:color w:val="auto"/>
        </w:rPr>
        <w:t>Sales Milestones.</w:t>
      </w:r>
    </w:p>
    <w:p>
      <w:pPr>
        <w:spacing w:after="0" w:line="158" w:lineRule="exact"/>
        <w:rPr>
          <w:sz w:val="20"/>
          <w:szCs w:val="20"/>
          <w:color w:val="auto"/>
        </w:rPr>
      </w:pPr>
    </w:p>
    <w:p>
      <w:pPr>
        <w:ind w:left="880" w:firstLine="816"/>
        <w:spacing w:after="0" w:line="235" w:lineRule="auto"/>
        <w:tabs>
          <w:tab w:leader="none" w:pos="2590" w:val="left"/>
        </w:tabs>
        <w:numPr>
          <w:ilvl w:val="0"/>
          <w:numId w:val="92"/>
        </w:numPr>
        <w:rPr>
          <w:rFonts w:ascii="Arial" w:cs="Arial" w:eastAsia="Arial" w:hAnsi="Arial"/>
          <w:sz w:val="22"/>
          <w:szCs w:val="22"/>
          <w:b w:val="1"/>
          <w:bCs w:val="1"/>
          <w:color w:val="auto"/>
        </w:rPr>
      </w:pPr>
      <w:r>
        <w:rPr>
          <w:rFonts w:ascii="Arial" w:cs="Arial" w:eastAsia="Arial" w:hAnsi="Arial"/>
          <w:sz w:val="22"/>
          <w:szCs w:val="22"/>
          <w:color w:val="auto"/>
        </w:rPr>
        <w:t>Novartis will make each of the following one-time payments (per Program) (“</w:t>
      </w:r>
      <w:r>
        <w:rPr>
          <w:rFonts w:ascii="Arial" w:cs="Arial" w:eastAsia="Arial" w:hAnsi="Arial"/>
          <w:sz w:val="22"/>
          <w:szCs w:val="22"/>
          <w:u w:val="single" w:color="auto"/>
          <w:color w:val="auto"/>
        </w:rPr>
        <w:t>Sales Milestone</w:t>
      </w:r>
      <w:r>
        <w:rPr>
          <w:rFonts w:ascii="Arial" w:cs="Arial" w:eastAsia="Arial" w:hAnsi="Arial"/>
          <w:sz w:val="22"/>
          <w:szCs w:val="22"/>
          <w:color w:val="auto"/>
        </w:rPr>
        <w:t xml:space="preserve"> </w:t>
      </w:r>
      <w:r>
        <w:rPr>
          <w:rFonts w:ascii="Arial" w:cs="Arial" w:eastAsia="Arial" w:hAnsi="Arial"/>
          <w:sz w:val="22"/>
          <w:szCs w:val="22"/>
          <w:u w:val="single" w:color="auto"/>
          <w:color w:val="auto"/>
        </w:rPr>
        <w:t>Payments</w:t>
      </w:r>
      <w:r>
        <w:rPr>
          <w:rFonts w:ascii="Arial" w:cs="Arial" w:eastAsia="Arial" w:hAnsi="Arial"/>
          <w:sz w:val="22"/>
          <w:szCs w:val="22"/>
          <w:color w:val="auto"/>
        </w:rPr>
        <w:t>”) which shall become payable when worldwide Annual Net Sales of a Licensed Product in a given Calendar Year first meet the corresponding thresholds (each, a “</w:t>
      </w:r>
      <w:r>
        <w:rPr>
          <w:rFonts w:ascii="Arial" w:cs="Arial" w:eastAsia="Arial" w:hAnsi="Arial"/>
          <w:sz w:val="22"/>
          <w:szCs w:val="22"/>
          <w:u w:val="single" w:color="auto"/>
          <w:color w:val="auto"/>
        </w:rPr>
        <w:t>Sales Milestone</w:t>
      </w:r>
      <w:r>
        <w:rPr>
          <w:rFonts w:ascii="Arial" w:cs="Arial" w:eastAsia="Arial" w:hAnsi="Arial"/>
          <w:sz w:val="22"/>
          <w:szCs w:val="22"/>
          <w:color w:val="auto"/>
        </w:rPr>
        <w:t>”). For the avoidance of doubt, these amounts will not be aggregated between different Licensed Products and/or different Programs, and each Sales Milestone Payment will become payable for each Program based on the first achievement of the corresponding Sales Milestone by a Licensed Product in such Program.</w:t>
      </w:r>
    </w:p>
    <w:p>
      <w:pPr>
        <w:sectPr>
          <w:pgSz w:w="11900" w:h="16838" w:orient="portrait"/>
          <w:cols w:equalWidth="0" w:num="1">
            <w:col w:w="11420"/>
          </w:cols>
          <w:pgMar w:left="240" w:top="118" w:right="239" w:bottom="1440" w:gutter="0" w:footer="0" w:header="0"/>
        </w:sectPr>
      </w:pPr>
    </w:p>
    <w:p>
      <w:pPr>
        <w:spacing w:after="0" w:line="138" w:lineRule="exact"/>
        <w:rPr>
          <w:sz w:val="20"/>
          <w:szCs w:val="20"/>
          <w:color w:val="auto"/>
        </w:rPr>
      </w:pPr>
    </w:p>
    <w:p>
      <w:pPr>
        <w:ind w:left="1740"/>
        <w:spacing w:after="0"/>
        <w:rPr>
          <w:sz w:val="20"/>
          <w:szCs w:val="20"/>
          <w:color w:val="auto"/>
        </w:rPr>
      </w:pPr>
      <w:r>
        <w:rPr>
          <w:rFonts w:ascii="Arial" w:cs="Arial" w:eastAsia="Arial" w:hAnsi="Arial"/>
          <w:sz w:val="18"/>
          <w:szCs w:val="18"/>
          <w:b w:val="1"/>
          <w:bCs w:val="1"/>
          <w:u w:val="single" w:color="auto"/>
          <w:color w:val="auto"/>
        </w:rPr>
        <w:t>#</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18"/>
          <w:szCs w:val="18"/>
          <w:b w:val="1"/>
          <w:bCs w:val="1"/>
          <w:u w:val="single" w:color="auto"/>
          <w:color w:val="auto"/>
        </w:rPr>
        <w:t>Sales Milestone</w:t>
      </w:r>
    </w:p>
    <w:p>
      <w:pPr>
        <w:spacing w:after="0" w:line="170" w:lineRule="exact"/>
        <w:rPr>
          <w:sz w:val="20"/>
          <w:szCs w:val="20"/>
          <w:color w:val="auto"/>
        </w:rPr>
      </w:pPr>
    </w:p>
    <w:p>
      <w:pPr>
        <w:ind w:left="1980"/>
        <w:spacing w:after="0" w:line="263" w:lineRule="auto"/>
        <w:rPr>
          <w:sz w:val="20"/>
          <w:szCs w:val="20"/>
          <w:color w:val="auto"/>
        </w:rPr>
      </w:pPr>
      <w:r>
        <w:rPr>
          <w:rFonts w:ascii="Arial" w:cs="Arial" w:eastAsia="Arial" w:hAnsi="Arial"/>
          <w:sz w:val="18"/>
          <w:szCs w:val="18"/>
          <w:color w:val="auto"/>
        </w:rPr>
        <w:t>Worldwide Net Sales of a Licensed Product directed to a Designated Target in any Calendar Year during the Royalty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-287020</wp:posOffset>
            </wp:positionV>
            <wp:extent cx="5257165" cy="3003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257165" cy="300355"/>
                    </a:xfrm>
                    <a:prstGeom prst="rect">
                      <a:avLst/>
                    </a:prstGeom>
                    <a:noFill/>
                  </pic:spPr>
                </pic:pic>
              </a:graphicData>
            </a:graphic>
          </wp:anchor>
        </w:drawing>
      </w:r>
    </w:p>
    <w:p>
      <w:pPr>
        <w:ind w:left="1980" w:hanging="405"/>
        <w:spacing w:after="0"/>
        <w:tabs>
          <w:tab w:leader="none" w:pos="1980" w:val="left"/>
        </w:tabs>
        <w:numPr>
          <w:ilvl w:val="0"/>
          <w:numId w:val="93"/>
        </w:numPr>
        <w:rPr>
          <w:rFonts w:ascii="Arial" w:cs="Arial" w:eastAsia="Arial" w:hAnsi="Arial"/>
          <w:sz w:val="18"/>
          <w:szCs w:val="18"/>
          <w:b w:val="1"/>
          <w:bCs w:val="1"/>
          <w:color w:val="auto"/>
        </w:rPr>
      </w:pPr>
      <w:r>
        <w:rPr>
          <w:rFonts w:ascii="Arial" w:cs="Arial" w:eastAsia="Arial" w:hAnsi="Arial"/>
          <w:sz w:val="18"/>
          <w:szCs w:val="18"/>
          <w:color w:val="auto"/>
        </w:rPr>
        <w:t>… is at least USD $[**]</w:t>
      </w:r>
    </w:p>
    <w:p>
      <w:pPr>
        <w:spacing w:after="0" w:line="90" w:lineRule="exact"/>
        <w:rPr>
          <w:rFonts w:ascii="Arial" w:cs="Arial" w:eastAsia="Arial" w:hAnsi="Arial"/>
          <w:sz w:val="18"/>
          <w:szCs w:val="18"/>
          <w:b w:val="1"/>
          <w:bCs w:val="1"/>
          <w:color w:val="auto"/>
        </w:rPr>
      </w:pPr>
    </w:p>
    <w:p>
      <w:pPr>
        <w:ind w:left="1980" w:hanging="405"/>
        <w:spacing w:after="0"/>
        <w:tabs>
          <w:tab w:leader="none" w:pos="1980" w:val="left"/>
        </w:tabs>
        <w:numPr>
          <w:ilvl w:val="0"/>
          <w:numId w:val="93"/>
        </w:numPr>
        <w:rPr>
          <w:rFonts w:ascii="Arial" w:cs="Arial" w:eastAsia="Arial" w:hAnsi="Arial"/>
          <w:sz w:val="18"/>
          <w:szCs w:val="18"/>
          <w:b w:val="1"/>
          <w:bCs w:val="1"/>
          <w:color w:val="auto"/>
        </w:rPr>
      </w:pPr>
      <w:r>
        <w:rPr>
          <w:rFonts w:ascii="Arial" w:cs="Arial" w:eastAsia="Arial" w:hAnsi="Arial"/>
          <w:sz w:val="18"/>
          <w:szCs w:val="18"/>
          <w:color w:val="auto"/>
        </w:rPr>
        <w:t>… is at least USD $[**]</w:t>
      </w:r>
    </w:p>
    <w:p>
      <w:pPr>
        <w:spacing w:after="0" w:line="76" w:lineRule="exact"/>
        <w:rPr>
          <w:rFonts w:ascii="Arial" w:cs="Arial" w:eastAsia="Arial" w:hAnsi="Arial"/>
          <w:sz w:val="18"/>
          <w:szCs w:val="18"/>
          <w:b w:val="1"/>
          <w:bCs w:val="1"/>
          <w:color w:val="auto"/>
        </w:rPr>
      </w:pPr>
    </w:p>
    <w:p>
      <w:pPr>
        <w:ind w:left="1980" w:hanging="405"/>
        <w:spacing w:after="0"/>
        <w:tabs>
          <w:tab w:leader="none" w:pos="1980" w:val="left"/>
        </w:tabs>
        <w:numPr>
          <w:ilvl w:val="0"/>
          <w:numId w:val="93"/>
        </w:numPr>
        <w:rPr>
          <w:rFonts w:ascii="Arial" w:cs="Arial" w:eastAsia="Arial" w:hAnsi="Arial"/>
          <w:sz w:val="18"/>
          <w:szCs w:val="18"/>
          <w:b w:val="1"/>
          <w:bCs w:val="1"/>
          <w:color w:val="auto"/>
        </w:rPr>
      </w:pPr>
      <w:r>
        <w:rPr>
          <w:rFonts w:ascii="Arial" w:cs="Arial" w:eastAsia="Arial" w:hAnsi="Arial"/>
          <w:sz w:val="18"/>
          <w:szCs w:val="18"/>
          <w:color w:val="auto"/>
        </w:rPr>
        <w:t>… is at least USD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-301625</wp:posOffset>
            </wp:positionV>
            <wp:extent cx="5257165" cy="1803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257165" cy="180340"/>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48895</wp:posOffset>
            </wp:positionV>
            <wp:extent cx="5257165" cy="2400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257165" cy="240030"/>
                    </a:xfrm>
                    <a:prstGeom prst="rect">
                      <a:avLst/>
                    </a:prstGeom>
                    <a:noFill/>
                  </pic:spPr>
                </pic:pic>
              </a:graphicData>
            </a:graphic>
          </wp:anchor>
        </w:drawing>
      </w:r>
    </w:p>
    <w:p>
      <w:pPr>
        <w:spacing w:after="0" w:line="120" w:lineRule="exact"/>
        <w:rPr>
          <w:sz w:val="20"/>
          <w:szCs w:val="20"/>
          <w:color w:val="auto"/>
        </w:rPr>
      </w:pPr>
    </w:p>
    <w:p>
      <w:pPr>
        <w:ind w:left="1580"/>
        <w:spacing w:after="0"/>
        <w:tabs>
          <w:tab w:leader="none" w:pos="196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color w:val="auto"/>
        </w:rPr>
        <w:t>... is at least USD $[**]</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jc w:val="center"/>
        <w:ind w:right="1680"/>
        <w:spacing w:after="0"/>
        <w:rPr>
          <w:sz w:val="20"/>
          <w:szCs w:val="20"/>
          <w:color w:val="auto"/>
        </w:rPr>
      </w:pPr>
      <w:r>
        <w:rPr>
          <w:rFonts w:ascii="Arial" w:cs="Arial" w:eastAsia="Arial" w:hAnsi="Arial"/>
          <w:sz w:val="15"/>
          <w:szCs w:val="15"/>
          <w:b w:val="1"/>
          <w:bCs w:val="1"/>
          <w:color w:val="auto"/>
        </w:rPr>
        <w:t>Sales Milestone</w:t>
      </w:r>
    </w:p>
    <w:p>
      <w:pPr>
        <w:spacing w:after="0" w:line="62" w:lineRule="exact"/>
        <w:rPr>
          <w:sz w:val="20"/>
          <w:szCs w:val="20"/>
          <w:color w:val="auto"/>
        </w:rPr>
      </w:pPr>
    </w:p>
    <w:p>
      <w:pPr>
        <w:jc w:val="center"/>
        <w:ind w:right="1680"/>
        <w:spacing w:after="0"/>
        <w:rPr>
          <w:sz w:val="20"/>
          <w:szCs w:val="20"/>
          <w:color w:val="auto"/>
        </w:rPr>
      </w:pPr>
      <w:r>
        <w:rPr>
          <w:rFonts w:ascii="Arial" w:cs="Arial" w:eastAsia="Arial" w:hAnsi="Arial"/>
          <w:sz w:val="18"/>
          <w:szCs w:val="18"/>
          <w:b w:val="1"/>
          <w:bCs w:val="1"/>
          <w:u w:val="single" w:color="auto"/>
          <w:color w:val="auto"/>
        </w:rPr>
        <w:t>Payment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ind w:right="1560"/>
        <w:spacing w:after="0"/>
        <w:rPr>
          <w:sz w:val="20"/>
          <w:szCs w:val="20"/>
          <w:color w:val="auto"/>
        </w:rPr>
      </w:pPr>
      <w:r>
        <w:rPr>
          <w:rFonts w:ascii="Arial" w:cs="Arial" w:eastAsia="Arial" w:hAnsi="Arial"/>
          <w:sz w:val="18"/>
          <w:szCs w:val="18"/>
          <w:color w:val="auto"/>
        </w:rPr>
        <w:t>USD $[**]</w:t>
      </w:r>
    </w:p>
    <w:p>
      <w:pPr>
        <w:spacing w:after="0" w:line="77" w:lineRule="exact"/>
        <w:rPr>
          <w:sz w:val="20"/>
          <w:szCs w:val="20"/>
          <w:color w:val="auto"/>
        </w:rPr>
      </w:pPr>
    </w:p>
    <w:p>
      <w:pPr>
        <w:jc w:val="right"/>
        <w:ind w:right="1560"/>
        <w:spacing w:after="0"/>
        <w:rPr>
          <w:sz w:val="20"/>
          <w:szCs w:val="20"/>
          <w:color w:val="auto"/>
        </w:rPr>
      </w:pPr>
      <w:r>
        <w:rPr>
          <w:rFonts w:ascii="Arial" w:cs="Arial" w:eastAsia="Arial" w:hAnsi="Arial"/>
          <w:sz w:val="18"/>
          <w:szCs w:val="18"/>
          <w:color w:val="auto"/>
        </w:rPr>
        <w:t>USD $[**]</w:t>
      </w:r>
    </w:p>
    <w:p>
      <w:pPr>
        <w:spacing w:after="0" w:line="77" w:lineRule="exact"/>
        <w:rPr>
          <w:sz w:val="20"/>
          <w:szCs w:val="20"/>
          <w:color w:val="auto"/>
        </w:rPr>
      </w:pPr>
    </w:p>
    <w:p>
      <w:pPr>
        <w:jc w:val="right"/>
        <w:ind w:right="1560"/>
        <w:spacing w:after="0"/>
        <w:rPr>
          <w:sz w:val="20"/>
          <w:szCs w:val="20"/>
          <w:color w:val="auto"/>
        </w:rPr>
      </w:pPr>
      <w:r>
        <w:rPr>
          <w:rFonts w:ascii="Arial" w:cs="Arial" w:eastAsia="Arial" w:hAnsi="Arial"/>
          <w:sz w:val="18"/>
          <w:szCs w:val="18"/>
          <w:color w:val="auto"/>
        </w:rPr>
        <w:t>USD $[**]</w:t>
      </w:r>
    </w:p>
    <w:p>
      <w:pPr>
        <w:spacing w:after="0" w:line="36" w:lineRule="exact"/>
        <w:rPr>
          <w:sz w:val="20"/>
          <w:szCs w:val="20"/>
          <w:color w:val="auto"/>
        </w:rPr>
      </w:pPr>
    </w:p>
    <w:p>
      <w:pPr>
        <w:jc w:val="right"/>
        <w:ind w:right="1560"/>
        <w:spacing w:after="0"/>
        <w:rPr>
          <w:sz w:val="20"/>
          <w:szCs w:val="20"/>
          <w:color w:val="auto"/>
        </w:rPr>
      </w:pPr>
      <w:r>
        <w:rPr>
          <w:rFonts w:ascii="Arial" w:cs="Arial" w:eastAsia="Arial" w:hAnsi="Arial"/>
          <w:sz w:val="18"/>
          <w:szCs w:val="18"/>
          <w:color w:val="auto"/>
        </w:rPr>
        <w:t>USD $[**]</w:t>
      </w:r>
    </w:p>
    <w:p>
      <w:pPr>
        <w:spacing w:after="0" w:line="277" w:lineRule="exact"/>
        <w:rPr>
          <w:sz w:val="20"/>
          <w:szCs w:val="20"/>
          <w:color w:val="auto"/>
        </w:rPr>
      </w:pPr>
    </w:p>
    <w:p>
      <w:pPr>
        <w:sectPr>
          <w:pgSz w:w="11900" w:h="16838" w:orient="portrait"/>
          <w:cols w:equalWidth="0" w:num="2">
            <w:col w:w="7900" w:space="660"/>
            <w:col w:w="2860"/>
          </w:cols>
          <w:pgMar w:left="240" w:top="118" w:right="239" w:bottom="1440" w:gutter="0" w:footer="0" w:header="0"/>
          <w:type w:val="continuous"/>
        </w:sectPr>
      </w:pPr>
    </w:p>
    <w:p>
      <w:pPr>
        <w:spacing w:after="0" w:line="292" w:lineRule="exact"/>
        <w:rPr>
          <w:sz w:val="20"/>
          <w:szCs w:val="20"/>
          <w:color w:val="auto"/>
        </w:rPr>
      </w:pPr>
    </w:p>
    <w:p>
      <w:pPr>
        <w:ind w:left="880" w:right="80" w:firstLine="816"/>
        <w:spacing w:after="0" w:line="248" w:lineRule="auto"/>
        <w:tabs>
          <w:tab w:leader="none" w:pos="2602" w:val="left"/>
        </w:tabs>
        <w:numPr>
          <w:ilvl w:val="0"/>
          <w:numId w:val="94"/>
        </w:numPr>
        <w:rPr>
          <w:rFonts w:ascii="Arial" w:cs="Arial" w:eastAsia="Arial" w:hAnsi="Arial"/>
          <w:sz w:val="21"/>
          <w:szCs w:val="21"/>
          <w:b w:val="1"/>
          <w:bCs w:val="1"/>
          <w:color w:val="auto"/>
        </w:rPr>
      </w:pPr>
      <w:r>
        <w:rPr>
          <w:rFonts w:ascii="Arial" w:cs="Arial" w:eastAsia="Arial" w:hAnsi="Arial"/>
          <w:sz w:val="21"/>
          <w:szCs w:val="21"/>
          <w:color w:val="auto"/>
        </w:rPr>
        <w:t>Novartis will provide written notice to Cerulean of the achievement of each Sales Milestone together with the Sales &amp; Royalty Report (described in Section 5.5.2(c)), and will make the corresponding Sales Milestone Payment within [**] days after the date of receipt by Novartis of an Invoice for the indicated amount. For the avoidance of doubt, multiple Sales Milestones may be achieved and become payable in the same given Calendar Quarter and/or Calendar Year (</w:t>
      </w:r>
      <w:r>
        <w:rPr>
          <w:rFonts w:ascii="Arial" w:cs="Arial" w:eastAsia="Arial" w:hAnsi="Arial"/>
          <w:sz w:val="21"/>
          <w:szCs w:val="21"/>
          <w:i w:val="1"/>
          <w:iCs w:val="1"/>
          <w:color w:val="auto"/>
        </w:rPr>
        <w:t>e.g.</w:t>
      </w:r>
      <w:r>
        <w:rPr>
          <w:rFonts w:ascii="Arial" w:cs="Arial" w:eastAsia="Arial" w:hAnsi="Arial"/>
          <w:sz w:val="21"/>
          <w:szCs w:val="21"/>
          <w:color w:val="auto"/>
        </w:rPr>
        <w:t>, if Net Sales are USD$[**] in a given Calendar Quarter, both Milestone #1 and Milestone #2 will be deemed to have been achieved and become payable at the same time).</w:t>
      </w:r>
    </w:p>
    <w:p>
      <w:pPr>
        <w:spacing w:after="0" w:line="123" w:lineRule="exact"/>
        <w:rPr>
          <w:rFonts w:ascii="Arial" w:cs="Arial" w:eastAsia="Arial" w:hAnsi="Arial"/>
          <w:sz w:val="21"/>
          <w:szCs w:val="21"/>
          <w:b w:val="1"/>
          <w:bCs w:val="1"/>
          <w:color w:val="auto"/>
        </w:rPr>
      </w:pPr>
    </w:p>
    <w:p>
      <w:pPr>
        <w:ind w:left="2580" w:hanging="884"/>
        <w:spacing w:after="0"/>
        <w:tabs>
          <w:tab w:leader="none" w:pos="2580" w:val="left"/>
        </w:tabs>
        <w:numPr>
          <w:ilvl w:val="0"/>
          <w:numId w:val="94"/>
        </w:numPr>
        <w:rPr>
          <w:rFonts w:ascii="Arial" w:cs="Arial" w:eastAsia="Arial" w:hAnsi="Arial"/>
          <w:sz w:val="19"/>
          <w:szCs w:val="19"/>
          <w:b w:val="1"/>
          <w:bCs w:val="1"/>
          <w:color w:val="auto"/>
        </w:rPr>
      </w:pPr>
      <w:r>
        <w:rPr>
          <w:rFonts w:ascii="Arial" w:cs="Arial" w:eastAsia="Arial" w:hAnsi="Arial"/>
          <w:sz w:val="19"/>
          <w:szCs w:val="19"/>
          <w:color w:val="auto"/>
        </w:rPr>
        <w:t>For the avoidance of doubt, the Sales Milestones set forth above will not be payable more than once</w:t>
      </w:r>
    </w:p>
    <w:p>
      <w:pPr>
        <w:spacing w:after="0" w:line="42" w:lineRule="exact"/>
        <w:rPr>
          <w:rFonts w:ascii="Arial" w:cs="Arial" w:eastAsia="Arial" w:hAnsi="Arial"/>
          <w:sz w:val="19"/>
          <w:szCs w:val="19"/>
          <w:b w:val="1"/>
          <w:bCs w:val="1"/>
          <w:color w:val="auto"/>
        </w:rPr>
      </w:pPr>
    </w:p>
    <w:p>
      <w:pPr>
        <w:ind w:left="880"/>
        <w:spacing w:after="0"/>
        <w:rPr>
          <w:rFonts w:ascii="Arial" w:cs="Arial" w:eastAsia="Arial" w:hAnsi="Arial"/>
          <w:sz w:val="19"/>
          <w:szCs w:val="19"/>
          <w:b w:val="1"/>
          <w:bCs w:val="1"/>
          <w:color w:val="auto"/>
        </w:rPr>
      </w:pPr>
      <w:r>
        <w:rPr>
          <w:rFonts w:ascii="Arial" w:cs="Arial" w:eastAsia="Arial" w:hAnsi="Arial"/>
          <w:sz w:val="22"/>
          <w:szCs w:val="22"/>
          <w:color w:val="auto"/>
        </w:rPr>
        <w:t>per Program.</w:t>
      </w:r>
    </w:p>
    <w:p>
      <w:pPr>
        <w:spacing w:after="0" w:line="128"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2"/>
          <w:szCs w:val="22"/>
          <w:b w:val="1"/>
          <w:bCs w:val="1"/>
          <w:color w:val="auto"/>
        </w:rPr>
        <w:t>5.5.2</w:t>
      </w:r>
      <w:r>
        <w:rPr>
          <w:sz w:val="20"/>
          <w:szCs w:val="20"/>
          <w:color w:val="auto"/>
        </w:rPr>
        <w:tab/>
      </w:r>
      <w:r>
        <w:rPr>
          <w:rFonts w:ascii="Arial" w:cs="Arial" w:eastAsia="Arial" w:hAnsi="Arial"/>
          <w:sz w:val="19"/>
          <w:szCs w:val="19"/>
          <w:b w:val="1"/>
          <w:bCs w:val="1"/>
          <w:color w:val="auto"/>
        </w:rPr>
        <w:t>Royalties.</w:t>
      </w:r>
    </w:p>
    <w:p>
      <w:pPr>
        <w:spacing w:after="0" w:line="158" w:lineRule="exact"/>
        <w:rPr>
          <w:sz w:val="20"/>
          <w:szCs w:val="20"/>
          <w:color w:val="auto"/>
        </w:rPr>
      </w:pPr>
    </w:p>
    <w:p>
      <w:pPr>
        <w:ind w:left="880" w:right="200" w:firstLine="816"/>
        <w:spacing w:after="0" w:line="328" w:lineRule="auto"/>
        <w:tabs>
          <w:tab w:leader="none" w:pos="2590" w:val="left"/>
        </w:tabs>
        <w:numPr>
          <w:ilvl w:val="0"/>
          <w:numId w:val="95"/>
        </w:numPr>
        <w:rPr>
          <w:rFonts w:ascii="Arial" w:cs="Arial" w:eastAsia="Arial" w:hAnsi="Arial"/>
          <w:sz w:val="19"/>
          <w:szCs w:val="19"/>
          <w:b w:val="1"/>
          <w:bCs w:val="1"/>
          <w:color w:val="auto"/>
        </w:rPr>
      </w:pPr>
      <w:r>
        <w:rPr>
          <w:rFonts w:ascii="Arial" w:cs="Arial" w:eastAsia="Arial" w:hAnsi="Arial"/>
          <w:sz w:val="19"/>
          <w:szCs w:val="19"/>
          <w:color w:val="auto"/>
        </w:rPr>
        <w:t>During the applicable Royalty Term, Novartis will make royalty payments to Cerulean on Net Sales of Licensed Products by Novartis, its Affiliates and sublicensees at the applicable marginal rates set forth below.</w:t>
      </w:r>
    </w:p>
    <w:p>
      <w:pPr>
        <w:spacing w:after="0" w:line="2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96" w:name="page97"/>
    <w:bookmarkEnd w:id="96"/>
    <w:p>
      <w:pPr>
        <w:ind w:left="9560"/>
        <w:spacing w:after="0"/>
        <w:rPr>
          <w:sz w:val="20"/>
          <w:szCs w:val="20"/>
          <w:color w:val="auto"/>
        </w:rPr>
      </w:pPr>
      <w:r>
        <w:rPr>
          <w:rFonts w:ascii="Arial" w:cs="Arial" w:eastAsia="Arial" w:hAnsi="Arial"/>
          <w:sz w:val="19"/>
          <w:szCs w:val="19"/>
          <w:color w:val="auto"/>
        </w:rPr>
        <w:t>EXECUTION COPY</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left="980"/>
        <w:spacing w:after="0"/>
        <w:rPr>
          <w:sz w:val="20"/>
          <w:szCs w:val="20"/>
          <w:color w:val="auto"/>
        </w:rPr>
      </w:pPr>
      <w:r>
        <w:rPr>
          <w:rFonts w:ascii="Arial" w:cs="Arial" w:eastAsia="Arial" w:hAnsi="Arial"/>
          <w:sz w:val="16"/>
          <w:szCs w:val="16"/>
          <w:b w:val="1"/>
          <w:bCs w:val="1"/>
          <w:color w:val="auto"/>
        </w:rPr>
        <w:t>Worldwide Net Sales of Licensed Product in any Calendar Year</w:t>
      </w:r>
    </w:p>
    <w:p>
      <w:pPr>
        <w:spacing w:after="0" w:line="50" w:lineRule="exact"/>
        <w:rPr>
          <w:sz w:val="20"/>
          <w:szCs w:val="20"/>
          <w:color w:val="auto"/>
        </w:rPr>
      </w:pPr>
    </w:p>
    <w:p>
      <w:pPr>
        <w:jc w:val="center"/>
        <w:ind w:left="1020"/>
        <w:spacing w:after="0"/>
        <w:rPr>
          <w:sz w:val="20"/>
          <w:szCs w:val="20"/>
          <w:color w:val="auto"/>
        </w:rPr>
      </w:pPr>
      <w:r>
        <w:rPr>
          <w:rFonts w:ascii="Arial" w:cs="Arial" w:eastAsia="Arial" w:hAnsi="Arial"/>
          <w:sz w:val="18"/>
          <w:szCs w:val="18"/>
          <w:b w:val="1"/>
          <w:bCs w:val="1"/>
          <w:color w:val="auto"/>
        </w:rPr>
        <w:t>during the Royalty Term</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Portion of annual worldwide Net Sales…</w:t>
      </w:r>
    </w:p>
    <w:p>
      <w:pPr>
        <w:spacing w:after="0" w:line="23" w:lineRule="exact"/>
        <w:rPr>
          <w:sz w:val="20"/>
          <w:szCs w:val="20"/>
          <w:color w:val="auto"/>
        </w:rPr>
      </w:pPr>
    </w:p>
    <w:p>
      <w:pPr>
        <w:ind w:left="560" w:hanging="221"/>
        <w:spacing w:after="0"/>
        <w:tabs>
          <w:tab w:leader="none" w:pos="5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between USD $0 to and including USD $[**]</w:t>
      </w:r>
    </w:p>
    <w:p>
      <w:pPr>
        <w:spacing w:after="0" w:line="9" w:lineRule="exact"/>
        <w:rPr>
          <w:rFonts w:ascii="Arial" w:cs="Arial" w:eastAsia="Arial" w:hAnsi="Arial"/>
          <w:sz w:val="18"/>
          <w:szCs w:val="18"/>
          <w:color w:val="auto"/>
        </w:rPr>
      </w:pPr>
    </w:p>
    <w:p>
      <w:pPr>
        <w:ind w:left="560" w:hanging="221"/>
        <w:spacing w:after="0"/>
        <w:tabs>
          <w:tab w:leader="none" w:pos="5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between USD $[**] to and including USD $[**]</w:t>
      </w:r>
    </w:p>
    <w:p>
      <w:pPr>
        <w:spacing w:after="0" w:line="35" w:lineRule="exact"/>
        <w:rPr>
          <w:rFonts w:ascii="Arial" w:cs="Arial" w:eastAsia="Arial" w:hAnsi="Arial"/>
          <w:sz w:val="18"/>
          <w:szCs w:val="18"/>
          <w:color w:val="auto"/>
        </w:rPr>
      </w:pPr>
    </w:p>
    <w:p>
      <w:pPr>
        <w:ind w:left="560" w:hanging="221"/>
        <w:spacing w:after="0"/>
        <w:tabs>
          <w:tab w:leader="none" w:pos="5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between USD $[**] to and including USD $[**]</w:t>
      </w:r>
    </w:p>
    <w:p>
      <w:pPr>
        <w:spacing w:after="0" w:line="23" w:lineRule="exact"/>
        <w:rPr>
          <w:rFonts w:ascii="Arial" w:cs="Arial" w:eastAsia="Arial" w:hAnsi="Arial"/>
          <w:sz w:val="18"/>
          <w:szCs w:val="18"/>
          <w:color w:val="auto"/>
        </w:rPr>
      </w:pPr>
    </w:p>
    <w:p>
      <w:pPr>
        <w:ind w:left="560" w:hanging="221"/>
        <w:spacing w:after="0"/>
        <w:tabs>
          <w:tab w:leader="none" w:pos="5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 excess of USD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-568325</wp:posOffset>
            </wp:positionV>
            <wp:extent cx="682625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26250" cy="13716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-267970</wp:posOffset>
            </wp:positionV>
            <wp:extent cx="6826250" cy="146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2625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For example, if Net Sales in a calendar year are $[**], the royalty on such Net Sales will be equal to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Royalty Rate</w:t>
      </w:r>
    </w:p>
    <w:p>
      <w:pPr>
        <w:spacing w:after="0" w:line="200" w:lineRule="exact"/>
        <w:rPr>
          <w:sz w:val="20"/>
          <w:szCs w:val="20"/>
          <w:color w:val="auto"/>
        </w:rPr>
      </w:pPr>
    </w:p>
    <w:p>
      <w:pPr>
        <w:spacing w:after="0" w:line="32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p>
    <w:p>
      <w:pPr>
        <w:spacing w:after="0" w:line="3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p>
    <w:p>
      <w:pPr>
        <w:spacing w:after="0" w:line="359" w:lineRule="exact"/>
        <w:rPr>
          <w:sz w:val="20"/>
          <w:szCs w:val="20"/>
          <w:color w:val="auto"/>
        </w:rPr>
      </w:pPr>
    </w:p>
    <w:p>
      <w:pPr>
        <w:sectPr>
          <w:pgSz w:w="11900" w:h="16838" w:orient="portrait"/>
          <w:cols w:equalWidth="0" w:num="2">
            <w:col w:w="9320" w:space="720"/>
            <w:col w:w="1380"/>
          </w:cols>
          <w:pgMar w:left="240" w:top="118" w:right="239" w:bottom="1440" w:gutter="0" w:footer="0" w:header="0"/>
          <w:type w:val="continuous"/>
        </w:sectPr>
      </w:pPr>
    </w:p>
    <w:p>
      <w:pPr>
        <w:ind w:left="880" w:right="20" w:firstLine="816"/>
        <w:spacing w:after="0" w:line="243" w:lineRule="auto"/>
        <w:tabs>
          <w:tab w:leader="none" w:pos="2656" w:val="left"/>
        </w:tabs>
        <w:numPr>
          <w:ilvl w:val="0"/>
          <w:numId w:val="9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Term of Royalties. </w:t>
      </w:r>
      <w:r>
        <w:rPr>
          <w:rFonts w:ascii="Arial" w:cs="Arial" w:eastAsia="Arial" w:hAnsi="Arial"/>
          <w:sz w:val="22"/>
          <w:szCs w:val="22"/>
          <w:color w:val="auto"/>
        </w:rPr>
        <w:t>Royalties will be payable on a Licensed Product-by-Licensed Product basis</w:t>
      </w:r>
      <w:r>
        <w:rPr>
          <w:rFonts w:ascii="Arial" w:cs="Arial" w:eastAsia="Arial" w:hAnsi="Arial"/>
          <w:sz w:val="22"/>
          <w:szCs w:val="22"/>
          <w:b w:val="1"/>
          <w:bCs w:val="1"/>
          <w:color w:val="auto"/>
        </w:rPr>
        <w:t xml:space="preserve"> </w:t>
      </w:r>
      <w:r>
        <w:rPr>
          <w:rFonts w:ascii="Arial" w:cs="Arial" w:eastAsia="Arial" w:hAnsi="Arial"/>
          <w:sz w:val="22"/>
          <w:szCs w:val="22"/>
          <w:color w:val="auto"/>
        </w:rPr>
        <w:t>during the Royalty Term. For the avoidance of doubt, royalties will be payable only once with respect to the same unit of Licensed Product.</w:t>
      </w:r>
    </w:p>
    <w:p>
      <w:pPr>
        <w:spacing w:after="0" w:line="122" w:lineRule="exact"/>
        <w:rPr>
          <w:rFonts w:ascii="Arial" w:cs="Arial" w:eastAsia="Arial" w:hAnsi="Arial"/>
          <w:sz w:val="22"/>
          <w:szCs w:val="22"/>
          <w:b w:val="1"/>
          <w:bCs w:val="1"/>
          <w:color w:val="auto"/>
        </w:rPr>
      </w:pPr>
    </w:p>
    <w:p>
      <w:pPr>
        <w:jc w:val="both"/>
        <w:ind w:left="880" w:right="40" w:firstLine="816"/>
        <w:spacing w:after="0" w:line="239" w:lineRule="auto"/>
        <w:tabs>
          <w:tab w:leader="none" w:pos="2578" w:val="left"/>
        </w:tabs>
        <w:numPr>
          <w:ilvl w:val="0"/>
          <w:numId w:val="9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Reporting. </w:t>
      </w:r>
      <w:r>
        <w:rPr>
          <w:rFonts w:ascii="Arial" w:cs="Arial" w:eastAsia="Arial" w:hAnsi="Arial"/>
          <w:sz w:val="22"/>
          <w:szCs w:val="22"/>
          <w:color w:val="auto"/>
        </w:rPr>
        <w:t>Within [**] days after each Calendar Quarter during the term of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following the First Commercial Sale of a Licensed Product, Novartis will provide to Cerulean a Sales &amp; Royalty Report. Cerulean will submit an Invoice to Novartis with respect to the royalty amount shown therein. Novartis will pay such royalty amount within [**] days after receipt of the Invoice.</w:t>
      </w:r>
    </w:p>
    <w:p>
      <w:pPr>
        <w:spacing w:after="0" w:line="127" w:lineRule="exact"/>
        <w:rPr>
          <w:sz w:val="20"/>
          <w:szCs w:val="20"/>
          <w:color w:val="auto"/>
        </w:rPr>
      </w:pPr>
    </w:p>
    <w:p>
      <w:pPr>
        <w:ind w:left="880"/>
        <w:spacing w:after="0"/>
        <w:tabs>
          <w:tab w:leader="none" w:pos="2680" w:val="left"/>
        </w:tabs>
        <w:rPr>
          <w:sz w:val="20"/>
          <w:szCs w:val="20"/>
          <w:color w:val="auto"/>
        </w:rPr>
      </w:pPr>
      <w:r>
        <w:rPr>
          <w:rFonts w:ascii="Arial" w:cs="Arial" w:eastAsia="Arial" w:hAnsi="Arial"/>
          <w:sz w:val="22"/>
          <w:szCs w:val="22"/>
          <w:b w:val="1"/>
          <w:bCs w:val="1"/>
          <w:color w:val="auto"/>
        </w:rPr>
        <w:t>Section 5.5.3</w:t>
      </w:r>
      <w:r>
        <w:rPr>
          <w:sz w:val="20"/>
          <w:szCs w:val="20"/>
          <w:color w:val="auto"/>
        </w:rPr>
        <w:tab/>
      </w:r>
      <w:r>
        <w:rPr>
          <w:rFonts w:ascii="Arial" w:cs="Arial" w:eastAsia="Arial" w:hAnsi="Arial"/>
          <w:sz w:val="19"/>
          <w:szCs w:val="19"/>
          <w:b w:val="1"/>
          <w:bCs w:val="1"/>
          <w:color w:val="auto"/>
        </w:rPr>
        <w:t xml:space="preserve">Patent Loss; Loss of Market Exclusivity. </w:t>
      </w:r>
      <w:r>
        <w:rPr>
          <w:rFonts w:ascii="Arial" w:cs="Arial" w:eastAsia="Arial" w:hAnsi="Arial"/>
          <w:sz w:val="19"/>
          <w:szCs w:val="19"/>
          <w:color w:val="auto"/>
        </w:rPr>
        <w:t>For any period during the Royalty Term in which</w:t>
      </w:r>
    </w:p>
    <w:p>
      <w:pPr>
        <w:spacing w:after="0" w:line="158" w:lineRule="exact"/>
        <w:rPr>
          <w:sz w:val="20"/>
          <w:szCs w:val="20"/>
          <w:color w:val="auto"/>
        </w:rPr>
      </w:pPr>
    </w:p>
    <w:p>
      <w:pPr>
        <w:ind w:left="880" w:right="160" w:firstLine="816"/>
        <w:spacing w:after="0" w:line="328" w:lineRule="auto"/>
        <w:tabs>
          <w:tab w:leader="none" w:pos="2590" w:val="left"/>
        </w:tabs>
        <w:numPr>
          <w:ilvl w:val="0"/>
          <w:numId w:val="98"/>
        </w:numPr>
        <w:rPr>
          <w:rFonts w:ascii="Arial" w:cs="Arial" w:eastAsia="Arial" w:hAnsi="Arial"/>
          <w:sz w:val="19"/>
          <w:szCs w:val="19"/>
          <w:b w:val="1"/>
          <w:bCs w:val="1"/>
          <w:color w:val="auto"/>
        </w:rPr>
      </w:pPr>
      <w:r>
        <w:rPr>
          <w:rFonts w:ascii="Arial" w:cs="Arial" w:eastAsia="Arial" w:hAnsi="Arial"/>
          <w:sz w:val="19"/>
          <w:szCs w:val="19"/>
          <w:color w:val="auto"/>
        </w:rPr>
        <w:t>the manufacture, use, offer for sale, sale and importation of a Licensed Product in any jurisdiction is not covered by a Valid Claim of Patent Rights included in the Exclusively Licensed Intellectual Property; or</w:t>
      </w:r>
    </w:p>
    <w:p>
      <w:pPr>
        <w:spacing w:after="0" w:line="51" w:lineRule="exact"/>
        <w:rPr>
          <w:rFonts w:ascii="Arial" w:cs="Arial" w:eastAsia="Arial" w:hAnsi="Arial"/>
          <w:sz w:val="19"/>
          <w:szCs w:val="19"/>
          <w:b w:val="1"/>
          <w:bCs w:val="1"/>
          <w:color w:val="auto"/>
        </w:rPr>
      </w:pPr>
    </w:p>
    <w:p>
      <w:pPr>
        <w:ind w:left="2600" w:hanging="904"/>
        <w:spacing w:after="0"/>
        <w:tabs>
          <w:tab w:leader="none" w:pos="2600" w:val="left"/>
        </w:tabs>
        <w:numPr>
          <w:ilvl w:val="0"/>
          <w:numId w:val="98"/>
        </w:numPr>
        <w:rPr>
          <w:rFonts w:ascii="Arial" w:cs="Arial" w:eastAsia="Arial" w:hAnsi="Arial"/>
          <w:sz w:val="19"/>
          <w:szCs w:val="19"/>
          <w:b w:val="1"/>
          <w:bCs w:val="1"/>
          <w:color w:val="auto"/>
        </w:rPr>
      </w:pPr>
      <w:r>
        <w:rPr>
          <w:rFonts w:ascii="Arial" w:cs="Arial" w:eastAsia="Arial" w:hAnsi="Arial"/>
          <w:sz w:val="19"/>
          <w:szCs w:val="19"/>
          <w:color w:val="auto"/>
        </w:rPr>
        <w:t>a Loss of Market Exclusivity exists with respect to such Licensed Product in any jurisdiction in a</w:t>
      </w:r>
    </w:p>
    <w:p>
      <w:pPr>
        <w:spacing w:after="0" w:line="42" w:lineRule="exact"/>
        <w:rPr>
          <w:rFonts w:ascii="Arial" w:cs="Arial" w:eastAsia="Arial" w:hAnsi="Arial"/>
          <w:sz w:val="19"/>
          <w:szCs w:val="19"/>
          <w:b w:val="1"/>
          <w:bCs w:val="1"/>
          <w:color w:val="auto"/>
        </w:rPr>
      </w:pPr>
    </w:p>
    <w:p>
      <w:pPr>
        <w:ind w:left="880"/>
        <w:spacing w:after="0"/>
        <w:rPr>
          <w:rFonts w:ascii="Arial" w:cs="Arial" w:eastAsia="Arial" w:hAnsi="Arial"/>
          <w:sz w:val="19"/>
          <w:szCs w:val="19"/>
          <w:b w:val="1"/>
          <w:bCs w:val="1"/>
          <w:color w:val="auto"/>
        </w:rPr>
      </w:pPr>
      <w:r>
        <w:rPr>
          <w:rFonts w:ascii="Arial" w:cs="Arial" w:eastAsia="Arial" w:hAnsi="Arial"/>
          <w:sz w:val="22"/>
          <w:szCs w:val="22"/>
          <w:color w:val="auto"/>
        </w:rPr>
        <w:t>Calendar Year,</w:t>
      </w:r>
    </w:p>
    <w:p>
      <w:pPr>
        <w:spacing w:after="0" w:line="134" w:lineRule="exact"/>
        <w:rPr>
          <w:sz w:val="20"/>
          <w:szCs w:val="20"/>
          <w:color w:val="auto"/>
        </w:rPr>
      </w:pPr>
    </w:p>
    <w:p>
      <w:pPr>
        <w:ind w:right="220"/>
        <w:spacing w:after="0" w:line="251" w:lineRule="auto"/>
        <w:rPr>
          <w:sz w:val="20"/>
          <w:szCs w:val="20"/>
          <w:color w:val="auto"/>
        </w:rPr>
      </w:pPr>
      <w:r>
        <w:rPr>
          <w:rFonts w:ascii="Arial" w:cs="Arial" w:eastAsia="Arial" w:hAnsi="Arial"/>
          <w:sz w:val="22"/>
          <w:szCs w:val="22"/>
          <w:color w:val="auto"/>
        </w:rPr>
        <w:t>then the royalty payable to Cerulean applicable to Net Sales of such Licensed Product in such jurisdiction during such period will be equal to [**]% of the amounts otherwise due as set forth in Section 5.5.2.</w:t>
      </w:r>
    </w:p>
    <w:p>
      <w:pPr>
        <w:spacing w:after="0" w:line="113" w:lineRule="exact"/>
        <w:rPr>
          <w:sz w:val="20"/>
          <w:szCs w:val="20"/>
          <w:color w:val="auto"/>
        </w:rPr>
      </w:pPr>
    </w:p>
    <w:p>
      <w:pPr>
        <w:spacing w:after="0"/>
        <w:tabs>
          <w:tab w:leader="none" w:pos="1640" w:val="left"/>
        </w:tabs>
        <w:rPr>
          <w:sz w:val="20"/>
          <w:szCs w:val="20"/>
          <w:color w:val="auto"/>
        </w:rPr>
      </w:pPr>
      <w:r>
        <w:rPr>
          <w:rFonts w:ascii="Arial" w:cs="Arial" w:eastAsia="Arial" w:hAnsi="Arial"/>
          <w:sz w:val="22"/>
          <w:szCs w:val="22"/>
          <w:b w:val="1"/>
          <w:bCs w:val="1"/>
          <w:color w:val="auto"/>
        </w:rPr>
        <w:t>Section 5.6</w:t>
      </w:r>
      <w:r>
        <w:rPr>
          <w:sz w:val="20"/>
          <w:szCs w:val="20"/>
          <w:color w:val="auto"/>
        </w:rPr>
        <w:tab/>
      </w:r>
      <w:r>
        <w:rPr>
          <w:rFonts w:ascii="Arial" w:cs="Arial" w:eastAsia="Arial" w:hAnsi="Arial"/>
          <w:sz w:val="19"/>
          <w:szCs w:val="19"/>
          <w:b w:val="1"/>
          <w:bCs w:val="1"/>
          <w:color w:val="auto"/>
        </w:rPr>
        <w:t>Third Party Intellectual Property; Set Off.</w:t>
      </w:r>
    </w:p>
    <w:p>
      <w:pPr>
        <w:spacing w:after="0" w:line="152" w:lineRule="exact"/>
        <w:rPr>
          <w:sz w:val="20"/>
          <w:szCs w:val="20"/>
          <w:color w:val="auto"/>
        </w:rPr>
      </w:pPr>
    </w:p>
    <w:p>
      <w:pPr>
        <w:ind w:right="100" w:firstLine="877"/>
        <w:spacing w:after="0" w:line="239" w:lineRule="auto"/>
        <w:rPr>
          <w:sz w:val="20"/>
          <w:szCs w:val="20"/>
          <w:color w:val="auto"/>
        </w:rPr>
      </w:pPr>
      <w:r>
        <w:rPr>
          <w:rFonts w:ascii="Arial" w:cs="Arial" w:eastAsia="Arial" w:hAnsi="Arial"/>
          <w:sz w:val="22"/>
          <w:szCs w:val="22"/>
          <w:b w:val="1"/>
          <w:bCs w:val="1"/>
          <w:color w:val="auto"/>
        </w:rPr>
        <w:t xml:space="preserve">5.6.1 Existing Intellectual Property. </w:t>
      </w:r>
      <w:r>
        <w:rPr>
          <w:rFonts w:ascii="Arial" w:cs="Arial" w:eastAsia="Arial" w:hAnsi="Arial"/>
          <w:sz w:val="22"/>
          <w:szCs w:val="22"/>
          <w:color w:val="auto"/>
        </w:rPr>
        <w:t>To the extent the Cerulean Background Intellectual Property includes</w:t>
      </w:r>
      <w:r>
        <w:rPr>
          <w:rFonts w:ascii="Arial" w:cs="Arial" w:eastAsia="Arial" w:hAnsi="Arial"/>
          <w:sz w:val="22"/>
          <w:szCs w:val="22"/>
          <w:b w:val="1"/>
          <w:bCs w:val="1"/>
          <w:color w:val="auto"/>
        </w:rPr>
        <w:t xml:space="preserve"> </w:t>
      </w:r>
      <w:r>
        <w:rPr>
          <w:rFonts w:ascii="Arial" w:cs="Arial" w:eastAsia="Arial" w:hAnsi="Arial"/>
          <w:sz w:val="22"/>
          <w:szCs w:val="22"/>
          <w:color w:val="auto"/>
        </w:rPr>
        <w:t>Intellectual Property Rights licensed to Cerulean from a Third Party (</w:t>
      </w:r>
      <w:r>
        <w:rPr>
          <w:rFonts w:ascii="Arial" w:cs="Arial" w:eastAsia="Arial" w:hAnsi="Arial"/>
          <w:sz w:val="22"/>
          <w:szCs w:val="22"/>
          <w:i w:val="1"/>
          <w:iCs w:val="1"/>
          <w:color w:val="auto"/>
        </w:rPr>
        <w:t>e.g.</w:t>
      </w:r>
      <w:r>
        <w:rPr>
          <w:rFonts w:ascii="Arial" w:cs="Arial" w:eastAsia="Arial" w:hAnsi="Arial"/>
          <w:sz w:val="22"/>
          <w:szCs w:val="22"/>
          <w:color w:val="auto"/>
        </w:rPr>
        <w:t>, from Caltech), Cerulean shall be responsible for any and all payments (including annual fees, milestones, and royalties) arising from Novartis’ Practice of such Cerulean Background Intellectual Property as contemplated by this Agreement.</w:t>
      </w:r>
    </w:p>
    <w:p>
      <w:pPr>
        <w:spacing w:after="0" w:line="127" w:lineRule="exact"/>
        <w:rPr>
          <w:sz w:val="20"/>
          <w:szCs w:val="20"/>
          <w:color w:val="auto"/>
        </w:rPr>
      </w:pPr>
    </w:p>
    <w:p>
      <w:pPr>
        <w:ind w:right="60" w:firstLine="877"/>
        <w:spacing w:after="0" w:line="235" w:lineRule="auto"/>
        <w:rPr>
          <w:sz w:val="20"/>
          <w:szCs w:val="20"/>
          <w:color w:val="auto"/>
        </w:rPr>
      </w:pPr>
      <w:r>
        <w:rPr>
          <w:rFonts w:ascii="Arial" w:cs="Arial" w:eastAsia="Arial" w:hAnsi="Arial"/>
          <w:sz w:val="22"/>
          <w:szCs w:val="22"/>
          <w:b w:val="1"/>
          <w:bCs w:val="1"/>
          <w:color w:val="auto"/>
        </w:rPr>
        <w:t xml:space="preserve">5.6.2 Dominating Intellectual Property Covering the Cerulean Background Intellectual Property. </w:t>
      </w:r>
      <w:r>
        <w:rPr>
          <w:rFonts w:ascii="Arial" w:cs="Arial" w:eastAsia="Arial" w:hAnsi="Arial"/>
          <w:sz w:val="22"/>
          <w:szCs w:val="22"/>
          <w:color w:val="auto"/>
        </w:rPr>
        <w:t>If</w:t>
      </w:r>
      <w:r>
        <w:rPr>
          <w:rFonts w:ascii="Arial" w:cs="Arial" w:eastAsia="Arial" w:hAnsi="Arial"/>
          <w:sz w:val="22"/>
          <w:szCs w:val="22"/>
          <w:b w:val="1"/>
          <w:bCs w:val="1"/>
          <w:color w:val="auto"/>
        </w:rPr>
        <w:t xml:space="preserve"> </w:t>
      </w:r>
      <w:r>
        <w:rPr>
          <w:rFonts w:ascii="Arial" w:cs="Arial" w:eastAsia="Arial" w:hAnsi="Arial"/>
          <w:sz w:val="22"/>
          <w:szCs w:val="22"/>
          <w:color w:val="auto"/>
        </w:rPr>
        <w:t>Novartis determines that licenses or other rights to Patent Rights owned or controlled by a Third Party are necessary to exercise the licenses granted by Cerulean to Cerulean Background Intellectual Property under this Agreement, and but for such rights, Novartis would be unable to Practice the inventions encompassed within the licenses granted by Cerulean to Cerulean Background Intellectual Property under this Agreement, and such license is necessary to make, use or sell nanoparticles comprised of a cyclodextrin polymer conjugated to an API, then Novartis will have the right to negotiate and acquire such rights through a license or</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97" w:name="page98"/>
    <w:bookmarkEnd w:id="97"/>
    <w:p>
      <w:pPr>
        <w:ind w:left="9560"/>
        <w:spacing w:after="0"/>
        <w:rPr>
          <w:sz w:val="20"/>
          <w:szCs w:val="20"/>
          <w:color w:val="auto"/>
        </w:rPr>
      </w:pPr>
      <w:r>
        <w:rPr>
          <w:rFonts w:ascii="Arial" w:cs="Arial" w:eastAsia="Arial" w:hAnsi="Arial"/>
          <w:sz w:val="19"/>
          <w:szCs w:val="19"/>
          <w:color w:val="auto"/>
        </w:rPr>
        <w:t>EXECUTION COPY</w:t>
      </w:r>
    </w:p>
    <w:p>
      <w:pPr>
        <w:spacing w:after="0" w:line="268" w:lineRule="exact"/>
        <w:rPr>
          <w:sz w:val="20"/>
          <w:szCs w:val="20"/>
          <w:color w:val="auto"/>
        </w:rPr>
      </w:pPr>
    </w:p>
    <w:p>
      <w:pPr>
        <w:ind w:right="80"/>
        <w:spacing w:after="0" w:line="273" w:lineRule="auto"/>
        <w:rPr>
          <w:sz w:val="20"/>
          <w:szCs w:val="20"/>
          <w:color w:val="auto"/>
        </w:rPr>
      </w:pPr>
      <w:r>
        <w:rPr>
          <w:rFonts w:ascii="Arial" w:cs="Arial" w:eastAsia="Arial" w:hAnsi="Arial"/>
          <w:sz w:val="19"/>
          <w:szCs w:val="19"/>
          <w:color w:val="auto"/>
        </w:rPr>
        <w:t>otherwise on commercially reasonable terms, and to deduct [**] paid (including milestone payments and royalties) by Novartis to such Third Party for such rights from amounts payable to Cerulean pursuant to this Article V. In no event shall such deductions be greater than the aggregate amount of milestones and royalties payable to Cerulean under this Agreement on a going forward basis. Novartis will provide Cerulean with prior notice of the negotiations and the opportunity to comment thereon (such comments to be considered by Novartis in good faith). Cerulean will reasonably cooperate with Novartis to acquire such rights. To be subject to the set off in this Section 5.6.2, any upfront, milestone, royalty and/or other license payments that Novartis agrees to pay a Third Party in order to acquire rights to Cerulean Background Intellectual Property must be clearly allocated to the Cerulean Background Intellectual Property and a Licensed Product, and any payments attributable to any other Intellectual Property Rights (</w:t>
      </w:r>
      <w:r>
        <w:rPr>
          <w:rFonts w:ascii="Arial" w:cs="Arial" w:eastAsia="Arial" w:hAnsi="Arial"/>
          <w:sz w:val="19"/>
          <w:szCs w:val="19"/>
          <w:i w:val="1"/>
          <w:iCs w:val="1"/>
          <w:color w:val="auto"/>
        </w:rPr>
        <w:t>i.e.</w:t>
      </w:r>
      <w:r>
        <w:rPr>
          <w:rFonts w:ascii="Arial" w:cs="Arial" w:eastAsia="Arial" w:hAnsi="Arial"/>
          <w:sz w:val="19"/>
          <w:szCs w:val="19"/>
          <w:color w:val="auto"/>
        </w:rPr>
        <w:t>, for Practice other than with respect to a Licensed Product or other than with respect to the relevant Cerulean Background Intellectual Property) will not be included in the deductions permitted by this Section 5.6.2.</w:t>
      </w:r>
    </w:p>
    <w:p>
      <w:pPr>
        <w:spacing w:after="0" w:line="102" w:lineRule="exact"/>
        <w:rPr>
          <w:sz w:val="20"/>
          <w:szCs w:val="20"/>
          <w:color w:val="auto"/>
        </w:rPr>
      </w:pPr>
    </w:p>
    <w:p>
      <w:pPr>
        <w:ind w:right="20" w:firstLine="877"/>
        <w:spacing w:after="0" w:line="273" w:lineRule="auto"/>
        <w:rPr>
          <w:sz w:val="20"/>
          <w:szCs w:val="20"/>
          <w:color w:val="auto"/>
        </w:rPr>
      </w:pPr>
      <w:r>
        <w:rPr>
          <w:rFonts w:ascii="Arial" w:cs="Arial" w:eastAsia="Arial" w:hAnsi="Arial"/>
          <w:sz w:val="19"/>
          <w:szCs w:val="19"/>
          <w:b w:val="1"/>
          <w:bCs w:val="1"/>
          <w:color w:val="auto"/>
        </w:rPr>
        <w:t xml:space="preserve">5.6.3 Other Necessary or Useful Intellectual Property. </w:t>
      </w:r>
      <w:r>
        <w:rPr>
          <w:rFonts w:ascii="Arial" w:cs="Arial" w:eastAsia="Arial" w:hAnsi="Arial"/>
          <w:sz w:val="19"/>
          <w:szCs w:val="19"/>
          <w:color w:val="auto"/>
        </w:rPr>
        <w:t>If Novartis determines that licenses or other rights to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Patent Rights owned or controlled by a Third Party are necessary or useful to research, Develop, or Commercialize a Licensed Product (other than Intellectual Property Rights relating to API or its use, other Intellectual Property Rights contributed by Novartis to the Collaboration, or Intellectual Property Rights described in Section 5.6.2), Novartis will be entitled to deduct [**]% of the allocated (in accordance with the last sentence of this Section) amounts paid by Novartis for milestone payments, royalties, or other licenses to such Third Party against royalties payable to Cerulean pursuant to this Article V;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such deductions may not reduce royalties payable to Cerulean pursuant to Section 5.5.2 below [**]% of otherwise applicable royalties. To be subject to the set off in this Section 5.6.3, any upfront, milestone, royalty and/or other license payments that Novartis agrees to pay a Third Party in order to acquire rights to the relevant Intellectual Property Rights must be clearly allocated to the relevant Licensed Product and any payments attributable to any other Intellectual Property Rights (</w:t>
      </w:r>
      <w:r>
        <w:rPr>
          <w:rFonts w:ascii="Arial" w:cs="Arial" w:eastAsia="Arial" w:hAnsi="Arial"/>
          <w:sz w:val="19"/>
          <w:szCs w:val="19"/>
          <w:i w:val="1"/>
          <w:iCs w:val="1"/>
          <w:color w:val="auto"/>
        </w:rPr>
        <w:t>i.e.</w:t>
      </w:r>
      <w:r>
        <w:rPr>
          <w:rFonts w:ascii="Arial" w:cs="Arial" w:eastAsia="Arial" w:hAnsi="Arial"/>
          <w:sz w:val="19"/>
          <w:szCs w:val="19"/>
          <w:color w:val="auto"/>
        </w:rPr>
        <w:t>, for Practice other than with respect to a Licensed Product) will not be included in the deductions permitted by this Section 5.6.3.</w:t>
      </w:r>
    </w:p>
    <w:p>
      <w:pPr>
        <w:spacing w:after="0" w:line="102" w:lineRule="exact"/>
        <w:rPr>
          <w:sz w:val="20"/>
          <w:szCs w:val="20"/>
          <w:color w:val="auto"/>
        </w:rPr>
      </w:pPr>
    </w:p>
    <w:p>
      <w:pPr>
        <w:spacing w:after="0"/>
        <w:tabs>
          <w:tab w:leader="none" w:pos="1640" w:val="left"/>
        </w:tabs>
        <w:rPr>
          <w:sz w:val="20"/>
          <w:szCs w:val="20"/>
          <w:color w:val="auto"/>
        </w:rPr>
      </w:pPr>
      <w:r>
        <w:rPr>
          <w:rFonts w:ascii="Arial" w:cs="Arial" w:eastAsia="Arial" w:hAnsi="Arial"/>
          <w:sz w:val="22"/>
          <w:szCs w:val="22"/>
          <w:b w:val="1"/>
          <w:bCs w:val="1"/>
          <w:color w:val="auto"/>
        </w:rPr>
        <w:t>Section 5.7</w:t>
      </w:r>
      <w:r>
        <w:rPr>
          <w:sz w:val="20"/>
          <w:szCs w:val="20"/>
          <w:color w:val="auto"/>
        </w:rPr>
        <w:tab/>
      </w:r>
      <w:r>
        <w:rPr>
          <w:rFonts w:ascii="Arial" w:cs="Arial" w:eastAsia="Arial" w:hAnsi="Arial"/>
          <w:sz w:val="18"/>
          <w:szCs w:val="18"/>
          <w:b w:val="1"/>
          <w:bCs w:val="1"/>
          <w:color w:val="auto"/>
        </w:rPr>
        <w:t>Payments.</w:t>
      </w:r>
    </w:p>
    <w:p>
      <w:pPr>
        <w:spacing w:after="0" w:line="152" w:lineRule="exact"/>
        <w:rPr>
          <w:sz w:val="20"/>
          <w:szCs w:val="20"/>
          <w:color w:val="auto"/>
        </w:rPr>
      </w:pPr>
    </w:p>
    <w:p>
      <w:pPr>
        <w:jc w:val="both"/>
        <w:ind w:right="380" w:firstLine="877"/>
        <w:spacing w:after="0" w:line="237" w:lineRule="auto"/>
        <w:rPr>
          <w:sz w:val="20"/>
          <w:szCs w:val="20"/>
          <w:color w:val="auto"/>
        </w:rPr>
      </w:pPr>
      <w:r>
        <w:rPr>
          <w:rFonts w:ascii="Arial" w:cs="Arial" w:eastAsia="Arial" w:hAnsi="Arial"/>
          <w:sz w:val="22"/>
          <w:szCs w:val="22"/>
          <w:b w:val="1"/>
          <w:bCs w:val="1"/>
          <w:color w:val="auto"/>
        </w:rPr>
        <w:t xml:space="preserve">5.7.1 Generally. </w:t>
      </w:r>
      <w:r>
        <w:rPr>
          <w:rFonts w:ascii="Arial" w:cs="Arial" w:eastAsia="Arial" w:hAnsi="Arial"/>
          <w:sz w:val="22"/>
          <w:szCs w:val="22"/>
          <w:color w:val="auto"/>
        </w:rPr>
        <w:t>All payments from Novartis to Cerulean will be made by wire transfer in U.S. Dollars to the</w:t>
      </w:r>
      <w:r>
        <w:rPr>
          <w:rFonts w:ascii="Arial" w:cs="Arial" w:eastAsia="Arial" w:hAnsi="Arial"/>
          <w:sz w:val="22"/>
          <w:szCs w:val="22"/>
          <w:b w:val="1"/>
          <w:bCs w:val="1"/>
          <w:color w:val="auto"/>
        </w:rPr>
        <w:t xml:space="preserve"> </w:t>
      </w:r>
      <w:r>
        <w:rPr>
          <w:rFonts w:ascii="Arial" w:cs="Arial" w:eastAsia="Arial" w:hAnsi="Arial"/>
          <w:sz w:val="22"/>
          <w:szCs w:val="22"/>
          <w:color w:val="auto"/>
        </w:rPr>
        <w:t>credit of such bank account as may be designated by Cerulean in this Agreement or in writing to Novartis. Any payment which falls due on a date which is not a Business Day in the location from which the payment will be made may be made on the next succeeding Business Day in such location. Unless otherwise specified in this Agreement all payments will be made against an Invoice and the payment terms are [**] days.</w:t>
      </w:r>
    </w:p>
    <w:p>
      <w:pPr>
        <w:spacing w:after="0" w:line="129" w:lineRule="exact"/>
        <w:rPr>
          <w:sz w:val="20"/>
          <w:szCs w:val="20"/>
          <w:color w:val="auto"/>
        </w:rPr>
      </w:pPr>
    </w:p>
    <w:p>
      <w:pPr>
        <w:ind w:firstLine="877"/>
        <w:spacing w:after="0" w:line="301" w:lineRule="auto"/>
        <w:rPr>
          <w:sz w:val="20"/>
          <w:szCs w:val="20"/>
          <w:color w:val="auto"/>
        </w:rPr>
      </w:pPr>
      <w:r>
        <w:rPr>
          <w:rFonts w:ascii="Arial" w:cs="Arial" w:eastAsia="Arial" w:hAnsi="Arial"/>
          <w:sz w:val="19"/>
          <w:szCs w:val="19"/>
          <w:b w:val="1"/>
          <w:bCs w:val="1"/>
          <w:color w:val="auto"/>
        </w:rPr>
        <w:t xml:space="preserve">5.7.2 Currency. </w:t>
      </w:r>
      <w:r>
        <w:rPr>
          <w:rFonts w:ascii="Arial" w:cs="Arial" w:eastAsia="Arial" w:hAnsi="Arial"/>
          <w:sz w:val="19"/>
          <w:szCs w:val="19"/>
          <w:color w:val="auto"/>
        </w:rPr>
        <w:t>All payments under this Agreement shall be made in U.S. Dollars. Any sales incurred in a</w:t>
      </w:r>
      <w:r>
        <w:rPr>
          <w:rFonts w:ascii="Arial" w:cs="Arial" w:eastAsia="Arial" w:hAnsi="Arial"/>
          <w:sz w:val="19"/>
          <w:szCs w:val="19"/>
          <w:b w:val="1"/>
          <w:bCs w:val="1"/>
          <w:color w:val="auto"/>
        </w:rPr>
        <w:t xml:space="preserve"> </w:t>
      </w:r>
      <w:r>
        <w:rPr>
          <w:rFonts w:ascii="Arial" w:cs="Arial" w:eastAsia="Arial" w:hAnsi="Arial"/>
          <w:sz w:val="19"/>
          <w:szCs w:val="19"/>
          <w:color w:val="auto"/>
        </w:rPr>
        <w:t>currency other than US Dollars shall be converted to the U.S. Dollar equivalent using Novartis’ then-current standard exchange rate methodology as applied in its external reporting for the conversion of foreign currency sales into U.S. Dollars.</w:t>
      </w:r>
    </w:p>
    <w:p>
      <w:pPr>
        <w:spacing w:after="0" w:line="137" w:lineRule="exact"/>
        <w:rPr>
          <w:sz w:val="20"/>
          <w:szCs w:val="20"/>
          <w:color w:val="auto"/>
        </w:rPr>
      </w:pPr>
    </w:p>
    <w:p>
      <w:pPr>
        <w:ind w:right="80" w:firstLine="877"/>
        <w:spacing w:after="0" w:line="256" w:lineRule="auto"/>
        <w:rPr>
          <w:sz w:val="20"/>
          <w:szCs w:val="20"/>
          <w:color w:val="auto"/>
        </w:rPr>
      </w:pPr>
      <w:r>
        <w:rPr>
          <w:rFonts w:ascii="Arial" w:cs="Arial" w:eastAsia="Arial" w:hAnsi="Arial"/>
          <w:sz w:val="22"/>
          <w:szCs w:val="22"/>
          <w:b w:val="1"/>
          <w:bCs w:val="1"/>
          <w:color w:val="auto"/>
        </w:rPr>
        <w:t>5.7.3 Taxes</w:t>
      </w:r>
      <w:r>
        <w:rPr>
          <w:rFonts w:ascii="Arial" w:cs="Arial" w:eastAsia="Arial" w:hAnsi="Arial"/>
          <w:sz w:val="22"/>
          <w:szCs w:val="22"/>
          <w:color w:val="auto"/>
        </w:rPr>
        <w:t>. Each Party will be solely responsible for its own tax obligations hereunder. If any taxes are required</w:t>
      </w:r>
      <w:r>
        <w:rPr>
          <w:rFonts w:ascii="Arial" w:cs="Arial" w:eastAsia="Arial" w:hAnsi="Arial"/>
          <w:sz w:val="22"/>
          <w:szCs w:val="22"/>
          <w:b w:val="1"/>
          <w:bCs w:val="1"/>
          <w:color w:val="auto"/>
        </w:rPr>
        <w:t xml:space="preserve"> </w:t>
      </w:r>
      <w:r>
        <w:rPr>
          <w:rFonts w:ascii="Arial" w:cs="Arial" w:eastAsia="Arial" w:hAnsi="Arial"/>
          <w:sz w:val="22"/>
          <w:szCs w:val="22"/>
          <w:color w:val="auto"/>
        </w:rPr>
        <w:t>by Applicable Law to be withheld by Novartis from payments due to Cerulean hereunder, Novartis will:</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8" w:name="page99"/>
    <w:bookmarkEnd w:id="98"/>
    <w:p>
      <w:pPr>
        <w:ind w:left="9560"/>
        <w:spacing w:after="0"/>
        <w:rPr>
          <w:sz w:val="20"/>
          <w:szCs w:val="20"/>
          <w:color w:val="auto"/>
        </w:rPr>
      </w:pPr>
      <w:r>
        <w:rPr>
          <w:rFonts w:ascii="Arial" w:cs="Arial" w:eastAsia="Arial" w:hAnsi="Arial"/>
          <w:sz w:val="19"/>
          <w:szCs w:val="19"/>
          <w:color w:val="auto"/>
        </w:rPr>
        <w:t>EXECUTION COPY</w:t>
      </w:r>
    </w:p>
    <w:p>
      <w:pPr>
        <w:spacing w:after="0" w:line="268" w:lineRule="exact"/>
        <w:rPr>
          <w:sz w:val="20"/>
          <w:szCs w:val="20"/>
          <w:color w:val="auto"/>
        </w:rPr>
      </w:pPr>
    </w:p>
    <w:p>
      <w:pPr>
        <w:ind w:left="2600" w:hanging="904"/>
        <w:spacing w:after="0"/>
        <w:tabs>
          <w:tab w:leader="none" w:pos="2600" w:val="left"/>
        </w:tabs>
        <w:numPr>
          <w:ilvl w:val="0"/>
          <w:numId w:val="99"/>
        </w:numPr>
        <w:rPr>
          <w:rFonts w:ascii="Arial" w:cs="Arial" w:eastAsia="Arial" w:hAnsi="Arial"/>
          <w:sz w:val="22"/>
          <w:szCs w:val="22"/>
          <w:b w:val="1"/>
          <w:bCs w:val="1"/>
          <w:color w:val="auto"/>
        </w:rPr>
      </w:pPr>
      <w:r>
        <w:rPr>
          <w:rFonts w:ascii="Arial" w:cs="Arial" w:eastAsia="Arial" w:hAnsi="Arial"/>
          <w:sz w:val="22"/>
          <w:szCs w:val="22"/>
          <w:color w:val="auto"/>
        </w:rPr>
        <w:t>deduct such taxes from the payment made to Cerulean;</w:t>
      </w:r>
    </w:p>
    <w:p>
      <w:pPr>
        <w:spacing w:after="0" w:line="152" w:lineRule="exact"/>
        <w:rPr>
          <w:rFonts w:ascii="Arial" w:cs="Arial" w:eastAsia="Arial" w:hAnsi="Arial"/>
          <w:sz w:val="22"/>
          <w:szCs w:val="22"/>
          <w:b w:val="1"/>
          <w:bCs w:val="1"/>
          <w:color w:val="auto"/>
        </w:rPr>
      </w:pPr>
    </w:p>
    <w:p>
      <w:pPr>
        <w:ind w:left="2600" w:hanging="904"/>
        <w:spacing w:after="0"/>
        <w:tabs>
          <w:tab w:leader="none" w:pos="2600" w:val="left"/>
        </w:tabs>
        <w:numPr>
          <w:ilvl w:val="0"/>
          <w:numId w:val="99"/>
        </w:numPr>
        <w:rPr>
          <w:rFonts w:ascii="Arial" w:cs="Arial" w:eastAsia="Arial" w:hAnsi="Arial"/>
          <w:sz w:val="22"/>
          <w:szCs w:val="22"/>
          <w:b w:val="1"/>
          <w:bCs w:val="1"/>
          <w:color w:val="auto"/>
        </w:rPr>
      </w:pPr>
      <w:r>
        <w:rPr>
          <w:rFonts w:ascii="Arial" w:cs="Arial" w:eastAsia="Arial" w:hAnsi="Arial"/>
          <w:sz w:val="22"/>
          <w:szCs w:val="22"/>
          <w:color w:val="auto"/>
        </w:rPr>
        <w:t>timely pay the taxes to the proper taxing authority;</w:t>
      </w:r>
    </w:p>
    <w:p>
      <w:pPr>
        <w:spacing w:after="0" w:line="152" w:lineRule="exact"/>
        <w:rPr>
          <w:rFonts w:ascii="Arial" w:cs="Arial" w:eastAsia="Arial" w:hAnsi="Arial"/>
          <w:sz w:val="22"/>
          <w:szCs w:val="22"/>
          <w:b w:val="1"/>
          <w:bCs w:val="1"/>
          <w:color w:val="auto"/>
        </w:rPr>
      </w:pPr>
    </w:p>
    <w:p>
      <w:pPr>
        <w:ind w:left="2580" w:hanging="884"/>
        <w:spacing w:after="0"/>
        <w:tabs>
          <w:tab w:leader="none" w:pos="2580" w:val="left"/>
        </w:tabs>
        <w:numPr>
          <w:ilvl w:val="0"/>
          <w:numId w:val="99"/>
        </w:numPr>
        <w:rPr>
          <w:rFonts w:ascii="Arial" w:cs="Arial" w:eastAsia="Arial" w:hAnsi="Arial"/>
          <w:sz w:val="22"/>
          <w:szCs w:val="22"/>
          <w:b w:val="1"/>
          <w:bCs w:val="1"/>
          <w:color w:val="auto"/>
        </w:rPr>
      </w:pPr>
      <w:r>
        <w:rPr>
          <w:rFonts w:ascii="Arial" w:cs="Arial" w:eastAsia="Arial" w:hAnsi="Arial"/>
          <w:sz w:val="22"/>
          <w:szCs w:val="22"/>
          <w:color w:val="auto"/>
        </w:rPr>
        <w:t>send proof of payment to Cerulean; and</w:t>
      </w:r>
    </w:p>
    <w:p>
      <w:pPr>
        <w:spacing w:after="0" w:line="152" w:lineRule="exact"/>
        <w:rPr>
          <w:rFonts w:ascii="Arial" w:cs="Arial" w:eastAsia="Arial" w:hAnsi="Arial"/>
          <w:sz w:val="22"/>
          <w:szCs w:val="22"/>
          <w:b w:val="1"/>
          <w:bCs w:val="1"/>
          <w:color w:val="auto"/>
        </w:rPr>
      </w:pPr>
    </w:p>
    <w:p>
      <w:pPr>
        <w:ind w:left="2660" w:hanging="964"/>
        <w:spacing w:after="0"/>
        <w:tabs>
          <w:tab w:leader="none" w:pos="2660" w:val="left"/>
        </w:tabs>
        <w:numPr>
          <w:ilvl w:val="0"/>
          <w:numId w:val="99"/>
        </w:numPr>
        <w:rPr>
          <w:rFonts w:ascii="Arial" w:cs="Arial" w:eastAsia="Arial" w:hAnsi="Arial"/>
          <w:sz w:val="22"/>
          <w:szCs w:val="22"/>
          <w:b w:val="1"/>
          <w:bCs w:val="1"/>
          <w:color w:val="auto"/>
        </w:rPr>
      </w:pPr>
      <w:r>
        <w:rPr>
          <w:rFonts w:ascii="Arial" w:cs="Arial" w:eastAsia="Arial" w:hAnsi="Arial"/>
          <w:sz w:val="22"/>
          <w:szCs w:val="22"/>
          <w:color w:val="auto"/>
        </w:rPr>
        <w:t>reasonably assist Cerulean in its efforts to obtain a credit for such tax payment.</w:t>
      </w:r>
    </w:p>
    <w:p>
      <w:pPr>
        <w:spacing w:after="0" w:line="152" w:lineRule="exact"/>
        <w:rPr>
          <w:sz w:val="20"/>
          <w:szCs w:val="20"/>
          <w:color w:val="auto"/>
        </w:rPr>
      </w:pPr>
    </w:p>
    <w:p>
      <w:pPr>
        <w:ind w:right="820"/>
        <w:spacing w:after="0" w:line="251" w:lineRule="auto"/>
        <w:rPr>
          <w:sz w:val="20"/>
          <w:szCs w:val="20"/>
          <w:color w:val="auto"/>
        </w:rPr>
      </w:pPr>
      <w:r>
        <w:rPr>
          <w:rFonts w:ascii="Arial" w:cs="Arial" w:eastAsia="Arial" w:hAnsi="Arial"/>
          <w:sz w:val="22"/>
          <w:szCs w:val="22"/>
          <w:color w:val="auto"/>
        </w:rPr>
        <w:t>Each Party will reasonably assist the other Party in lawfully claiming exemptions from and minimizing such deductions or withholdings under double taxation laws or similar circumstances.</w:t>
      </w:r>
    </w:p>
    <w:p>
      <w:pPr>
        <w:spacing w:after="0" w:line="113" w:lineRule="exact"/>
        <w:rPr>
          <w:sz w:val="20"/>
          <w:szCs w:val="20"/>
          <w:color w:val="auto"/>
        </w:rPr>
      </w:pPr>
    </w:p>
    <w:p>
      <w:pPr>
        <w:spacing w:after="0"/>
        <w:tabs>
          <w:tab w:leader="none" w:pos="1640" w:val="left"/>
        </w:tabs>
        <w:rPr>
          <w:sz w:val="20"/>
          <w:szCs w:val="20"/>
          <w:color w:val="auto"/>
        </w:rPr>
      </w:pPr>
      <w:r>
        <w:rPr>
          <w:rFonts w:ascii="Arial" w:cs="Arial" w:eastAsia="Arial" w:hAnsi="Arial"/>
          <w:sz w:val="22"/>
          <w:szCs w:val="22"/>
          <w:b w:val="1"/>
          <w:bCs w:val="1"/>
          <w:color w:val="auto"/>
        </w:rPr>
        <w:t>Section 5.8</w:t>
      </w:r>
      <w:r>
        <w:rPr>
          <w:sz w:val="20"/>
          <w:szCs w:val="20"/>
          <w:color w:val="auto"/>
        </w:rPr>
        <w:tab/>
      </w:r>
      <w:r>
        <w:rPr>
          <w:rFonts w:ascii="Arial" w:cs="Arial" w:eastAsia="Arial" w:hAnsi="Arial"/>
          <w:sz w:val="19"/>
          <w:szCs w:val="19"/>
          <w:b w:val="1"/>
          <w:bCs w:val="1"/>
          <w:color w:val="auto"/>
        </w:rPr>
        <w:t>Recordkeeping and Audit Rights.</w:t>
      </w:r>
    </w:p>
    <w:p>
      <w:pPr>
        <w:spacing w:after="0" w:line="152" w:lineRule="exact"/>
        <w:rPr>
          <w:sz w:val="20"/>
          <w:szCs w:val="20"/>
          <w:color w:val="auto"/>
        </w:rPr>
      </w:pPr>
    </w:p>
    <w:p>
      <w:pPr>
        <w:ind w:right="20" w:firstLine="877"/>
        <w:spacing w:after="0" w:line="239" w:lineRule="auto"/>
        <w:rPr>
          <w:sz w:val="20"/>
          <w:szCs w:val="20"/>
          <w:color w:val="auto"/>
        </w:rPr>
      </w:pPr>
      <w:r>
        <w:rPr>
          <w:rFonts w:ascii="Arial" w:cs="Arial" w:eastAsia="Arial" w:hAnsi="Arial"/>
          <w:sz w:val="22"/>
          <w:szCs w:val="22"/>
          <w:b w:val="1"/>
          <w:bCs w:val="1"/>
          <w:color w:val="auto"/>
        </w:rPr>
        <w:t xml:space="preserve">5.8.1 Recordkeeping. </w:t>
      </w:r>
      <w:r>
        <w:rPr>
          <w:rFonts w:ascii="Arial" w:cs="Arial" w:eastAsia="Arial" w:hAnsi="Arial"/>
          <w:sz w:val="22"/>
          <w:szCs w:val="22"/>
          <w:color w:val="auto"/>
        </w:rPr>
        <w:t>Each party will keep complete, true and accurate books and records in accordance with its</w:t>
      </w:r>
      <w:r>
        <w:rPr>
          <w:rFonts w:ascii="Arial" w:cs="Arial" w:eastAsia="Arial" w:hAnsi="Arial"/>
          <w:sz w:val="22"/>
          <w:szCs w:val="22"/>
          <w:b w:val="1"/>
          <w:bCs w:val="1"/>
          <w:color w:val="auto"/>
        </w:rPr>
        <w:t xml:space="preserve"> </w:t>
      </w:r>
      <w:r>
        <w:rPr>
          <w:rFonts w:ascii="Arial" w:cs="Arial" w:eastAsia="Arial" w:hAnsi="Arial"/>
          <w:sz w:val="22"/>
          <w:szCs w:val="22"/>
          <w:color w:val="auto"/>
        </w:rPr>
        <w:t>Accounting Standards in relation to this Agreement, including with respect to Novartis and its Affiliates in relation to Net Sales and royalties. Each party will keep such books and records for at least the current Calendar Year and [**] most recently ended years following the Calendar Quarter to which they pertain.</w:t>
      </w:r>
    </w:p>
    <w:p>
      <w:pPr>
        <w:spacing w:after="0" w:line="127"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2"/>
          <w:szCs w:val="22"/>
          <w:b w:val="1"/>
          <w:bCs w:val="1"/>
          <w:color w:val="auto"/>
        </w:rPr>
        <w:t>5.8.2</w:t>
      </w:r>
      <w:r>
        <w:rPr>
          <w:sz w:val="20"/>
          <w:szCs w:val="20"/>
          <w:color w:val="auto"/>
        </w:rPr>
        <w:tab/>
      </w:r>
      <w:r>
        <w:rPr>
          <w:rFonts w:ascii="Arial" w:cs="Arial" w:eastAsia="Arial" w:hAnsi="Arial"/>
          <w:sz w:val="19"/>
          <w:szCs w:val="19"/>
          <w:b w:val="1"/>
          <w:bCs w:val="1"/>
          <w:color w:val="auto"/>
        </w:rPr>
        <w:t>Audit Rights.</w:t>
      </w:r>
    </w:p>
    <w:p>
      <w:pPr>
        <w:spacing w:after="0" w:line="158" w:lineRule="exact"/>
        <w:rPr>
          <w:sz w:val="20"/>
          <w:szCs w:val="20"/>
          <w:color w:val="auto"/>
        </w:rPr>
      </w:pPr>
    </w:p>
    <w:p>
      <w:pPr>
        <w:ind w:left="880" w:right="380" w:firstLine="816"/>
        <w:spacing w:after="0" w:line="277" w:lineRule="auto"/>
        <w:tabs>
          <w:tab w:leader="none" w:pos="2590" w:val="left"/>
        </w:tabs>
        <w:numPr>
          <w:ilvl w:val="1"/>
          <w:numId w:val="100"/>
        </w:numPr>
        <w:rPr>
          <w:rFonts w:ascii="Arial" w:cs="Arial" w:eastAsia="Arial" w:hAnsi="Arial"/>
          <w:sz w:val="19"/>
          <w:szCs w:val="19"/>
          <w:b w:val="1"/>
          <w:bCs w:val="1"/>
          <w:color w:val="auto"/>
        </w:rPr>
      </w:pPr>
      <w:r>
        <w:rPr>
          <w:rFonts w:ascii="Arial" w:cs="Arial" w:eastAsia="Arial" w:hAnsi="Arial"/>
          <w:sz w:val="19"/>
          <w:szCs w:val="19"/>
          <w:color w:val="auto"/>
        </w:rPr>
        <w:t>Cerulean may, upon written notice to Novartis, appoint an internationally recognized independent certified accounting firm possessing experience and expertise in the Accounting Standards (which is reasonably acceptable to Novartis) (the “</w:t>
      </w:r>
      <w:r>
        <w:rPr>
          <w:rFonts w:ascii="Arial" w:cs="Arial" w:eastAsia="Arial" w:hAnsi="Arial"/>
          <w:sz w:val="19"/>
          <w:szCs w:val="19"/>
          <w:u w:val="single" w:color="auto"/>
          <w:color w:val="auto"/>
        </w:rPr>
        <w:t>Auditor</w:t>
      </w:r>
      <w:r>
        <w:rPr>
          <w:rFonts w:ascii="Arial" w:cs="Arial" w:eastAsia="Arial" w:hAnsi="Arial"/>
          <w:sz w:val="19"/>
          <w:szCs w:val="19"/>
          <w:color w:val="auto"/>
        </w:rPr>
        <w:t>”) to inspect the relevant reports, statements, records or books of accounts (as applicable) of Novartis and its Affiliates to verify the accuracy of any Sales &amp; Royalty Report. Before beginning its audit, the Auditor will execute an undertaking reasonably acceptable to Novartis by which the Auditor will keep confidential all information reviewed during such audit. The Auditor will have the right to disclose to Cerulean its conclusions regarding any payments owed under this Agreement.</w:t>
      </w:r>
    </w:p>
    <w:p>
      <w:pPr>
        <w:spacing w:after="0" w:line="98" w:lineRule="exact"/>
        <w:rPr>
          <w:rFonts w:ascii="Arial" w:cs="Arial" w:eastAsia="Arial" w:hAnsi="Arial"/>
          <w:sz w:val="19"/>
          <w:szCs w:val="19"/>
          <w:b w:val="1"/>
          <w:bCs w:val="1"/>
          <w:color w:val="auto"/>
        </w:rPr>
      </w:pPr>
    </w:p>
    <w:p>
      <w:pPr>
        <w:ind w:left="880" w:right="240" w:firstLine="816"/>
        <w:spacing w:after="0" w:line="271" w:lineRule="auto"/>
        <w:tabs>
          <w:tab w:leader="none" w:pos="2602" w:val="left"/>
        </w:tabs>
        <w:numPr>
          <w:ilvl w:val="1"/>
          <w:numId w:val="100"/>
        </w:numPr>
        <w:rPr>
          <w:rFonts w:ascii="Arial" w:cs="Arial" w:eastAsia="Arial" w:hAnsi="Arial"/>
          <w:sz w:val="19"/>
          <w:szCs w:val="19"/>
          <w:b w:val="1"/>
          <w:bCs w:val="1"/>
          <w:color w:val="auto"/>
        </w:rPr>
      </w:pPr>
      <w:r>
        <w:rPr>
          <w:rFonts w:ascii="Arial" w:cs="Arial" w:eastAsia="Arial" w:hAnsi="Arial"/>
          <w:sz w:val="19"/>
          <w:szCs w:val="19"/>
          <w:color w:val="auto"/>
        </w:rPr>
        <w:t>Novartis and its Affiliates will make their records available for inspection by such Auditor during regular business hours at such place or places where such records are customarily kept, upon receipt of reasonable advance notice from Cerulean. The records will be reviewed solely to verify the accuracy of the Sales &amp; Royalty Reports. Such inspection right will not be exercised more than [**] in any Calendar Year and not more frequently than</w:t>
      </w:r>
    </w:p>
    <w:p>
      <w:pPr>
        <w:spacing w:after="0" w:line="3" w:lineRule="exact"/>
        <w:rPr>
          <w:rFonts w:ascii="Arial" w:cs="Arial" w:eastAsia="Arial" w:hAnsi="Arial"/>
          <w:sz w:val="19"/>
          <w:szCs w:val="19"/>
          <w:b w:val="1"/>
          <w:bCs w:val="1"/>
          <w:color w:val="auto"/>
        </w:rPr>
      </w:pPr>
    </w:p>
    <w:p>
      <w:pPr>
        <w:ind w:left="880" w:right="40" w:firstLine="5"/>
        <w:spacing w:after="0" w:line="232" w:lineRule="auto"/>
        <w:tabs>
          <w:tab w:leader="none" w:pos="1294" w:val="left"/>
        </w:tabs>
        <w:numPr>
          <w:ilvl w:val="0"/>
          <w:numId w:val="100"/>
        </w:numPr>
        <w:rPr>
          <w:rFonts w:ascii="Arial" w:cs="Arial" w:eastAsia="Arial" w:hAnsi="Arial"/>
          <w:sz w:val="22"/>
          <w:szCs w:val="22"/>
          <w:color w:val="auto"/>
        </w:rPr>
      </w:pPr>
      <w:r>
        <w:rPr>
          <w:rFonts w:ascii="Arial" w:cs="Arial" w:eastAsia="Arial" w:hAnsi="Arial"/>
          <w:sz w:val="22"/>
          <w:szCs w:val="22"/>
          <w:color w:val="auto"/>
        </w:rPr>
        <w:t>with respect to records covering any specific period of time. In addition, Cerulean will only be entitled to audit the relevant books and records of Novartis and its Affiliates relating to a Sales &amp; Royalty Report for a period covering the then-current Calendar Year and the [**] most recently completed Calendar Years after receipt of the applicable Sales &amp; Royalty Report. Cerulean will hold in strict confidence all information received and all information learned in the course of any audit or inspection, except to the extent necessary to enforce its rights under this Agreement or if disclosure is required by law, regulation or judicial order.</w:t>
      </w:r>
    </w:p>
    <w:p>
      <w:pPr>
        <w:spacing w:after="0" w:line="135" w:lineRule="exact"/>
        <w:rPr>
          <w:rFonts w:ascii="Arial" w:cs="Arial" w:eastAsia="Arial" w:hAnsi="Arial"/>
          <w:sz w:val="22"/>
          <w:szCs w:val="22"/>
          <w:color w:val="auto"/>
        </w:rPr>
      </w:pPr>
    </w:p>
    <w:p>
      <w:pPr>
        <w:ind w:left="880" w:right="40" w:firstLine="816"/>
        <w:spacing w:after="0"/>
        <w:tabs>
          <w:tab w:leader="none" w:pos="2578" w:val="left"/>
        </w:tabs>
        <w:numPr>
          <w:ilvl w:val="1"/>
          <w:numId w:val="101"/>
        </w:numPr>
        <w:rPr>
          <w:rFonts w:ascii="Arial" w:cs="Arial" w:eastAsia="Arial" w:hAnsi="Arial"/>
          <w:sz w:val="22"/>
          <w:szCs w:val="22"/>
          <w:b w:val="1"/>
          <w:bCs w:val="1"/>
          <w:color w:val="auto"/>
        </w:rPr>
      </w:pPr>
      <w:r>
        <w:rPr>
          <w:rFonts w:ascii="Arial" w:cs="Arial" w:eastAsia="Arial" w:hAnsi="Arial"/>
          <w:sz w:val="22"/>
          <w:szCs w:val="22"/>
          <w:color w:val="auto"/>
        </w:rPr>
        <w:t>The Auditor will provide its audit report and basis for any determination to Novartis at the time such report is provided to Cerulean, before it is considered final. Novartis will have the right to request a further determination by such Auditor as to</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9" w:name="page100"/>
    <w:bookmarkEnd w:id="99"/>
    <w:p>
      <w:pPr>
        <w:ind w:left="9560"/>
        <w:spacing w:after="0"/>
        <w:rPr>
          <w:sz w:val="20"/>
          <w:szCs w:val="20"/>
          <w:color w:val="auto"/>
        </w:rPr>
      </w:pPr>
      <w:r>
        <w:rPr>
          <w:rFonts w:ascii="Arial" w:cs="Arial" w:eastAsia="Arial" w:hAnsi="Arial"/>
          <w:sz w:val="19"/>
          <w:szCs w:val="19"/>
          <w:color w:val="auto"/>
        </w:rPr>
        <w:t>EXECUTION COPY</w:t>
      </w:r>
    </w:p>
    <w:p>
      <w:pPr>
        <w:spacing w:after="0" w:line="268" w:lineRule="exact"/>
        <w:rPr>
          <w:sz w:val="20"/>
          <w:szCs w:val="20"/>
          <w:color w:val="auto"/>
        </w:rPr>
      </w:pPr>
    </w:p>
    <w:p>
      <w:pPr>
        <w:ind w:left="880" w:right="20"/>
        <w:spacing w:after="0" w:line="249" w:lineRule="auto"/>
        <w:rPr>
          <w:sz w:val="20"/>
          <w:szCs w:val="20"/>
          <w:color w:val="auto"/>
        </w:rPr>
      </w:pPr>
      <w:r>
        <w:rPr>
          <w:rFonts w:ascii="Arial" w:cs="Arial" w:eastAsia="Arial" w:hAnsi="Arial"/>
          <w:sz w:val="21"/>
          <w:szCs w:val="21"/>
          <w:color w:val="auto"/>
        </w:rPr>
        <w:t>matters which Novartis disputes within [**] days following receipt of such report. Novartis will provide Cerulean and the Auditor with a reasonably detailed statement of the grounds upon which it disputes any findings in the audit report and the Auditor will undertake to complete such further determination within [**] days after the dispute notice is provided, which determination will be limited to the disputed matters. Any matter that remains unresolved will be resolved in accordance with the dispute resolution procedures contained in Article IX.</w:t>
      </w:r>
    </w:p>
    <w:p>
      <w:pPr>
        <w:spacing w:after="0" w:line="125" w:lineRule="exact"/>
        <w:rPr>
          <w:sz w:val="20"/>
          <w:szCs w:val="20"/>
          <w:color w:val="auto"/>
        </w:rPr>
      </w:pPr>
    </w:p>
    <w:p>
      <w:pPr>
        <w:ind w:left="880" w:right="120" w:firstLine="816"/>
        <w:spacing w:after="0" w:line="251" w:lineRule="auto"/>
        <w:tabs>
          <w:tab w:leader="none" w:pos="2602" w:val="left"/>
        </w:tabs>
        <w:numPr>
          <w:ilvl w:val="0"/>
          <w:numId w:val="102"/>
        </w:numPr>
        <w:rPr>
          <w:rFonts w:ascii="Arial" w:cs="Arial" w:eastAsia="Arial" w:hAnsi="Arial"/>
          <w:sz w:val="22"/>
          <w:szCs w:val="22"/>
          <w:b w:val="1"/>
          <w:bCs w:val="1"/>
          <w:color w:val="auto"/>
        </w:rPr>
      </w:pPr>
      <w:r>
        <w:rPr>
          <w:rFonts w:ascii="Arial" w:cs="Arial" w:eastAsia="Arial" w:hAnsi="Arial"/>
          <w:sz w:val="22"/>
          <w:szCs w:val="22"/>
          <w:color w:val="auto"/>
        </w:rPr>
        <w:t>If the final result of the inspection reveals an undisputed underpayment or overpayment by Novartis, the underpaid or overpaid amount will be settled promptly.</w:t>
      </w:r>
    </w:p>
    <w:p>
      <w:pPr>
        <w:spacing w:after="0" w:line="119" w:lineRule="exact"/>
        <w:rPr>
          <w:rFonts w:ascii="Arial" w:cs="Arial" w:eastAsia="Arial" w:hAnsi="Arial"/>
          <w:sz w:val="22"/>
          <w:szCs w:val="22"/>
          <w:b w:val="1"/>
          <w:bCs w:val="1"/>
          <w:color w:val="auto"/>
        </w:rPr>
      </w:pPr>
    </w:p>
    <w:p>
      <w:pPr>
        <w:jc w:val="both"/>
        <w:ind w:left="880" w:firstLine="816"/>
        <w:spacing w:after="0" w:line="297" w:lineRule="auto"/>
        <w:tabs>
          <w:tab w:leader="none" w:pos="2578" w:val="left"/>
        </w:tabs>
        <w:numPr>
          <w:ilvl w:val="0"/>
          <w:numId w:val="102"/>
        </w:numPr>
        <w:rPr>
          <w:rFonts w:ascii="Arial" w:cs="Arial" w:eastAsia="Arial" w:hAnsi="Arial"/>
          <w:sz w:val="19"/>
          <w:szCs w:val="19"/>
          <w:b w:val="1"/>
          <w:bCs w:val="1"/>
          <w:color w:val="auto"/>
        </w:rPr>
      </w:pPr>
      <w:r>
        <w:rPr>
          <w:rFonts w:ascii="Arial" w:cs="Arial" w:eastAsia="Arial" w:hAnsi="Arial"/>
          <w:sz w:val="19"/>
          <w:szCs w:val="19"/>
          <w:color w:val="auto"/>
        </w:rPr>
        <w:t>Cerulean will pay for such audits, as well as its own expenses associated with enforcing its rights with respect to any payments hereunder, except that in the event there is any upward adjustment in aggregate amounts payable for any year shown by such audit of more than [**]% of the amount paid, Novartis will pay for such audit and expenses.</w:t>
      </w:r>
    </w:p>
    <w:p>
      <w:pPr>
        <w:spacing w:after="0" w:line="74" w:lineRule="exact"/>
        <w:rPr>
          <w:sz w:val="20"/>
          <w:szCs w:val="20"/>
          <w:color w:val="auto"/>
        </w:rPr>
      </w:pPr>
    </w:p>
    <w:p>
      <w:pPr>
        <w:spacing w:after="0"/>
        <w:tabs>
          <w:tab w:leader="none" w:pos="1640" w:val="left"/>
        </w:tabs>
        <w:rPr>
          <w:sz w:val="20"/>
          <w:szCs w:val="20"/>
          <w:color w:val="auto"/>
        </w:rPr>
      </w:pPr>
      <w:r>
        <w:rPr>
          <w:rFonts w:ascii="Arial" w:cs="Arial" w:eastAsia="Arial" w:hAnsi="Arial"/>
          <w:sz w:val="22"/>
          <w:szCs w:val="22"/>
          <w:b w:val="1"/>
          <w:bCs w:val="1"/>
          <w:color w:val="auto"/>
        </w:rPr>
        <w:t>Section 5.9</w:t>
      </w:r>
      <w:r>
        <w:rPr>
          <w:sz w:val="20"/>
          <w:szCs w:val="20"/>
          <w:color w:val="auto"/>
        </w:rPr>
        <w:tab/>
      </w:r>
      <w:r>
        <w:rPr>
          <w:rFonts w:ascii="Arial" w:cs="Arial" w:eastAsia="Arial" w:hAnsi="Arial"/>
          <w:sz w:val="19"/>
          <w:szCs w:val="19"/>
          <w:b w:val="1"/>
          <w:bCs w:val="1"/>
          <w:color w:val="auto"/>
        </w:rPr>
        <w:t>No Projections.</w:t>
      </w:r>
    </w:p>
    <w:p>
      <w:pPr>
        <w:spacing w:after="0" w:line="158" w:lineRule="exact"/>
        <w:rPr>
          <w:sz w:val="20"/>
          <w:szCs w:val="20"/>
          <w:color w:val="auto"/>
        </w:rPr>
      </w:pPr>
    </w:p>
    <w:p>
      <w:pPr>
        <w:ind w:right="160" w:firstLine="877"/>
        <w:spacing w:after="0" w:line="247" w:lineRule="auto"/>
        <w:rPr>
          <w:sz w:val="20"/>
          <w:szCs w:val="20"/>
          <w:color w:val="auto"/>
        </w:rPr>
      </w:pPr>
      <w:r>
        <w:rPr>
          <w:rFonts w:ascii="Arial" w:cs="Arial" w:eastAsia="Arial" w:hAnsi="Arial"/>
          <w:sz w:val="21"/>
          <w:szCs w:val="21"/>
          <w:color w:val="auto"/>
        </w:rPr>
        <w:t xml:space="preserve">The Parties acknowledge that nothing in this Agreement will be construed as representing an estimate or projection of anticipated sales of any Licensed Product, and that the Milestones and Net Sales levels set forth above or elsewhere in this Agreement or that have otherwise been discussed by the Parties are merely intended to define the Milestone Payments and royalty obligations to Cerulean in the event such Milestones or Net Sales levels are achieved. </w:t>
      </w:r>
      <w:r>
        <w:rPr>
          <w:rFonts w:ascii="Arial" w:cs="Arial" w:eastAsia="Arial" w:hAnsi="Arial"/>
          <w:sz w:val="21"/>
          <w:szCs w:val="21"/>
          <w:i w:val="1"/>
          <w:iCs w:val="1"/>
          <w:color w:val="auto"/>
        </w:rPr>
        <w:t>NEITHER CERULEAN NOR NOVARTIS</w:t>
      </w:r>
      <w:r>
        <w:rPr>
          <w:rFonts w:ascii="Arial" w:cs="Arial" w:eastAsia="Arial" w:hAnsi="Arial"/>
          <w:sz w:val="21"/>
          <w:szCs w:val="21"/>
          <w:color w:val="auto"/>
        </w:rPr>
        <w:t xml:space="preserve"> </w:t>
      </w:r>
      <w:r>
        <w:rPr>
          <w:rFonts w:ascii="Arial" w:cs="Arial" w:eastAsia="Arial" w:hAnsi="Arial"/>
          <w:sz w:val="21"/>
          <w:szCs w:val="21"/>
          <w:i w:val="1"/>
          <w:iCs w:val="1"/>
          <w:color w:val="auto"/>
        </w:rPr>
        <w:t>MAKES ANY REPRESENTATION OR WARRANTY, EITHER EXPRESS OR IMPLIED, THAT IT WILL BE ABLE TO SUCCESSFULLY COMMERCIALIZE ANY PRODUCT OR, IF COMMERCIALIZED, THAT ANY PARTICULAR NET SALES LEVEL OF SUCH PRODUCT WILL BE ACHIEVED.</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CONFIDENTIALITY; PUBLICATIONS; PUBLICITY</w:t>
      </w:r>
    </w:p>
    <w:p>
      <w:pPr>
        <w:spacing w:after="0" w:line="128" w:lineRule="exact"/>
        <w:rPr>
          <w:sz w:val="20"/>
          <w:szCs w:val="20"/>
          <w:color w:val="auto"/>
        </w:rPr>
      </w:pPr>
    </w:p>
    <w:p>
      <w:pPr>
        <w:spacing w:after="0"/>
        <w:tabs>
          <w:tab w:leader="none" w:pos="1640" w:val="left"/>
        </w:tabs>
        <w:rPr>
          <w:sz w:val="20"/>
          <w:szCs w:val="20"/>
          <w:color w:val="auto"/>
        </w:rPr>
      </w:pPr>
      <w:r>
        <w:rPr>
          <w:rFonts w:ascii="Arial" w:cs="Arial" w:eastAsia="Arial" w:hAnsi="Arial"/>
          <w:sz w:val="22"/>
          <w:szCs w:val="22"/>
          <w:b w:val="1"/>
          <w:bCs w:val="1"/>
          <w:color w:val="auto"/>
        </w:rPr>
        <w:t>Section 6.1</w:t>
      </w:r>
      <w:r>
        <w:rPr>
          <w:sz w:val="20"/>
          <w:szCs w:val="20"/>
          <w:color w:val="auto"/>
        </w:rPr>
        <w:tab/>
      </w:r>
      <w:r>
        <w:rPr>
          <w:rFonts w:ascii="Arial" w:cs="Arial" w:eastAsia="Arial" w:hAnsi="Arial"/>
          <w:sz w:val="19"/>
          <w:szCs w:val="19"/>
          <w:b w:val="1"/>
          <w:bCs w:val="1"/>
          <w:color w:val="auto"/>
        </w:rPr>
        <w:t>Obligation of Confidentiality.</w:t>
      </w:r>
    </w:p>
    <w:p>
      <w:pPr>
        <w:spacing w:after="0" w:line="152" w:lineRule="exact"/>
        <w:rPr>
          <w:sz w:val="20"/>
          <w:szCs w:val="20"/>
          <w:color w:val="auto"/>
        </w:rPr>
      </w:pPr>
    </w:p>
    <w:p>
      <w:pPr>
        <w:ind w:right="40" w:firstLine="877"/>
        <w:spacing w:after="0" w:line="275" w:lineRule="auto"/>
        <w:rPr>
          <w:sz w:val="20"/>
          <w:szCs w:val="20"/>
          <w:color w:val="auto"/>
        </w:rPr>
      </w:pPr>
      <w:r>
        <w:rPr>
          <w:rFonts w:ascii="Arial" w:cs="Arial" w:eastAsia="Arial" w:hAnsi="Arial"/>
          <w:sz w:val="19"/>
          <w:szCs w:val="19"/>
          <w:b w:val="1"/>
          <w:bCs w:val="1"/>
          <w:color w:val="auto"/>
        </w:rPr>
        <w:t xml:space="preserve">6.1.1 Generally. </w:t>
      </w:r>
      <w:r>
        <w:rPr>
          <w:rFonts w:ascii="Arial" w:cs="Arial" w:eastAsia="Arial" w:hAnsi="Arial"/>
          <w:sz w:val="19"/>
          <w:szCs w:val="19"/>
          <w:color w:val="auto"/>
        </w:rPr>
        <w:t>Subject to the other provisions of this Article VI, all Proprietary Information disclosed by a</w:t>
      </w:r>
      <w:r>
        <w:rPr>
          <w:rFonts w:ascii="Arial" w:cs="Arial" w:eastAsia="Arial" w:hAnsi="Arial"/>
          <w:sz w:val="19"/>
          <w:szCs w:val="19"/>
          <w:b w:val="1"/>
          <w:bCs w:val="1"/>
          <w:color w:val="auto"/>
        </w:rPr>
        <w:t xml:space="preserve"> </w:t>
      </w:r>
      <w:r>
        <w:rPr>
          <w:rFonts w:ascii="Arial" w:cs="Arial" w:eastAsia="Arial" w:hAnsi="Arial"/>
          <w:sz w:val="19"/>
          <w:szCs w:val="19"/>
          <w:color w:val="auto"/>
        </w:rPr>
        <w:t>Party or its Affiliates under this Agreement will be maintained in confidence and otherwise safeguarded by the recipient Party. The recipient Party may only use the Proprietary Information for the purposes of this Agreement and pursuant to the rights granted to the recipient Party under this Agreement. Subject to the other provisions of this Article VI, each Party will hold as confidential such Proprietary Information of the other Party or its Affiliates in the same manner and with the same protection as such recipient Party maintains its own confidential information, but in no event will such Party use less than reasonable care. Subject to the other provisions of this Article VI, a recipient Party may only disclose Proprietary Information of the other Party to employees, agents, contractors, consultants, and advisers of the Party and its Affiliates and sublicensees and to Third Parties to the extent reasonably necessary for the purposes of, and for those matters undertaken pursuant to, this Agreement, if and only if</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0" w:name="page101"/>
    <w:bookmarkEnd w:id="100"/>
    <w:p>
      <w:pPr>
        <w:ind w:left="9560"/>
        <w:spacing w:after="0"/>
        <w:rPr>
          <w:sz w:val="20"/>
          <w:szCs w:val="20"/>
          <w:color w:val="auto"/>
        </w:rPr>
      </w:pPr>
      <w:r>
        <w:rPr>
          <w:rFonts w:ascii="Arial" w:cs="Arial" w:eastAsia="Arial" w:hAnsi="Arial"/>
          <w:sz w:val="19"/>
          <w:szCs w:val="19"/>
          <w:color w:val="auto"/>
        </w:rPr>
        <w:t>EXECUTION COPY</w:t>
      </w:r>
    </w:p>
    <w:p>
      <w:pPr>
        <w:spacing w:after="0" w:line="268" w:lineRule="exact"/>
        <w:rPr>
          <w:sz w:val="20"/>
          <w:szCs w:val="20"/>
          <w:color w:val="auto"/>
        </w:rPr>
      </w:pPr>
    </w:p>
    <w:p>
      <w:pPr>
        <w:ind w:right="1300"/>
        <w:spacing w:after="0" w:line="251" w:lineRule="auto"/>
        <w:rPr>
          <w:sz w:val="20"/>
          <w:szCs w:val="20"/>
          <w:color w:val="auto"/>
        </w:rPr>
      </w:pPr>
      <w:r>
        <w:rPr>
          <w:rFonts w:ascii="Arial" w:cs="Arial" w:eastAsia="Arial" w:hAnsi="Arial"/>
          <w:sz w:val="22"/>
          <w:szCs w:val="22"/>
          <w:color w:val="auto"/>
        </w:rPr>
        <w:t>such Persons are bound to maintain the confidentiality of the Proprietary Information in a manner consistent with the confidentiality provisions of this Agreement.</w:t>
      </w:r>
    </w:p>
    <w:p>
      <w:pPr>
        <w:spacing w:after="0" w:line="113" w:lineRule="exact"/>
        <w:rPr>
          <w:sz w:val="20"/>
          <w:szCs w:val="20"/>
          <w:color w:val="auto"/>
        </w:rPr>
      </w:pPr>
    </w:p>
    <w:p>
      <w:pPr>
        <w:ind w:right="500" w:firstLine="877"/>
        <w:spacing w:after="0" w:line="256" w:lineRule="auto"/>
        <w:rPr>
          <w:sz w:val="20"/>
          <w:szCs w:val="20"/>
          <w:color w:val="auto"/>
        </w:rPr>
      </w:pPr>
      <w:r>
        <w:rPr>
          <w:rFonts w:ascii="Arial" w:cs="Arial" w:eastAsia="Arial" w:hAnsi="Arial"/>
          <w:sz w:val="22"/>
          <w:szCs w:val="22"/>
          <w:b w:val="1"/>
          <w:bCs w:val="1"/>
          <w:color w:val="auto"/>
        </w:rPr>
        <w:t xml:space="preserve">6.1.2 Exceptions. </w:t>
      </w:r>
      <w:r>
        <w:rPr>
          <w:rFonts w:ascii="Arial" w:cs="Arial" w:eastAsia="Arial" w:hAnsi="Arial"/>
          <w:sz w:val="22"/>
          <w:szCs w:val="22"/>
          <w:color w:val="auto"/>
        </w:rPr>
        <w:t>The obligations under this Section 6.1 will not apply to any Proprietary Information to the</w:t>
      </w:r>
      <w:r>
        <w:rPr>
          <w:rFonts w:ascii="Arial" w:cs="Arial" w:eastAsia="Arial" w:hAnsi="Arial"/>
          <w:sz w:val="22"/>
          <w:szCs w:val="22"/>
          <w:b w:val="1"/>
          <w:bCs w:val="1"/>
          <w:color w:val="auto"/>
        </w:rPr>
        <w:t xml:space="preserve"> </w:t>
      </w:r>
      <w:r>
        <w:rPr>
          <w:rFonts w:ascii="Arial" w:cs="Arial" w:eastAsia="Arial" w:hAnsi="Arial"/>
          <w:sz w:val="22"/>
          <w:szCs w:val="22"/>
          <w:color w:val="auto"/>
        </w:rPr>
        <w:t>extent the recipient Party can demonstrate by competent evidence that such Proprietary Information:</w:t>
      </w:r>
    </w:p>
    <w:p>
      <w:pPr>
        <w:spacing w:after="0" w:line="115" w:lineRule="exact"/>
        <w:rPr>
          <w:sz w:val="20"/>
          <w:szCs w:val="20"/>
          <w:color w:val="auto"/>
        </w:rPr>
      </w:pPr>
    </w:p>
    <w:p>
      <w:pPr>
        <w:ind w:left="880" w:right="220" w:firstLine="816"/>
        <w:spacing w:after="0" w:line="274" w:lineRule="auto"/>
        <w:tabs>
          <w:tab w:leader="none" w:pos="2590" w:val="left"/>
        </w:tabs>
        <w:numPr>
          <w:ilvl w:val="0"/>
          <w:numId w:val="103"/>
        </w:numPr>
        <w:rPr>
          <w:rFonts w:ascii="Arial" w:cs="Arial" w:eastAsia="Arial" w:hAnsi="Arial"/>
          <w:sz w:val="21"/>
          <w:szCs w:val="21"/>
          <w:b w:val="1"/>
          <w:bCs w:val="1"/>
          <w:color w:val="auto"/>
        </w:rPr>
      </w:pPr>
      <w:r>
        <w:rPr>
          <w:rFonts w:ascii="Arial" w:cs="Arial" w:eastAsia="Arial" w:hAnsi="Arial"/>
          <w:sz w:val="21"/>
          <w:szCs w:val="21"/>
          <w:color w:val="auto"/>
        </w:rPr>
        <w:t>is (at the time of disclosure) or becomes (after the time of disclosure) known to the public or part of the public domain through no breach of this Agreement by the recipient Party or its Affiliates;</w:t>
      </w:r>
    </w:p>
    <w:p>
      <w:pPr>
        <w:spacing w:after="0" w:line="96" w:lineRule="exact"/>
        <w:rPr>
          <w:rFonts w:ascii="Arial" w:cs="Arial" w:eastAsia="Arial" w:hAnsi="Arial"/>
          <w:sz w:val="21"/>
          <w:szCs w:val="21"/>
          <w:b w:val="1"/>
          <w:bCs w:val="1"/>
          <w:color w:val="auto"/>
        </w:rPr>
      </w:pPr>
    </w:p>
    <w:p>
      <w:pPr>
        <w:ind w:left="880" w:right="220" w:firstLine="816"/>
        <w:spacing w:after="0" w:line="251" w:lineRule="auto"/>
        <w:tabs>
          <w:tab w:leader="none" w:pos="2602" w:val="left"/>
        </w:tabs>
        <w:numPr>
          <w:ilvl w:val="0"/>
          <w:numId w:val="103"/>
        </w:numPr>
        <w:rPr>
          <w:rFonts w:ascii="Arial" w:cs="Arial" w:eastAsia="Arial" w:hAnsi="Arial"/>
          <w:sz w:val="22"/>
          <w:szCs w:val="22"/>
          <w:b w:val="1"/>
          <w:bCs w:val="1"/>
          <w:color w:val="auto"/>
        </w:rPr>
      </w:pPr>
      <w:r>
        <w:rPr>
          <w:rFonts w:ascii="Arial" w:cs="Arial" w:eastAsia="Arial" w:hAnsi="Arial"/>
          <w:sz w:val="22"/>
          <w:szCs w:val="22"/>
          <w:color w:val="auto"/>
        </w:rPr>
        <w:t>was known to, or was otherwise in the possession of, the recipient Party or its Affiliates prior to the time of disclosure by the disclosing Party or any of its Affiliates;</w:t>
      </w:r>
    </w:p>
    <w:p>
      <w:pPr>
        <w:spacing w:after="0" w:line="119" w:lineRule="exact"/>
        <w:rPr>
          <w:rFonts w:ascii="Arial" w:cs="Arial" w:eastAsia="Arial" w:hAnsi="Arial"/>
          <w:sz w:val="22"/>
          <w:szCs w:val="22"/>
          <w:b w:val="1"/>
          <w:bCs w:val="1"/>
          <w:color w:val="auto"/>
        </w:rPr>
      </w:pPr>
    </w:p>
    <w:p>
      <w:pPr>
        <w:ind w:left="880" w:right="160" w:firstLine="816"/>
        <w:spacing w:after="0"/>
        <w:tabs>
          <w:tab w:leader="none" w:pos="2578" w:val="left"/>
        </w:tabs>
        <w:numPr>
          <w:ilvl w:val="0"/>
          <w:numId w:val="103"/>
        </w:numPr>
        <w:rPr>
          <w:rFonts w:ascii="Arial" w:cs="Arial" w:eastAsia="Arial" w:hAnsi="Arial"/>
          <w:sz w:val="22"/>
          <w:szCs w:val="22"/>
          <w:b w:val="1"/>
          <w:bCs w:val="1"/>
          <w:color w:val="auto"/>
        </w:rPr>
      </w:pPr>
      <w:r>
        <w:rPr>
          <w:rFonts w:ascii="Arial" w:cs="Arial" w:eastAsia="Arial" w:hAnsi="Arial"/>
          <w:sz w:val="22"/>
          <w:szCs w:val="22"/>
          <w:color w:val="auto"/>
        </w:rPr>
        <w:t>is disclosed to the recipient Party or an Affiliate on a non-confidential basis by a Third Party who is, to the receiving Party’s knowledge, entitled to disclose it without breaching any confidentiality obligation to the disclosing Party or any of its Affiliates; or</w:t>
      </w:r>
    </w:p>
    <w:p>
      <w:pPr>
        <w:spacing w:after="0" w:line="132" w:lineRule="exact"/>
        <w:rPr>
          <w:rFonts w:ascii="Arial" w:cs="Arial" w:eastAsia="Arial" w:hAnsi="Arial"/>
          <w:sz w:val="22"/>
          <w:szCs w:val="22"/>
          <w:b w:val="1"/>
          <w:bCs w:val="1"/>
          <w:color w:val="auto"/>
        </w:rPr>
      </w:pPr>
    </w:p>
    <w:p>
      <w:pPr>
        <w:jc w:val="both"/>
        <w:ind w:left="880" w:right="100" w:firstLine="816"/>
        <w:spacing w:after="0"/>
        <w:tabs>
          <w:tab w:leader="none" w:pos="2602" w:val="left"/>
        </w:tabs>
        <w:numPr>
          <w:ilvl w:val="0"/>
          <w:numId w:val="103"/>
        </w:numPr>
        <w:rPr>
          <w:rFonts w:ascii="Arial" w:cs="Arial" w:eastAsia="Arial" w:hAnsi="Arial"/>
          <w:sz w:val="22"/>
          <w:szCs w:val="22"/>
          <w:b w:val="1"/>
          <w:bCs w:val="1"/>
          <w:color w:val="auto"/>
        </w:rPr>
      </w:pPr>
      <w:r>
        <w:rPr>
          <w:rFonts w:ascii="Arial" w:cs="Arial" w:eastAsia="Arial" w:hAnsi="Arial"/>
          <w:sz w:val="22"/>
          <w:szCs w:val="22"/>
          <w:color w:val="auto"/>
        </w:rPr>
        <w:t>is independently developed by or on behalf of the recipient Party or its Affiliates, as evidenced by its written records, without reference to the Proprietary Information disclosed by the disclosing Party or its Affiliates under this Agreement.</w:t>
      </w:r>
    </w:p>
    <w:p>
      <w:pPr>
        <w:spacing w:after="0" w:line="132" w:lineRule="exact"/>
        <w:rPr>
          <w:sz w:val="20"/>
          <w:szCs w:val="20"/>
          <w:color w:val="auto"/>
        </w:rPr>
      </w:pPr>
    </w:p>
    <w:p>
      <w:pPr>
        <w:ind w:right="80"/>
        <w:spacing w:after="0" w:line="235" w:lineRule="auto"/>
        <w:rPr>
          <w:sz w:val="20"/>
          <w:szCs w:val="20"/>
          <w:color w:val="auto"/>
        </w:rPr>
      </w:pPr>
      <w:r>
        <w:rPr>
          <w:rFonts w:ascii="Arial" w:cs="Arial" w:eastAsia="Arial" w:hAnsi="Arial"/>
          <w:sz w:val="22"/>
          <w:szCs w:val="22"/>
          <w:color w:val="auto"/>
        </w:rPr>
        <w:t>Specific aspects or details of Proprietary Information will not be deemed to be within the public domain or in the possession of the recipient Party merely because the Proprietary Information is embraced by more general information in the public domain or in the possession of the recipient Party. Further, any combination of Proprietary Information will not be considered in the public domain or in the possession of the recipient Party merely because individual elements of such Proprietary Information are in the public domain or in the possession of the recipient Party unless the combination and its principles are in the public domain or in the possession of the recipient Party.</w:t>
      </w:r>
    </w:p>
    <w:p>
      <w:pPr>
        <w:spacing w:after="0" w:line="128"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2"/>
          <w:szCs w:val="22"/>
          <w:b w:val="1"/>
          <w:bCs w:val="1"/>
          <w:color w:val="auto"/>
        </w:rPr>
        <w:t>6.1.3</w:t>
      </w:r>
      <w:r>
        <w:rPr>
          <w:sz w:val="20"/>
          <w:szCs w:val="20"/>
          <w:color w:val="auto"/>
        </w:rPr>
        <w:tab/>
      </w:r>
      <w:r>
        <w:rPr>
          <w:rFonts w:ascii="Arial" w:cs="Arial" w:eastAsia="Arial" w:hAnsi="Arial"/>
          <w:sz w:val="19"/>
          <w:szCs w:val="19"/>
          <w:b w:val="1"/>
          <w:bCs w:val="1"/>
          <w:color w:val="auto"/>
        </w:rPr>
        <w:t>Authorized Disclosures.</w:t>
      </w:r>
    </w:p>
    <w:p>
      <w:pPr>
        <w:spacing w:after="0" w:line="158" w:lineRule="exact"/>
        <w:rPr>
          <w:sz w:val="20"/>
          <w:szCs w:val="20"/>
          <w:color w:val="auto"/>
        </w:rPr>
      </w:pPr>
    </w:p>
    <w:p>
      <w:pPr>
        <w:ind w:left="880" w:firstLine="816"/>
        <w:spacing w:after="0"/>
        <w:tabs>
          <w:tab w:leader="none" w:pos="2590" w:val="left"/>
        </w:tabs>
        <w:numPr>
          <w:ilvl w:val="0"/>
          <w:numId w:val="104"/>
        </w:numPr>
        <w:rPr>
          <w:rFonts w:ascii="Arial" w:cs="Arial" w:eastAsia="Arial" w:hAnsi="Arial"/>
          <w:sz w:val="22"/>
          <w:szCs w:val="22"/>
          <w:b w:val="1"/>
          <w:bCs w:val="1"/>
          <w:color w:val="auto"/>
        </w:rPr>
      </w:pPr>
      <w:r>
        <w:rPr>
          <w:rFonts w:ascii="Arial" w:cs="Arial" w:eastAsia="Arial" w:hAnsi="Arial"/>
          <w:sz w:val="22"/>
          <w:szCs w:val="22"/>
          <w:color w:val="auto"/>
        </w:rPr>
        <w:t>In addition to disclosures allowed under Section 6.1.1 and 6.1.2, either Party may disclose Proprietary Information belonging to the other Party or its Affiliates to the extent such disclosure is necessary in the following instances:</w:t>
      </w:r>
    </w:p>
    <w:p>
      <w:pPr>
        <w:spacing w:after="0" w:line="132" w:lineRule="exact"/>
        <w:rPr>
          <w:rFonts w:ascii="Arial" w:cs="Arial" w:eastAsia="Arial" w:hAnsi="Arial"/>
          <w:sz w:val="22"/>
          <w:szCs w:val="22"/>
          <w:b w:val="1"/>
          <w:bCs w:val="1"/>
          <w:color w:val="auto"/>
        </w:rPr>
      </w:pPr>
    </w:p>
    <w:p>
      <w:pPr>
        <w:ind w:left="3360" w:hanging="854"/>
        <w:spacing w:after="0"/>
        <w:tabs>
          <w:tab w:leader="none" w:pos="3360" w:val="left"/>
        </w:tabs>
        <w:numPr>
          <w:ilvl w:val="1"/>
          <w:numId w:val="104"/>
        </w:numPr>
        <w:rPr>
          <w:rFonts w:ascii="Arial" w:cs="Arial" w:eastAsia="Arial" w:hAnsi="Arial"/>
          <w:sz w:val="22"/>
          <w:szCs w:val="22"/>
          <w:b w:val="1"/>
          <w:bCs w:val="1"/>
          <w:color w:val="auto"/>
        </w:rPr>
      </w:pPr>
      <w:r>
        <w:rPr>
          <w:rFonts w:ascii="Arial" w:cs="Arial" w:eastAsia="Arial" w:hAnsi="Arial"/>
          <w:sz w:val="22"/>
          <w:szCs w:val="22"/>
          <w:color w:val="auto"/>
        </w:rPr>
        <w:t>filing or prosecuting Patent Rights as permitted by this Agreement;</w:t>
      </w:r>
    </w:p>
    <w:p>
      <w:pPr>
        <w:spacing w:after="0" w:line="152" w:lineRule="exact"/>
        <w:rPr>
          <w:rFonts w:ascii="Arial" w:cs="Arial" w:eastAsia="Arial" w:hAnsi="Arial"/>
          <w:sz w:val="22"/>
          <w:szCs w:val="22"/>
          <w:b w:val="1"/>
          <w:bCs w:val="1"/>
          <w:color w:val="auto"/>
        </w:rPr>
      </w:pPr>
    </w:p>
    <w:p>
      <w:pPr>
        <w:ind w:left="3480" w:hanging="974"/>
        <w:spacing w:after="0"/>
        <w:tabs>
          <w:tab w:leader="none" w:pos="3480" w:val="left"/>
        </w:tabs>
        <w:numPr>
          <w:ilvl w:val="1"/>
          <w:numId w:val="104"/>
        </w:numPr>
        <w:rPr>
          <w:rFonts w:ascii="Arial" w:cs="Arial" w:eastAsia="Arial" w:hAnsi="Arial"/>
          <w:sz w:val="22"/>
          <w:szCs w:val="22"/>
          <w:b w:val="1"/>
          <w:bCs w:val="1"/>
          <w:color w:val="auto"/>
        </w:rPr>
      </w:pPr>
      <w:r>
        <w:rPr>
          <w:rFonts w:ascii="Arial" w:cs="Arial" w:eastAsia="Arial" w:hAnsi="Arial"/>
          <w:sz w:val="22"/>
          <w:szCs w:val="22"/>
          <w:color w:val="auto"/>
        </w:rPr>
        <w:t>in connection with Regulatory Filings for Licensed Products;</w:t>
      </w:r>
    </w:p>
    <w:p>
      <w:pPr>
        <w:spacing w:after="0" w:line="152" w:lineRule="exact"/>
        <w:rPr>
          <w:rFonts w:ascii="Arial" w:cs="Arial" w:eastAsia="Arial" w:hAnsi="Arial"/>
          <w:sz w:val="22"/>
          <w:szCs w:val="22"/>
          <w:b w:val="1"/>
          <w:bCs w:val="1"/>
          <w:color w:val="auto"/>
        </w:rPr>
      </w:pPr>
    </w:p>
    <w:p>
      <w:pPr>
        <w:ind w:left="3540" w:hanging="1034"/>
        <w:spacing w:after="0"/>
        <w:tabs>
          <w:tab w:leader="none" w:pos="3540" w:val="left"/>
        </w:tabs>
        <w:numPr>
          <w:ilvl w:val="1"/>
          <w:numId w:val="104"/>
        </w:numPr>
        <w:rPr>
          <w:rFonts w:ascii="Arial" w:cs="Arial" w:eastAsia="Arial" w:hAnsi="Arial"/>
          <w:sz w:val="22"/>
          <w:szCs w:val="22"/>
          <w:b w:val="1"/>
          <w:bCs w:val="1"/>
          <w:color w:val="auto"/>
        </w:rPr>
      </w:pPr>
      <w:r>
        <w:rPr>
          <w:rFonts w:ascii="Arial" w:cs="Arial" w:eastAsia="Arial" w:hAnsi="Arial"/>
          <w:sz w:val="22"/>
          <w:szCs w:val="22"/>
          <w:color w:val="auto"/>
        </w:rPr>
        <w:t>prosecuting or defending litigation as permitted by this Agreement; or</w:t>
      </w:r>
    </w:p>
    <w:p>
      <w:pPr>
        <w:spacing w:after="0" w:line="152" w:lineRule="exact"/>
        <w:rPr>
          <w:rFonts w:ascii="Arial" w:cs="Arial" w:eastAsia="Arial" w:hAnsi="Arial"/>
          <w:sz w:val="22"/>
          <w:szCs w:val="22"/>
          <w:b w:val="1"/>
          <w:bCs w:val="1"/>
          <w:color w:val="auto"/>
        </w:rPr>
      </w:pPr>
    </w:p>
    <w:p>
      <w:pPr>
        <w:ind w:left="3460" w:hanging="954"/>
        <w:spacing w:after="0"/>
        <w:tabs>
          <w:tab w:leader="none" w:pos="3460" w:val="left"/>
        </w:tabs>
        <w:numPr>
          <w:ilvl w:val="1"/>
          <w:numId w:val="104"/>
        </w:numPr>
        <w:rPr>
          <w:rFonts w:ascii="Arial" w:cs="Arial" w:eastAsia="Arial" w:hAnsi="Arial"/>
          <w:sz w:val="22"/>
          <w:szCs w:val="22"/>
          <w:b w:val="1"/>
          <w:bCs w:val="1"/>
          <w:color w:val="auto"/>
        </w:rPr>
      </w:pPr>
      <w:r>
        <w:rPr>
          <w:rFonts w:ascii="Arial" w:cs="Arial" w:eastAsia="Arial" w:hAnsi="Arial"/>
          <w:sz w:val="22"/>
          <w:szCs w:val="22"/>
          <w:color w:val="auto"/>
        </w:rPr>
        <w:t>complying with applicable court orders or governmental regulations.</w:t>
      </w:r>
    </w:p>
    <w:p>
      <w:pPr>
        <w:spacing w:after="0" w:line="152" w:lineRule="exact"/>
        <w:rPr>
          <w:rFonts w:ascii="Arial" w:cs="Arial" w:eastAsia="Arial" w:hAnsi="Arial"/>
          <w:sz w:val="22"/>
          <w:szCs w:val="22"/>
          <w:b w:val="1"/>
          <w:bCs w:val="1"/>
          <w:color w:val="auto"/>
        </w:rPr>
      </w:pPr>
    </w:p>
    <w:p>
      <w:pPr>
        <w:ind w:left="880" w:right="220" w:firstLine="816"/>
        <w:spacing w:after="0"/>
        <w:tabs>
          <w:tab w:leader="none" w:pos="2602" w:val="left"/>
        </w:tabs>
        <w:numPr>
          <w:ilvl w:val="0"/>
          <w:numId w:val="104"/>
        </w:numPr>
        <w:rPr>
          <w:rFonts w:ascii="Arial" w:cs="Arial" w:eastAsia="Arial" w:hAnsi="Arial"/>
          <w:sz w:val="22"/>
          <w:szCs w:val="22"/>
          <w:b w:val="1"/>
          <w:bCs w:val="1"/>
          <w:color w:val="auto"/>
        </w:rPr>
      </w:pPr>
      <w:r>
        <w:rPr>
          <w:rFonts w:ascii="Arial" w:cs="Arial" w:eastAsia="Arial" w:hAnsi="Arial"/>
          <w:sz w:val="22"/>
          <w:szCs w:val="22"/>
          <w:color w:val="auto"/>
        </w:rPr>
        <w:t>In addition, Novartis and its Affiliates and sublicensees may disclose Proprietary Information of Cerulean to Third Parties as may be necessary in connection with the Development, manufacture or Commercialization of Licensed Products as</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1" w:name="page102"/>
    <w:bookmarkEnd w:id="101"/>
    <w:p>
      <w:pPr>
        <w:ind w:left="9560"/>
        <w:spacing w:after="0"/>
        <w:rPr>
          <w:sz w:val="20"/>
          <w:szCs w:val="20"/>
          <w:color w:val="auto"/>
        </w:rPr>
      </w:pPr>
      <w:r>
        <w:rPr>
          <w:rFonts w:ascii="Arial" w:cs="Arial" w:eastAsia="Arial" w:hAnsi="Arial"/>
          <w:sz w:val="19"/>
          <w:szCs w:val="19"/>
          <w:color w:val="auto"/>
        </w:rPr>
        <w:t>EXECUTION COPY</w:t>
      </w:r>
    </w:p>
    <w:p>
      <w:pPr>
        <w:spacing w:after="0" w:line="26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contemplated by this Agreement, including in connection with subcontracting transactions.</w:t>
      </w:r>
    </w:p>
    <w:p>
      <w:pPr>
        <w:spacing w:after="0" w:line="146"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2"/>
          <w:szCs w:val="22"/>
          <w:b w:val="1"/>
          <w:bCs w:val="1"/>
          <w:color w:val="auto"/>
        </w:rPr>
        <w:t xml:space="preserve">6.1.4 Required Disclosures. </w:t>
      </w:r>
      <w:r>
        <w:rPr>
          <w:rFonts w:ascii="Arial" w:cs="Arial" w:eastAsia="Arial" w:hAnsi="Arial"/>
          <w:sz w:val="22"/>
          <w:szCs w:val="22"/>
          <w:color w:val="auto"/>
        </w:rPr>
        <w:t>If the recipient Party is required to disclose Proprietary Information of the disclosing</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Party by law or in connection with bona fide legal process, such disclosure will not be a breach of this Agreement;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recipient Party</w:t>
      </w:r>
    </w:p>
    <w:p>
      <w:pPr>
        <w:spacing w:after="0" w:line="129" w:lineRule="exact"/>
        <w:rPr>
          <w:sz w:val="20"/>
          <w:szCs w:val="20"/>
          <w:color w:val="auto"/>
        </w:rPr>
      </w:pPr>
    </w:p>
    <w:p>
      <w:pPr>
        <w:ind w:left="2600" w:hanging="904"/>
        <w:spacing w:after="0"/>
        <w:tabs>
          <w:tab w:leader="none" w:pos="2600" w:val="left"/>
        </w:tabs>
        <w:numPr>
          <w:ilvl w:val="0"/>
          <w:numId w:val="105"/>
        </w:numPr>
        <w:rPr>
          <w:rFonts w:ascii="Arial" w:cs="Arial" w:eastAsia="Arial" w:hAnsi="Arial"/>
          <w:sz w:val="22"/>
          <w:szCs w:val="22"/>
          <w:b w:val="1"/>
          <w:bCs w:val="1"/>
          <w:color w:val="auto"/>
        </w:rPr>
      </w:pPr>
      <w:r>
        <w:rPr>
          <w:rFonts w:ascii="Arial" w:cs="Arial" w:eastAsia="Arial" w:hAnsi="Arial"/>
          <w:sz w:val="22"/>
          <w:szCs w:val="22"/>
          <w:color w:val="auto"/>
        </w:rPr>
        <w:t>informs the disclosing Party as soon as reasonably practicable of the required disclosure;</w:t>
      </w:r>
    </w:p>
    <w:p>
      <w:pPr>
        <w:spacing w:after="0" w:line="152" w:lineRule="exact"/>
        <w:rPr>
          <w:rFonts w:ascii="Arial" w:cs="Arial" w:eastAsia="Arial" w:hAnsi="Arial"/>
          <w:sz w:val="22"/>
          <w:szCs w:val="22"/>
          <w:b w:val="1"/>
          <w:bCs w:val="1"/>
          <w:color w:val="auto"/>
        </w:rPr>
      </w:pPr>
    </w:p>
    <w:p>
      <w:pPr>
        <w:ind w:left="2600" w:hanging="904"/>
        <w:spacing w:after="0"/>
        <w:tabs>
          <w:tab w:leader="none" w:pos="2600" w:val="left"/>
        </w:tabs>
        <w:numPr>
          <w:ilvl w:val="0"/>
          <w:numId w:val="105"/>
        </w:numPr>
        <w:rPr>
          <w:rFonts w:ascii="Arial" w:cs="Arial" w:eastAsia="Arial" w:hAnsi="Arial"/>
          <w:sz w:val="22"/>
          <w:szCs w:val="22"/>
          <w:b w:val="1"/>
          <w:bCs w:val="1"/>
          <w:color w:val="auto"/>
        </w:rPr>
      </w:pPr>
      <w:r>
        <w:rPr>
          <w:rFonts w:ascii="Arial" w:cs="Arial" w:eastAsia="Arial" w:hAnsi="Arial"/>
          <w:sz w:val="22"/>
          <w:szCs w:val="22"/>
          <w:color w:val="auto"/>
        </w:rPr>
        <w:t>limits the disclosure to the required purpose; and</w:t>
      </w:r>
    </w:p>
    <w:p>
      <w:pPr>
        <w:spacing w:after="0" w:line="152" w:lineRule="exact"/>
        <w:rPr>
          <w:rFonts w:ascii="Arial" w:cs="Arial" w:eastAsia="Arial" w:hAnsi="Arial"/>
          <w:sz w:val="22"/>
          <w:szCs w:val="22"/>
          <w:b w:val="1"/>
          <w:bCs w:val="1"/>
          <w:color w:val="auto"/>
        </w:rPr>
      </w:pPr>
    </w:p>
    <w:p>
      <w:pPr>
        <w:ind w:left="2580" w:hanging="884"/>
        <w:spacing w:after="0"/>
        <w:tabs>
          <w:tab w:leader="none" w:pos="2580" w:val="left"/>
        </w:tabs>
        <w:numPr>
          <w:ilvl w:val="0"/>
          <w:numId w:val="105"/>
        </w:numPr>
        <w:rPr>
          <w:rFonts w:ascii="Arial" w:cs="Arial" w:eastAsia="Arial" w:hAnsi="Arial"/>
          <w:sz w:val="19"/>
          <w:szCs w:val="19"/>
          <w:b w:val="1"/>
          <w:bCs w:val="1"/>
          <w:color w:val="auto"/>
        </w:rPr>
      </w:pPr>
      <w:r>
        <w:rPr>
          <w:rFonts w:ascii="Arial" w:cs="Arial" w:eastAsia="Arial" w:hAnsi="Arial"/>
          <w:sz w:val="19"/>
          <w:szCs w:val="19"/>
          <w:color w:val="auto"/>
        </w:rPr>
        <w:t>at the disclosing Party’s request and expense, assists in an attempt to object to or limit the required</w:t>
      </w:r>
    </w:p>
    <w:p>
      <w:pPr>
        <w:spacing w:after="0" w:line="42" w:lineRule="exact"/>
        <w:rPr>
          <w:rFonts w:ascii="Arial" w:cs="Arial" w:eastAsia="Arial" w:hAnsi="Arial"/>
          <w:sz w:val="19"/>
          <w:szCs w:val="19"/>
          <w:b w:val="1"/>
          <w:bCs w:val="1"/>
          <w:color w:val="auto"/>
        </w:rPr>
      </w:pPr>
    </w:p>
    <w:p>
      <w:pPr>
        <w:ind w:left="880"/>
        <w:spacing w:after="0"/>
        <w:rPr>
          <w:rFonts w:ascii="Arial" w:cs="Arial" w:eastAsia="Arial" w:hAnsi="Arial"/>
          <w:sz w:val="19"/>
          <w:szCs w:val="19"/>
          <w:b w:val="1"/>
          <w:bCs w:val="1"/>
          <w:color w:val="auto"/>
        </w:rPr>
      </w:pPr>
      <w:r>
        <w:rPr>
          <w:rFonts w:ascii="Arial" w:cs="Arial" w:eastAsia="Arial" w:hAnsi="Arial"/>
          <w:sz w:val="22"/>
          <w:szCs w:val="22"/>
          <w:color w:val="auto"/>
        </w:rPr>
        <w:t>disclosure.</w:t>
      </w:r>
    </w:p>
    <w:p>
      <w:pPr>
        <w:spacing w:after="0" w:line="128" w:lineRule="exact"/>
        <w:rPr>
          <w:sz w:val="20"/>
          <w:szCs w:val="20"/>
          <w:color w:val="auto"/>
        </w:rPr>
      </w:pPr>
    </w:p>
    <w:p>
      <w:pPr>
        <w:ind w:right="140" w:firstLine="877"/>
        <w:spacing w:after="0" w:line="243" w:lineRule="auto"/>
        <w:rPr>
          <w:sz w:val="20"/>
          <w:szCs w:val="20"/>
          <w:color w:val="auto"/>
        </w:rPr>
      </w:pPr>
      <w:r>
        <w:rPr>
          <w:rFonts w:ascii="Arial" w:cs="Arial" w:eastAsia="Arial" w:hAnsi="Arial"/>
          <w:sz w:val="22"/>
          <w:szCs w:val="22"/>
          <w:b w:val="1"/>
          <w:bCs w:val="1"/>
          <w:color w:val="auto"/>
        </w:rPr>
        <w:t xml:space="preserve">6.1.5 Return of Proprietary Information. </w:t>
      </w:r>
      <w:r>
        <w:rPr>
          <w:rFonts w:ascii="Arial" w:cs="Arial" w:eastAsia="Arial" w:hAnsi="Arial"/>
          <w:sz w:val="22"/>
          <w:szCs w:val="22"/>
          <w:color w:val="auto"/>
        </w:rPr>
        <w:t>Upon early termination of this Agreement for any reason, each Party</w:t>
      </w:r>
      <w:r>
        <w:rPr>
          <w:rFonts w:ascii="Arial" w:cs="Arial" w:eastAsia="Arial" w:hAnsi="Arial"/>
          <w:sz w:val="22"/>
          <w:szCs w:val="22"/>
          <w:b w:val="1"/>
          <w:bCs w:val="1"/>
          <w:color w:val="auto"/>
        </w:rPr>
        <w:t xml:space="preserve"> </w:t>
      </w:r>
      <w:r>
        <w:rPr>
          <w:rFonts w:ascii="Arial" w:cs="Arial" w:eastAsia="Arial" w:hAnsi="Arial"/>
          <w:sz w:val="22"/>
          <w:szCs w:val="22"/>
          <w:color w:val="auto"/>
        </w:rPr>
        <w:t>and its Affiliates will immediately return to the other Party or destroy any Proprietary Information disclosed by the other Party, except for one copy which may be retained in its confidential files for archive purposes.</w:t>
      </w:r>
    </w:p>
    <w:p>
      <w:pPr>
        <w:spacing w:after="0" w:line="123" w:lineRule="exact"/>
        <w:rPr>
          <w:sz w:val="20"/>
          <w:szCs w:val="20"/>
          <w:color w:val="auto"/>
        </w:rPr>
      </w:pPr>
    </w:p>
    <w:p>
      <w:pPr>
        <w:spacing w:after="0"/>
        <w:tabs>
          <w:tab w:leader="none" w:pos="1640" w:val="left"/>
        </w:tabs>
        <w:rPr>
          <w:sz w:val="20"/>
          <w:szCs w:val="20"/>
          <w:color w:val="auto"/>
        </w:rPr>
      </w:pPr>
      <w:r>
        <w:rPr>
          <w:rFonts w:ascii="Arial" w:cs="Arial" w:eastAsia="Arial" w:hAnsi="Arial"/>
          <w:sz w:val="22"/>
          <w:szCs w:val="22"/>
          <w:b w:val="1"/>
          <w:bCs w:val="1"/>
          <w:color w:val="auto"/>
        </w:rPr>
        <w:t>Section 6.2</w:t>
      </w:r>
      <w:r>
        <w:rPr>
          <w:sz w:val="20"/>
          <w:szCs w:val="20"/>
          <w:color w:val="auto"/>
        </w:rPr>
        <w:tab/>
      </w:r>
      <w:r>
        <w:rPr>
          <w:rFonts w:ascii="Arial" w:cs="Arial" w:eastAsia="Arial" w:hAnsi="Arial"/>
          <w:sz w:val="19"/>
          <w:szCs w:val="19"/>
          <w:b w:val="1"/>
          <w:bCs w:val="1"/>
          <w:color w:val="auto"/>
        </w:rPr>
        <w:t>Publicity.</w:t>
      </w:r>
    </w:p>
    <w:p>
      <w:pPr>
        <w:spacing w:after="0" w:line="152" w:lineRule="exact"/>
        <w:rPr>
          <w:sz w:val="20"/>
          <w:szCs w:val="20"/>
          <w:color w:val="auto"/>
        </w:rPr>
      </w:pPr>
    </w:p>
    <w:p>
      <w:pPr>
        <w:ind w:right="100" w:firstLine="877"/>
        <w:spacing w:after="0" w:line="239" w:lineRule="auto"/>
        <w:rPr>
          <w:sz w:val="20"/>
          <w:szCs w:val="20"/>
          <w:color w:val="auto"/>
        </w:rPr>
      </w:pPr>
      <w:r>
        <w:rPr>
          <w:rFonts w:ascii="Arial" w:cs="Arial" w:eastAsia="Arial" w:hAnsi="Arial"/>
          <w:sz w:val="22"/>
          <w:szCs w:val="22"/>
          <w:b w:val="1"/>
          <w:bCs w:val="1"/>
          <w:color w:val="auto"/>
        </w:rPr>
        <w:t xml:space="preserve">6.2.1 Trademarks. </w:t>
      </w:r>
      <w:r>
        <w:rPr>
          <w:rFonts w:ascii="Arial" w:cs="Arial" w:eastAsia="Arial" w:hAnsi="Arial"/>
          <w:sz w:val="22"/>
          <w:szCs w:val="22"/>
          <w:color w:val="auto"/>
        </w:rPr>
        <w:t>Neither Party will use the name, symbol, trademark, trade name or logo of the other Party or</w:t>
      </w:r>
      <w:r>
        <w:rPr>
          <w:rFonts w:ascii="Arial" w:cs="Arial" w:eastAsia="Arial" w:hAnsi="Arial"/>
          <w:sz w:val="22"/>
          <w:szCs w:val="22"/>
          <w:b w:val="1"/>
          <w:bCs w:val="1"/>
          <w:color w:val="auto"/>
        </w:rPr>
        <w:t xml:space="preserve"> </w:t>
      </w:r>
      <w:r>
        <w:rPr>
          <w:rFonts w:ascii="Arial" w:cs="Arial" w:eastAsia="Arial" w:hAnsi="Arial"/>
          <w:sz w:val="22"/>
          <w:szCs w:val="22"/>
          <w:color w:val="auto"/>
        </w:rPr>
        <w:t>its Affiliates in any press release, publication or other form of public disclosure without the prior written consent of the other Party in each instance (such consent not to be unreasonably withheld or delayed), except for those disclosures for which consent has already been obtained.</w:t>
      </w:r>
    </w:p>
    <w:p>
      <w:pPr>
        <w:spacing w:after="0" w:line="127" w:lineRule="exact"/>
        <w:rPr>
          <w:sz w:val="20"/>
          <w:szCs w:val="20"/>
          <w:color w:val="auto"/>
        </w:rPr>
      </w:pPr>
    </w:p>
    <w:p>
      <w:pPr>
        <w:ind w:right="60" w:firstLine="877"/>
        <w:spacing w:after="0" w:line="275" w:lineRule="auto"/>
        <w:rPr>
          <w:sz w:val="20"/>
          <w:szCs w:val="20"/>
          <w:color w:val="auto"/>
        </w:rPr>
      </w:pPr>
      <w:r>
        <w:rPr>
          <w:rFonts w:ascii="Arial" w:cs="Arial" w:eastAsia="Arial" w:hAnsi="Arial"/>
          <w:sz w:val="19"/>
          <w:szCs w:val="19"/>
          <w:b w:val="1"/>
          <w:bCs w:val="1"/>
          <w:color w:val="auto"/>
        </w:rPr>
        <w:t xml:space="preserve">6.2.2 Press Releases. </w:t>
      </w:r>
      <w:r>
        <w:rPr>
          <w:rFonts w:ascii="Arial" w:cs="Arial" w:eastAsia="Arial" w:hAnsi="Arial"/>
          <w:sz w:val="19"/>
          <w:szCs w:val="19"/>
          <w:color w:val="auto"/>
        </w:rPr>
        <w:t>Neither Party will issue any press release or other public statement, whether oral or written,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disclosing the existence of this Agreement, the terms hereof or any information relating to this Agreement without the prior written consent of the other Party;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for the avoidance of doubt, until the commencement of a Phase 3 Trial with respect to a Licensed Product, Novartis will use reasonable efforts to give Cerulean prior notice and a copy of any press releases or other public statements made in connection with the Development and Commercialization of the Licensed Product under this Agreement, and will consider Cerulean’s comments in good faith. Notwithstanding the foregoing, the Parties acknowledge and agree that Cerulean will issue a press release upon execution of this Agreement. Cerulean will provide a draft of such press release to Novartis for its prompt review and approval. Such press release will </w:t>
      </w:r>
      <w:r>
        <w:rPr>
          <w:rFonts w:ascii="Arial" w:cs="Arial" w:eastAsia="Arial" w:hAnsi="Arial"/>
          <w:sz w:val="19"/>
          <w:szCs w:val="19"/>
          <w:b w:val="1"/>
          <w:bCs w:val="1"/>
          <w:color w:val="auto"/>
        </w:rPr>
        <w:t>(a)</w:t>
      </w:r>
      <w:r>
        <w:rPr>
          <w:rFonts w:ascii="Arial" w:cs="Arial" w:eastAsia="Arial" w:hAnsi="Arial"/>
          <w:sz w:val="19"/>
          <w:szCs w:val="19"/>
          <w:color w:val="auto"/>
        </w:rPr>
        <w:t xml:space="preserve"> be solely issued by Cerulean (</w:t>
      </w:r>
      <w:r>
        <w:rPr>
          <w:rFonts w:ascii="Arial" w:cs="Arial" w:eastAsia="Arial" w:hAnsi="Arial"/>
          <w:sz w:val="19"/>
          <w:szCs w:val="19"/>
          <w:i w:val="1"/>
          <w:iCs w:val="1"/>
          <w:color w:val="auto"/>
        </w:rPr>
        <w:t>i.e.</w:t>
      </w:r>
      <w:r>
        <w:rPr>
          <w:rFonts w:ascii="Arial" w:cs="Arial" w:eastAsia="Arial" w:hAnsi="Arial"/>
          <w:sz w:val="19"/>
          <w:szCs w:val="19"/>
          <w:color w:val="auto"/>
        </w:rPr>
        <w:t xml:space="preserve">, will not be a joint press release), </w:t>
      </w:r>
      <w:r>
        <w:rPr>
          <w:rFonts w:ascii="Arial" w:cs="Arial" w:eastAsia="Arial" w:hAnsi="Arial"/>
          <w:sz w:val="19"/>
          <w:szCs w:val="19"/>
          <w:b w:val="1"/>
          <w:bCs w:val="1"/>
          <w:color w:val="auto"/>
        </w:rPr>
        <w:t>(b)</w:t>
      </w:r>
      <w:r>
        <w:rPr>
          <w:rFonts w:ascii="Arial" w:cs="Arial" w:eastAsia="Arial" w:hAnsi="Arial"/>
          <w:sz w:val="19"/>
          <w:szCs w:val="19"/>
          <w:color w:val="auto"/>
        </w:rPr>
        <w:t xml:space="preserve"> not include Novartis’ name in the title of the release, or </w:t>
      </w:r>
      <w:r>
        <w:rPr>
          <w:rFonts w:ascii="Arial" w:cs="Arial" w:eastAsia="Arial" w:hAnsi="Arial"/>
          <w:sz w:val="19"/>
          <w:szCs w:val="19"/>
          <w:b w:val="1"/>
          <w:bCs w:val="1"/>
          <w:color w:val="auto"/>
        </w:rPr>
        <w:t>(c)</w:t>
      </w:r>
      <w:r>
        <w:rPr>
          <w:rFonts w:ascii="Arial" w:cs="Arial" w:eastAsia="Arial" w:hAnsi="Arial"/>
          <w:sz w:val="19"/>
          <w:szCs w:val="19"/>
          <w:color w:val="auto"/>
        </w:rPr>
        <w:t xml:space="preserve"> will not include quotes from Novartis personnel.</w:t>
      </w:r>
    </w:p>
    <w:p>
      <w:pPr>
        <w:spacing w:after="0" w:line="97" w:lineRule="exact"/>
        <w:rPr>
          <w:sz w:val="20"/>
          <w:szCs w:val="20"/>
          <w:color w:val="auto"/>
        </w:rPr>
      </w:pPr>
    </w:p>
    <w:p>
      <w:pPr>
        <w:ind w:right="60" w:firstLine="877"/>
        <w:spacing w:after="0" w:line="280" w:lineRule="auto"/>
        <w:rPr>
          <w:sz w:val="20"/>
          <w:szCs w:val="20"/>
          <w:color w:val="auto"/>
        </w:rPr>
      </w:pPr>
      <w:r>
        <w:rPr>
          <w:rFonts w:ascii="Arial" w:cs="Arial" w:eastAsia="Arial" w:hAnsi="Arial"/>
          <w:sz w:val="19"/>
          <w:szCs w:val="19"/>
          <w:b w:val="1"/>
          <w:bCs w:val="1"/>
          <w:color w:val="auto"/>
        </w:rPr>
        <w:t xml:space="preserve">6.2.3 Duties of Disclosure. </w:t>
      </w:r>
      <w:r>
        <w:rPr>
          <w:rFonts w:ascii="Arial" w:cs="Arial" w:eastAsia="Arial" w:hAnsi="Arial"/>
          <w:sz w:val="19"/>
          <w:szCs w:val="19"/>
          <w:color w:val="auto"/>
        </w:rPr>
        <w:t>Notwithstanding the foregoing, each Party may make any disclosures required of it to</w:t>
      </w:r>
      <w:r>
        <w:rPr>
          <w:rFonts w:ascii="Arial" w:cs="Arial" w:eastAsia="Arial" w:hAnsi="Arial"/>
          <w:sz w:val="19"/>
          <w:szCs w:val="19"/>
          <w:b w:val="1"/>
          <w:bCs w:val="1"/>
          <w:color w:val="auto"/>
        </w:rPr>
        <w:t xml:space="preserve"> </w:t>
      </w:r>
      <w:r>
        <w:rPr>
          <w:rFonts w:ascii="Arial" w:cs="Arial" w:eastAsia="Arial" w:hAnsi="Arial"/>
          <w:sz w:val="19"/>
          <w:szCs w:val="19"/>
          <w:color w:val="auto"/>
        </w:rPr>
        <w:t>comply with any duty of disclosure it may have pursuant to law or governmental regulation or pursuant to the rules of any recognized stock exchange. If a disclosure is required by law, governmental regulation, or the rules of any recognized stock exchange, the Parties will coordinate with each other with respect to the timing, form and content of such required disclosure. If reasonably requested by the other Party, the Party subject to such obligation will use reasonable efforts to obtain an order protecting, to the maximum extent possible, the confidentiality of any provisions of this Agreement requested by the other Party to</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2" w:name="page103"/>
    <w:bookmarkEnd w:id="102"/>
    <w:p>
      <w:pPr>
        <w:ind w:left="9560"/>
        <w:spacing w:after="0"/>
        <w:rPr>
          <w:sz w:val="20"/>
          <w:szCs w:val="20"/>
          <w:color w:val="auto"/>
        </w:rPr>
      </w:pPr>
      <w:r>
        <w:rPr>
          <w:rFonts w:ascii="Arial" w:cs="Arial" w:eastAsia="Arial" w:hAnsi="Arial"/>
          <w:sz w:val="19"/>
          <w:szCs w:val="19"/>
          <w:color w:val="auto"/>
        </w:rPr>
        <w:t>EXECUTION COPY</w:t>
      </w:r>
    </w:p>
    <w:p>
      <w:pPr>
        <w:spacing w:after="0" w:line="268" w:lineRule="exact"/>
        <w:rPr>
          <w:sz w:val="20"/>
          <w:szCs w:val="20"/>
          <w:color w:val="auto"/>
        </w:rPr>
      </w:pPr>
    </w:p>
    <w:p>
      <w:pPr>
        <w:ind w:right="180"/>
        <w:spacing w:after="0" w:line="249" w:lineRule="auto"/>
        <w:rPr>
          <w:sz w:val="20"/>
          <w:szCs w:val="20"/>
          <w:color w:val="auto"/>
        </w:rPr>
      </w:pPr>
      <w:r>
        <w:rPr>
          <w:rFonts w:ascii="Arial" w:cs="Arial" w:eastAsia="Arial" w:hAnsi="Arial"/>
          <w:sz w:val="21"/>
          <w:szCs w:val="21"/>
          <w:color w:val="auto"/>
        </w:rPr>
        <w:t>be redacted therefrom. If the Parties are unable to agree on the form or content of any required disclosure, such disclosure will be limited to the minimum required as determined by the disclosing Party in consultation with its legal counsel. Without limiting the foregoing, each Party will consult with the other Party on the provisions of this Agreement, together with exhibits or other attachments attached hereto, to be redacted in any filings made by Cerulean or Novartis with the U.S. Securities and Exchange Commission (or other regulatory body) or as otherwise required by law.</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w:t>
      </w:r>
    </w:p>
    <w:p>
      <w:pPr>
        <w:spacing w:after="0" w:line="128" w:lineRule="exact"/>
        <w:rPr>
          <w:sz w:val="20"/>
          <w:szCs w:val="20"/>
          <w:color w:val="auto"/>
        </w:rPr>
      </w:pPr>
    </w:p>
    <w:p>
      <w:pPr>
        <w:spacing w:after="0"/>
        <w:tabs>
          <w:tab w:leader="none" w:pos="1640" w:val="left"/>
        </w:tabs>
        <w:rPr>
          <w:sz w:val="20"/>
          <w:szCs w:val="20"/>
          <w:color w:val="auto"/>
        </w:rPr>
      </w:pPr>
      <w:r>
        <w:rPr>
          <w:rFonts w:ascii="Arial" w:cs="Arial" w:eastAsia="Arial" w:hAnsi="Arial"/>
          <w:sz w:val="22"/>
          <w:szCs w:val="22"/>
          <w:b w:val="1"/>
          <w:bCs w:val="1"/>
          <w:color w:val="auto"/>
        </w:rPr>
        <w:t>Section 7.1</w:t>
      </w:r>
      <w:r>
        <w:rPr>
          <w:sz w:val="20"/>
          <w:szCs w:val="20"/>
          <w:color w:val="auto"/>
        </w:rPr>
        <w:tab/>
      </w:r>
      <w:r>
        <w:rPr>
          <w:rFonts w:ascii="Arial" w:cs="Arial" w:eastAsia="Arial" w:hAnsi="Arial"/>
          <w:sz w:val="19"/>
          <w:szCs w:val="19"/>
          <w:b w:val="1"/>
          <w:bCs w:val="1"/>
          <w:color w:val="auto"/>
        </w:rPr>
        <w:t>Representations and Warranties.</w:t>
      </w:r>
    </w:p>
    <w:p>
      <w:pPr>
        <w:spacing w:after="0" w:line="152"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2"/>
          <w:szCs w:val="22"/>
          <w:b w:val="1"/>
          <w:bCs w:val="1"/>
          <w:color w:val="auto"/>
        </w:rPr>
        <w:t>7.1.1</w:t>
      </w:r>
      <w:r>
        <w:rPr>
          <w:sz w:val="20"/>
          <w:szCs w:val="20"/>
          <w:color w:val="auto"/>
        </w:rPr>
        <w:tab/>
      </w:r>
      <w:r>
        <w:rPr>
          <w:rFonts w:ascii="Arial" w:cs="Arial" w:eastAsia="Arial" w:hAnsi="Arial"/>
          <w:sz w:val="19"/>
          <w:szCs w:val="19"/>
          <w:b w:val="1"/>
          <w:bCs w:val="1"/>
          <w:color w:val="auto"/>
        </w:rPr>
        <w:t xml:space="preserve">Representations and Warranties by Each Party. </w:t>
      </w:r>
      <w:r>
        <w:rPr>
          <w:rFonts w:ascii="Arial" w:cs="Arial" w:eastAsia="Arial" w:hAnsi="Arial"/>
          <w:sz w:val="19"/>
          <w:szCs w:val="19"/>
          <w:color w:val="auto"/>
        </w:rPr>
        <w:t>Each Party represents and warrants to the other as of the</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Effective Date that:</w:t>
      </w:r>
    </w:p>
    <w:p>
      <w:pPr>
        <w:spacing w:after="0" w:line="134" w:lineRule="exact"/>
        <w:rPr>
          <w:sz w:val="20"/>
          <w:szCs w:val="20"/>
          <w:color w:val="auto"/>
        </w:rPr>
      </w:pPr>
    </w:p>
    <w:p>
      <w:pPr>
        <w:ind w:left="880" w:right="800" w:firstLine="816"/>
        <w:spacing w:after="0" w:line="251" w:lineRule="auto"/>
        <w:tabs>
          <w:tab w:leader="none" w:pos="2590" w:val="left"/>
        </w:tabs>
        <w:numPr>
          <w:ilvl w:val="0"/>
          <w:numId w:val="106"/>
        </w:numPr>
        <w:rPr>
          <w:rFonts w:ascii="Arial" w:cs="Arial" w:eastAsia="Arial" w:hAnsi="Arial"/>
          <w:sz w:val="22"/>
          <w:szCs w:val="22"/>
          <w:b w:val="1"/>
          <w:bCs w:val="1"/>
          <w:color w:val="auto"/>
        </w:rPr>
      </w:pPr>
      <w:r>
        <w:rPr>
          <w:rFonts w:ascii="Arial" w:cs="Arial" w:eastAsia="Arial" w:hAnsi="Arial"/>
          <w:sz w:val="22"/>
          <w:szCs w:val="22"/>
          <w:color w:val="auto"/>
        </w:rPr>
        <w:t>it is a corporation duly organized, validly existing, and in good standing under the laws of its jurisdiction of formation;</w:t>
      </w:r>
    </w:p>
    <w:p>
      <w:pPr>
        <w:spacing w:after="0" w:line="119" w:lineRule="exact"/>
        <w:rPr>
          <w:rFonts w:ascii="Arial" w:cs="Arial" w:eastAsia="Arial" w:hAnsi="Arial"/>
          <w:sz w:val="22"/>
          <w:szCs w:val="22"/>
          <w:b w:val="1"/>
          <w:bCs w:val="1"/>
          <w:color w:val="auto"/>
        </w:rPr>
      </w:pPr>
    </w:p>
    <w:p>
      <w:pPr>
        <w:ind w:left="880" w:right="20" w:firstLine="816"/>
        <w:spacing w:after="0" w:line="258" w:lineRule="auto"/>
        <w:tabs>
          <w:tab w:leader="none" w:pos="2602" w:val="left"/>
        </w:tabs>
        <w:numPr>
          <w:ilvl w:val="0"/>
          <w:numId w:val="106"/>
        </w:numPr>
        <w:rPr>
          <w:rFonts w:ascii="Arial" w:cs="Arial" w:eastAsia="Arial" w:hAnsi="Arial"/>
          <w:sz w:val="21"/>
          <w:szCs w:val="21"/>
          <w:b w:val="1"/>
          <w:bCs w:val="1"/>
          <w:color w:val="auto"/>
        </w:rPr>
      </w:pPr>
      <w:r>
        <w:rPr>
          <w:rFonts w:ascii="Arial" w:cs="Arial" w:eastAsia="Arial" w:hAnsi="Arial"/>
          <w:sz w:val="21"/>
          <w:szCs w:val="21"/>
          <w:color w:val="auto"/>
        </w:rPr>
        <w:t>it has full corporate power and authority to execute, deliver, and perform this Agreement, and has taken all corporate action required by law and its organizational documents to authorize the execution and delivery of this Agreement and the consummation of the transactions contemplated by this Agreement;</w:t>
      </w:r>
    </w:p>
    <w:p>
      <w:pPr>
        <w:spacing w:after="0" w:line="112" w:lineRule="exact"/>
        <w:rPr>
          <w:rFonts w:ascii="Arial" w:cs="Arial" w:eastAsia="Arial" w:hAnsi="Arial"/>
          <w:sz w:val="21"/>
          <w:szCs w:val="21"/>
          <w:b w:val="1"/>
          <w:bCs w:val="1"/>
          <w:color w:val="auto"/>
        </w:rPr>
      </w:pPr>
    </w:p>
    <w:p>
      <w:pPr>
        <w:ind w:left="2580" w:hanging="884"/>
        <w:spacing w:after="0"/>
        <w:tabs>
          <w:tab w:leader="none" w:pos="2580" w:val="left"/>
        </w:tabs>
        <w:numPr>
          <w:ilvl w:val="0"/>
          <w:numId w:val="106"/>
        </w:numPr>
        <w:rPr>
          <w:rFonts w:ascii="Arial" w:cs="Arial" w:eastAsia="Arial" w:hAnsi="Arial"/>
          <w:sz w:val="19"/>
          <w:szCs w:val="19"/>
          <w:b w:val="1"/>
          <w:bCs w:val="1"/>
          <w:color w:val="auto"/>
        </w:rPr>
      </w:pPr>
      <w:r>
        <w:rPr>
          <w:rFonts w:ascii="Arial" w:cs="Arial" w:eastAsia="Arial" w:hAnsi="Arial"/>
          <w:sz w:val="19"/>
          <w:szCs w:val="19"/>
          <w:color w:val="auto"/>
        </w:rPr>
        <w:t>this Agreement constitutes a valid and binding agreement enforceable against it in accordance with its</w:t>
      </w:r>
    </w:p>
    <w:p>
      <w:pPr>
        <w:spacing w:after="0" w:line="42" w:lineRule="exact"/>
        <w:rPr>
          <w:rFonts w:ascii="Arial" w:cs="Arial" w:eastAsia="Arial" w:hAnsi="Arial"/>
          <w:sz w:val="19"/>
          <w:szCs w:val="19"/>
          <w:b w:val="1"/>
          <w:bCs w:val="1"/>
          <w:color w:val="auto"/>
        </w:rPr>
      </w:pPr>
    </w:p>
    <w:p>
      <w:pPr>
        <w:ind w:left="880"/>
        <w:spacing w:after="0"/>
        <w:rPr>
          <w:rFonts w:ascii="Arial" w:cs="Arial" w:eastAsia="Arial" w:hAnsi="Arial"/>
          <w:sz w:val="19"/>
          <w:szCs w:val="19"/>
          <w:b w:val="1"/>
          <w:bCs w:val="1"/>
          <w:color w:val="auto"/>
        </w:rPr>
      </w:pPr>
      <w:r>
        <w:rPr>
          <w:rFonts w:ascii="Arial" w:cs="Arial" w:eastAsia="Arial" w:hAnsi="Arial"/>
          <w:sz w:val="22"/>
          <w:szCs w:val="22"/>
          <w:color w:val="auto"/>
        </w:rPr>
        <w:t>terms;</w:t>
      </w:r>
    </w:p>
    <w:p>
      <w:pPr>
        <w:spacing w:after="0" w:line="134" w:lineRule="exact"/>
        <w:rPr>
          <w:rFonts w:ascii="Arial" w:cs="Arial" w:eastAsia="Arial" w:hAnsi="Arial"/>
          <w:sz w:val="19"/>
          <w:szCs w:val="19"/>
          <w:b w:val="1"/>
          <w:bCs w:val="1"/>
          <w:color w:val="auto"/>
        </w:rPr>
      </w:pPr>
    </w:p>
    <w:p>
      <w:pPr>
        <w:ind w:left="880" w:right="340" w:firstLine="816"/>
        <w:spacing w:after="0" w:line="274" w:lineRule="auto"/>
        <w:tabs>
          <w:tab w:leader="none" w:pos="2602" w:val="left"/>
        </w:tabs>
        <w:numPr>
          <w:ilvl w:val="0"/>
          <w:numId w:val="106"/>
        </w:numPr>
        <w:rPr>
          <w:rFonts w:ascii="Arial" w:cs="Arial" w:eastAsia="Arial" w:hAnsi="Arial"/>
          <w:sz w:val="21"/>
          <w:szCs w:val="21"/>
          <w:b w:val="1"/>
          <w:bCs w:val="1"/>
          <w:color w:val="auto"/>
        </w:rPr>
      </w:pPr>
      <w:r>
        <w:rPr>
          <w:rFonts w:ascii="Arial" w:cs="Arial" w:eastAsia="Arial" w:hAnsi="Arial"/>
          <w:sz w:val="21"/>
          <w:szCs w:val="21"/>
          <w:color w:val="auto"/>
        </w:rPr>
        <w:t>all consents, approvals and authorizations from all governmental authorities or other Third Parties required to be obtained by such Party in connection with this Agreement have been obtained;</w:t>
      </w:r>
    </w:p>
    <w:p>
      <w:pPr>
        <w:spacing w:after="0" w:line="96" w:lineRule="exact"/>
        <w:rPr>
          <w:rFonts w:ascii="Arial" w:cs="Arial" w:eastAsia="Arial" w:hAnsi="Arial"/>
          <w:sz w:val="21"/>
          <w:szCs w:val="21"/>
          <w:b w:val="1"/>
          <w:bCs w:val="1"/>
          <w:color w:val="auto"/>
        </w:rPr>
      </w:pPr>
    </w:p>
    <w:p>
      <w:pPr>
        <w:jc w:val="both"/>
        <w:ind w:left="880" w:right="120" w:firstLine="816"/>
        <w:spacing w:after="0" w:line="328" w:lineRule="auto"/>
        <w:tabs>
          <w:tab w:leader="none" w:pos="2578" w:val="left"/>
        </w:tabs>
        <w:numPr>
          <w:ilvl w:val="0"/>
          <w:numId w:val="106"/>
        </w:numPr>
        <w:rPr>
          <w:rFonts w:ascii="Arial" w:cs="Arial" w:eastAsia="Arial" w:hAnsi="Arial"/>
          <w:sz w:val="19"/>
          <w:szCs w:val="19"/>
          <w:b w:val="1"/>
          <w:bCs w:val="1"/>
          <w:color w:val="auto"/>
        </w:rPr>
      </w:pPr>
      <w:r>
        <w:rPr>
          <w:rFonts w:ascii="Arial" w:cs="Arial" w:eastAsia="Arial" w:hAnsi="Arial"/>
          <w:sz w:val="19"/>
          <w:szCs w:val="19"/>
          <w:color w:val="auto"/>
        </w:rPr>
        <w:t>the execution and delivery of this Agreement and all other instruments and documents required to be executed pursuant to this Agreement, and the consummation of the transactions contemplated hereby do not and will not</w:t>
      </w:r>
    </w:p>
    <w:p>
      <w:pPr>
        <w:spacing w:after="0" w:line="51" w:lineRule="exact"/>
        <w:rPr>
          <w:rFonts w:ascii="Arial" w:cs="Arial" w:eastAsia="Arial" w:hAnsi="Arial"/>
          <w:sz w:val="19"/>
          <w:szCs w:val="19"/>
          <w:b w:val="1"/>
          <w:bCs w:val="1"/>
          <w:color w:val="auto"/>
        </w:rPr>
      </w:pPr>
    </w:p>
    <w:p>
      <w:pPr>
        <w:ind w:left="3420" w:hanging="914"/>
        <w:spacing w:after="0"/>
        <w:tabs>
          <w:tab w:leader="none" w:pos="3420" w:val="left"/>
        </w:tabs>
        <w:numPr>
          <w:ilvl w:val="1"/>
          <w:numId w:val="106"/>
        </w:numPr>
        <w:rPr>
          <w:rFonts w:ascii="Arial" w:cs="Arial" w:eastAsia="Arial" w:hAnsi="Arial"/>
          <w:sz w:val="22"/>
          <w:szCs w:val="22"/>
          <w:b w:val="1"/>
          <w:bCs w:val="1"/>
          <w:color w:val="auto"/>
        </w:rPr>
      </w:pPr>
      <w:r>
        <w:rPr>
          <w:rFonts w:ascii="Arial" w:cs="Arial" w:eastAsia="Arial" w:hAnsi="Arial"/>
          <w:sz w:val="22"/>
          <w:szCs w:val="22"/>
          <w:color w:val="auto"/>
        </w:rPr>
        <w:t>conflict with or result in a breach of any provision of its organizational documents;</w:t>
      </w:r>
    </w:p>
    <w:p>
      <w:pPr>
        <w:spacing w:after="0" w:line="152" w:lineRule="exact"/>
        <w:rPr>
          <w:rFonts w:ascii="Arial" w:cs="Arial" w:eastAsia="Arial" w:hAnsi="Arial"/>
          <w:sz w:val="22"/>
          <w:szCs w:val="22"/>
          <w:b w:val="1"/>
          <w:bCs w:val="1"/>
          <w:color w:val="auto"/>
        </w:rPr>
      </w:pPr>
    </w:p>
    <w:p>
      <w:pPr>
        <w:ind w:left="3480" w:hanging="974"/>
        <w:spacing w:after="0"/>
        <w:tabs>
          <w:tab w:leader="none" w:pos="3480" w:val="left"/>
        </w:tabs>
        <w:numPr>
          <w:ilvl w:val="1"/>
          <w:numId w:val="106"/>
        </w:numPr>
        <w:rPr>
          <w:rFonts w:ascii="Arial" w:cs="Arial" w:eastAsia="Arial" w:hAnsi="Arial"/>
          <w:sz w:val="22"/>
          <w:szCs w:val="22"/>
          <w:b w:val="1"/>
          <w:bCs w:val="1"/>
          <w:color w:val="auto"/>
        </w:rPr>
      </w:pPr>
      <w:r>
        <w:rPr>
          <w:rFonts w:ascii="Arial" w:cs="Arial" w:eastAsia="Arial" w:hAnsi="Arial"/>
          <w:sz w:val="22"/>
          <w:szCs w:val="22"/>
          <w:color w:val="auto"/>
        </w:rPr>
        <w:t>result in a breach of any agreement to which it is a party; or</w:t>
      </w:r>
    </w:p>
    <w:p>
      <w:pPr>
        <w:spacing w:after="0" w:line="152" w:lineRule="exact"/>
        <w:rPr>
          <w:rFonts w:ascii="Arial" w:cs="Arial" w:eastAsia="Arial" w:hAnsi="Arial"/>
          <w:sz w:val="22"/>
          <w:szCs w:val="22"/>
          <w:b w:val="1"/>
          <w:bCs w:val="1"/>
          <w:color w:val="auto"/>
        </w:rPr>
      </w:pPr>
    </w:p>
    <w:p>
      <w:pPr>
        <w:ind w:left="3540" w:hanging="1034"/>
        <w:spacing w:after="0"/>
        <w:tabs>
          <w:tab w:leader="none" w:pos="3540" w:val="left"/>
        </w:tabs>
        <w:numPr>
          <w:ilvl w:val="1"/>
          <w:numId w:val="106"/>
        </w:numPr>
        <w:rPr>
          <w:rFonts w:ascii="Arial" w:cs="Arial" w:eastAsia="Arial" w:hAnsi="Arial"/>
          <w:sz w:val="22"/>
          <w:szCs w:val="22"/>
          <w:b w:val="1"/>
          <w:bCs w:val="1"/>
          <w:color w:val="auto"/>
        </w:rPr>
      </w:pPr>
      <w:r>
        <w:rPr>
          <w:rFonts w:ascii="Arial" w:cs="Arial" w:eastAsia="Arial" w:hAnsi="Arial"/>
          <w:sz w:val="22"/>
          <w:szCs w:val="22"/>
          <w:color w:val="auto"/>
        </w:rPr>
        <w:t>violate any law;</w:t>
      </w:r>
    </w:p>
    <w:p>
      <w:pPr>
        <w:spacing w:after="0" w:line="152" w:lineRule="exact"/>
        <w:rPr>
          <w:rFonts w:ascii="Arial" w:cs="Arial" w:eastAsia="Arial" w:hAnsi="Arial"/>
          <w:sz w:val="22"/>
          <w:szCs w:val="22"/>
          <w:b w:val="1"/>
          <w:bCs w:val="1"/>
          <w:color w:val="auto"/>
        </w:rPr>
      </w:pPr>
    </w:p>
    <w:p>
      <w:pPr>
        <w:ind w:left="880" w:right="80" w:firstLine="816"/>
        <w:spacing w:after="0" w:line="235" w:lineRule="auto"/>
        <w:tabs>
          <w:tab w:leader="none" w:pos="2554" w:val="left"/>
        </w:tabs>
        <w:numPr>
          <w:ilvl w:val="0"/>
          <w:numId w:val="106"/>
        </w:numPr>
        <w:rPr>
          <w:rFonts w:ascii="Arial" w:cs="Arial" w:eastAsia="Arial" w:hAnsi="Arial"/>
          <w:sz w:val="22"/>
          <w:szCs w:val="22"/>
          <w:b w:val="1"/>
          <w:bCs w:val="1"/>
          <w:color w:val="auto"/>
        </w:rPr>
      </w:pPr>
      <w:r>
        <w:rPr>
          <w:rFonts w:ascii="Arial" w:cs="Arial" w:eastAsia="Arial" w:hAnsi="Arial"/>
          <w:sz w:val="22"/>
          <w:szCs w:val="22"/>
          <w:color w:val="auto"/>
        </w:rPr>
        <w:t>each Party has obtained or will (prior to commencement of activities relating to the Collaboration) obtain contractual obligations to effect assignments of all Intellectual Property Rights from all individuals who may participate in the Collaboration on behalf of such Party, including employees of such Party and employees and agents of Affiliates of such Party, and will obtain similar obligations to effect assignments of Intellectual Property Rights from any third party service providers that Cerulean engages for purposes of the Programs prior to commencement of such activities (collectively, the</w:t>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3" w:name="page104"/>
    <w:bookmarkEnd w:id="103"/>
    <w:p>
      <w:pPr>
        <w:ind w:left="9560"/>
        <w:spacing w:after="0"/>
        <w:rPr>
          <w:sz w:val="20"/>
          <w:szCs w:val="20"/>
          <w:color w:val="auto"/>
        </w:rPr>
      </w:pPr>
      <w:r>
        <w:rPr>
          <w:rFonts w:ascii="Arial" w:cs="Arial" w:eastAsia="Arial" w:hAnsi="Arial"/>
          <w:sz w:val="19"/>
          <w:szCs w:val="19"/>
          <w:color w:val="auto"/>
        </w:rPr>
        <w:t>EXECUTION COPY</w:t>
      </w:r>
    </w:p>
    <w:p>
      <w:pPr>
        <w:spacing w:after="0" w:line="268" w:lineRule="exact"/>
        <w:rPr>
          <w:sz w:val="20"/>
          <w:szCs w:val="20"/>
          <w:color w:val="auto"/>
        </w:rPr>
      </w:pPr>
    </w:p>
    <w:p>
      <w:pPr>
        <w:ind w:left="880" w:right="8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Researchers</w:t>
      </w:r>
      <w:r>
        <w:rPr>
          <w:rFonts w:ascii="Arial" w:cs="Arial" w:eastAsia="Arial" w:hAnsi="Arial"/>
          <w:sz w:val="22"/>
          <w:szCs w:val="22"/>
          <w:color w:val="auto"/>
        </w:rPr>
        <w:t>”), such that all such Intellectual Property Rights will be assigned to the respective Parties or their Affiliates as contemplated by Section 3.1;</w:t>
      </w:r>
    </w:p>
    <w:p>
      <w:pPr>
        <w:spacing w:after="0" w:line="119" w:lineRule="exact"/>
        <w:rPr>
          <w:sz w:val="20"/>
          <w:szCs w:val="20"/>
          <w:color w:val="auto"/>
        </w:rPr>
      </w:pPr>
    </w:p>
    <w:p>
      <w:pPr>
        <w:ind w:left="880" w:right="140" w:firstLine="816"/>
        <w:spacing w:after="0"/>
        <w:tabs>
          <w:tab w:leader="none" w:pos="2590" w:val="left"/>
        </w:tabs>
        <w:numPr>
          <w:ilvl w:val="0"/>
          <w:numId w:val="107"/>
        </w:numPr>
        <w:rPr>
          <w:rFonts w:ascii="Arial" w:cs="Arial" w:eastAsia="Arial" w:hAnsi="Arial"/>
          <w:sz w:val="22"/>
          <w:szCs w:val="22"/>
          <w:b w:val="1"/>
          <w:bCs w:val="1"/>
          <w:color w:val="auto"/>
        </w:rPr>
      </w:pPr>
      <w:r>
        <w:rPr>
          <w:rFonts w:ascii="Arial" w:cs="Arial" w:eastAsia="Arial" w:hAnsi="Arial"/>
          <w:sz w:val="22"/>
          <w:szCs w:val="22"/>
          <w:color w:val="auto"/>
        </w:rPr>
        <w:t>such Party’s Researchers are subject to a legally binding obligation to maintain the confidentiality of Proprietary Information of such Party and such Party’s collaborators (</w:t>
      </w:r>
      <w:r>
        <w:rPr>
          <w:rFonts w:ascii="Arial" w:cs="Arial" w:eastAsia="Arial" w:hAnsi="Arial"/>
          <w:sz w:val="22"/>
          <w:szCs w:val="22"/>
          <w:i w:val="1"/>
          <w:iCs w:val="1"/>
          <w:color w:val="auto"/>
        </w:rPr>
        <w:t>i.e.</w:t>
      </w:r>
      <w:r>
        <w:rPr>
          <w:rFonts w:ascii="Arial" w:cs="Arial" w:eastAsia="Arial" w:hAnsi="Arial"/>
          <w:sz w:val="22"/>
          <w:szCs w:val="22"/>
          <w:color w:val="auto"/>
        </w:rPr>
        <w:t>, the other Party) that is no less restrictive than the provisions of Article VI;</w:t>
      </w:r>
    </w:p>
    <w:p>
      <w:pPr>
        <w:spacing w:after="0" w:line="132" w:lineRule="exact"/>
        <w:rPr>
          <w:rFonts w:ascii="Arial" w:cs="Arial" w:eastAsia="Arial" w:hAnsi="Arial"/>
          <w:sz w:val="22"/>
          <w:szCs w:val="22"/>
          <w:b w:val="1"/>
          <w:bCs w:val="1"/>
          <w:color w:val="auto"/>
        </w:rPr>
      </w:pPr>
    </w:p>
    <w:p>
      <w:pPr>
        <w:ind w:left="880" w:right="20" w:firstLine="816"/>
        <w:spacing w:after="0"/>
        <w:tabs>
          <w:tab w:leader="none" w:pos="2602" w:val="left"/>
        </w:tabs>
        <w:numPr>
          <w:ilvl w:val="0"/>
          <w:numId w:val="107"/>
        </w:numPr>
        <w:rPr>
          <w:rFonts w:ascii="Arial" w:cs="Arial" w:eastAsia="Arial" w:hAnsi="Arial"/>
          <w:sz w:val="22"/>
          <w:szCs w:val="22"/>
          <w:b w:val="1"/>
          <w:bCs w:val="1"/>
          <w:color w:val="auto"/>
        </w:rPr>
      </w:pPr>
      <w:r>
        <w:rPr>
          <w:rFonts w:ascii="Arial" w:cs="Arial" w:eastAsia="Arial" w:hAnsi="Arial"/>
          <w:sz w:val="22"/>
          <w:szCs w:val="22"/>
          <w:color w:val="auto"/>
        </w:rPr>
        <w:t>neither Party, nor to its knowledge, any employee, agent or subcontractor of such Party involved or to be involved in the Development of the Licensed Product has been debarred under Subsection (a) or (b) of Section 306 of the Federal Food, Drug and Cosmetic Act (21 U.S.C. §335a); and</w:t>
      </w:r>
    </w:p>
    <w:p>
      <w:pPr>
        <w:spacing w:after="0" w:line="132" w:lineRule="exact"/>
        <w:rPr>
          <w:rFonts w:ascii="Arial" w:cs="Arial" w:eastAsia="Arial" w:hAnsi="Arial"/>
          <w:sz w:val="22"/>
          <w:szCs w:val="22"/>
          <w:b w:val="1"/>
          <w:bCs w:val="1"/>
          <w:color w:val="auto"/>
        </w:rPr>
      </w:pPr>
    </w:p>
    <w:p>
      <w:pPr>
        <w:ind w:left="880" w:right="140" w:firstLine="816"/>
        <w:spacing w:after="0"/>
        <w:tabs>
          <w:tab w:leader="none" w:pos="2542" w:val="left"/>
        </w:tabs>
        <w:numPr>
          <w:ilvl w:val="0"/>
          <w:numId w:val="107"/>
        </w:numPr>
        <w:rPr>
          <w:rFonts w:ascii="Arial" w:cs="Arial" w:eastAsia="Arial" w:hAnsi="Arial"/>
          <w:sz w:val="22"/>
          <w:szCs w:val="22"/>
          <w:b w:val="1"/>
          <w:bCs w:val="1"/>
          <w:color w:val="auto"/>
        </w:rPr>
      </w:pPr>
      <w:r>
        <w:rPr>
          <w:rFonts w:ascii="Arial" w:cs="Arial" w:eastAsia="Arial" w:hAnsi="Arial"/>
          <w:sz w:val="22"/>
          <w:szCs w:val="22"/>
          <w:color w:val="auto"/>
        </w:rPr>
        <w:t>to the knowledge of such Party, no Person on any of the FDA clinical investigator enforcement lists (including the Disqualified/Totally Restricted List, Restricted List, and Adequate Assurances List) will participate in the performance of any activities hereunder.</w:t>
      </w:r>
    </w:p>
    <w:p>
      <w:pPr>
        <w:spacing w:after="0" w:line="126" w:lineRule="exact"/>
        <w:rPr>
          <w:sz w:val="20"/>
          <w:szCs w:val="20"/>
          <w:color w:val="auto"/>
        </w:rPr>
      </w:pPr>
    </w:p>
    <w:p>
      <w:pPr>
        <w:ind w:left="880"/>
        <w:spacing w:after="0"/>
        <w:tabs>
          <w:tab w:leader="none" w:pos="1780" w:val="left"/>
        </w:tabs>
        <w:rPr>
          <w:sz w:val="20"/>
          <w:szCs w:val="20"/>
          <w:color w:val="auto"/>
        </w:rPr>
      </w:pPr>
      <w:r>
        <w:rPr>
          <w:rFonts w:ascii="Arial" w:cs="Arial" w:eastAsia="Arial" w:hAnsi="Arial"/>
          <w:sz w:val="22"/>
          <w:szCs w:val="22"/>
          <w:b w:val="1"/>
          <w:bCs w:val="1"/>
          <w:color w:val="auto"/>
        </w:rPr>
        <w:t>7.2</w:t>
      </w:r>
      <w:r>
        <w:rPr>
          <w:sz w:val="20"/>
          <w:szCs w:val="20"/>
          <w:color w:val="auto"/>
        </w:rPr>
        <w:tab/>
      </w:r>
      <w:r>
        <w:rPr>
          <w:rFonts w:ascii="Arial" w:cs="Arial" w:eastAsia="Arial" w:hAnsi="Arial"/>
          <w:sz w:val="19"/>
          <w:szCs w:val="19"/>
          <w:b w:val="1"/>
          <w:bCs w:val="1"/>
          <w:color w:val="auto"/>
        </w:rPr>
        <w:t xml:space="preserve">Representations and Warranties by Cerulean. </w:t>
      </w:r>
      <w:r>
        <w:rPr>
          <w:rFonts w:ascii="Arial" w:cs="Arial" w:eastAsia="Arial" w:hAnsi="Arial"/>
          <w:sz w:val="19"/>
          <w:szCs w:val="19"/>
          <w:color w:val="auto"/>
        </w:rPr>
        <w:t>Cerulean represents and warrants to Novartis as of the</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Effective Date that:</w:t>
      </w:r>
    </w:p>
    <w:p>
      <w:pPr>
        <w:spacing w:after="0" w:line="134" w:lineRule="exact"/>
        <w:rPr>
          <w:sz w:val="20"/>
          <w:szCs w:val="20"/>
          <w:color w:val="auto"/>
        </w:rPr>
      </w:pPr>
    </w:p>
    <w:p>
      <w:pPr>
        <w:ind w:left="880" w:right="300" w:firstLine="816"/>
        <w:spacing w:after="0" w:line="251" w:lineRule="auto"/>
        <w:tabs>
          <w:tab w:leader="none" w:pos="2590" w:val="left"/>
        </w:tabs>
        <w:numPr>
          <w:ilvl w:val="0"/>
          <w:numId w:val="108"/>
        </w:numPr>
        <w:rPr>
          <w:rFonts w:ascii="Arial" w:cs="Arial" w:eastAsia="Arial" w:hAnsi="Arial"/>
          <w:sz w:val="22"/>
          <w:szCs w:val="22"/>
          <w:b w:val="1"/>
          <w:bCs w:val="1"/>
          <w:color w:val="auto"/>
        </w:rPr>
      </w:pPr>
      <w:r>
        <w:rPr>
          <w:rFonts w:ascii="Arial" w:cs="Arial" w:eastAsia="Arial" w:hAnsi="Arial"/>
          <w:sz w:val="22"/>
          <w:szCs w:val="22"/>
          <w:color w:val="auto"/>
        </w:rPr>
        <w:t>Cerulean has the right to grant to Novartis the licenses under the Cerulean Background Intellectual Property that it purports to grant hereunder;</w:t>
      </w:r>
    </w:p>
    <w:p>
      <w:pPr>
        <w:spacing w:after="0" w:line="119" w:lineRule="exact"/>
        <w:rPr>
          <w:rFonts w:ascii="Arial" w:cs="Arial" w:eastAsia="Arial" w:hAnsi="Arial"/>
          <w:sz w:val="22"/>
          <w:szCs w:val="22"/>
          <w:b w:val="1"/>
          <w:bCs w:val="1"/>
          <w:color w:val="auto"/>
        </w:rPr>
      </w:pPr>
    </w:p>
    <w:p>
      <w:pPr>
        <w:ind w:left="880" w:right="20" w:firstLine="816"/>
        <w:spacing w:after="0"/>
        <w:tabs>
          <w:tab w:leader="none" w:pos="2602" w:val="left"/>
        </w:tabs>
        <w:numPr>
          <w:ilvl w:val="0"/>
          <w:numId w:val="108"/>
        </w:numPr>
        <w:rPr>
          <w:rFonts w:ascii="Arial" w:cs="Arial" w:eastAsia="Arial" w:hAnsi="Arial"/>
          <w:sz w:val="22"/>
          <w:szCs w:val="22"/>
          <w:b w:val="1"/>
          <w:bCs w:val="1"/>
          <w:color w:val="auto"/>
        </w:rPr>
      </w:pPr>
      <w:r>
        <w:rPr>
          <w:rFonts w:ascii="Arial" w:cs="Arial" w:eastAsia="Arial" w:hAnsi="Arial"/>
          <w:sz w:val="22"/>
          <w:szCs w:val="22"/>
          <w:color w:val="auto"/>
        </w:rPr>
        <w:t>Cerulean has not granted any Third Party rights to the Cerulean Background Intellectual Property that would conflict with or interfere with Novartis’ licenses hereunder or rights to Develop or Commercialize Licensed Products;</w:t>
      </w:r>
    </w:p>
    <w:p>
      <w:pPr>
        <w:spacing w:after="0" w:line="132" w:lineRule="exact"/>
        <w:rPr>
          <w:rFonts w:ascii="Arial" w:cs="Arial" w:eastAsia="Arial" w:hAnsi="Arial"/>
          <w:sz w:val="22"/>
          <w:szCs w:val="22"/>
          <w:b w:val="1"/>
          <w:bCs w:val="1"/>
          <w:color w:val="auto"/>
        </w:rPr>
      </w:pPr>
    </w:p>
    <w:p>
      <w:pPr>
        <w:ind w:left="2580" w:hanging="884"/>
        <w:spacing w:after="0"/>
        <w:tabs>
          <w:tab w:leader="none" w:pos="2580" w:val="left"/>
        </w:tabs>
        <w:numPr>
          <w:ilvl w:val="0"/>
          <w:numId w:val="108"/>
        </w:numPr>
        <w:rPr>
          <w:rFonts w:ascii="Arial" w:cs="Arial" w:eastAsia="Arial" w:hAnsi="Arial"/>
          <w:sz w:val="22"/>
          <w:szCs w:val="22"/>
          <w:b w:val="1"/>
          <w:bCs w:val="1"/>
          <w:color w:val="auto"/>
        </w:rPr>
      </w:pPr>
      <w:r>
        <w:rPr>
          <w:rFonts w:ascii="Arial" w:cs="Arial" w:eastAsia="Arial" w:hAnsi="Arial"/>
          <w:sz w:val="22"/>
          <w:szCs w:val="22"/>
          <w:color w:val="auto"/>
        </w:rPr>
        <w:t>to the knowledge of Cerulean,</w:t>
      </w:r>
    </w:p>
    <w:p>
      <w:pPr>
        <w:spacing w:after="0" w:line="152" w:lineRule="exact"/>
        <w:rPr>
          <w:rFonts w:ascii="Arial" w:cs="Arial" w:eastAsia="Arial" w:hAnsi="Arial"/>
          <w:sz w:val="22"/>
          <w:szCs w:val="22"/>
          <w:b w:val="1"/>
          <w:bCs w:val="1"/>
          <w:color w:val="auto"/>
        </w:rPr>
      </w:pPr>
    </w:p>
    <w:p>
      <w:pPr>
        <w:ind w:left="1760" w:right="100" w:firstLine="746"/>
        <w:spacing w:after="0" w:line="238" w:lineRule="auto"/>
        <w:tabs>
          <w:tab w:leader="none" w:pos="3355" w:val="left"/>
        </w:tabs>
        <w:numPr>
          <w:ilvl w:val="1"/>
          <w:numId w:val="108"/>
        </w:numPr>
        <w:rPr>
          <w:rFonts w:ascii="Arial" w:cs="Arial" w:eastAsia="Arial" w:hAnsi="Arial"/>
          <w:sz w:val="22"/>
          <w:szCs w:val="22"/>
          <w:b w:val="1"/>
          <w:bCs w:val="1"/>
          <w:color w:val="auto"/>
        </w:rPr>
      </w:pPr>
      <w:r>
        <w:rPr>
          <w:rFonts w:ascii="Arial" w:cs="Arial" w:eastAsia="Arial" w:hAnsi="Arial"/>
          <w:sz w:val="22"/>
          <w:szCs w:val="22"/>
          <w:color w:val="auto"/>
        </w:rPr>
        <w:t>any issued Patents included in the Cerulean Background Intellectual Property are valid and enforceable without any claims, challenges, oppositions, nullity actions, interferences, inter-partes reexaminations, inter-partes reviews, post-grant reviews, derivation proceedings, or other proceedings pending or threatened; and</w:t>
      </w:r>
    </w:p>
    <w:p>
      <w:pPr>
        <w:spacing w:after="0" w:line="131" w:lineRule="exact"/>
        <w:rPr>
          <w:rFonts w:ascii="Arial" w:cs="Arial" w:eastAsia="Arial" w:hAnsi="Arial"/>
          <w:sz w:val="22"/>
          <w:szCs w:val="22"/>
          <w:b w:val="1"/>
          <w:bCs w:val="1"/>
          <w:color w:val="auto"/>
        </w:rPr>
      </w:pPr>
    </w:p>
    <w:p>
      <w:pPr>
        <w:ind w:left="1760" w:right="420" w:firstLine="746"/>
        <w:spacing w:after="0" w:line="328" w:lineRule="auto"/>
        <w:tabs>
          <w:tab w:leader="none" w:pos="3415" w:val="left"/>
        </w:tabs>
        <w:numPr>
          <w:ilvl w:val="1"/>
          <w:numId w:val="108"/>
        </w:numPr>
        <w:rPr>
          <w:rFonts w:ascii="Arial" w:cs="Arial" w:eastAsia="Arial" w:hAnsi="Arial"/>
          <w:sz w:val="19"/>
          <w:szCs w:val="19"/>
          <w:b w:val="1"/>
          <w:bCs w:val="1"/>
          <w:color w:val="auto"/>
        </w:rPr>
      </w:pPr>
      <w:r>
        <w:rPr>
          <w:rFonts w:ascii="Arial" w:cs="Arial" w:eastAsia="Arial" w:hAnsi="Arial"/>
          <w:sz w:val="19"/>
          <w:szCs w:val="19"/>
          <w:color w:val="auto"/>
        </w:rPr>
        <w:t>Cerulean has filed and prosecuted any Patent Applications included in the Cerulean Background Intellectual Property in good faith and complied with all duties of candor with respect thereto;</w:t>
      </w:r>
    </w:p>
    <w:p>
      <w:pPr>
        <w:spacing w:after="0" w:line="51" w:lineRule="exact"/>
        <w:rPr>
          <w:rFonts w:ascii="Arial" w:cs="Arial" w:eastAsia="Arial" w:hAnsi="Arial"/>
          <w:sz w:val="19"/>
          <w:szCs w:val="19"/>
          <w:b w:val="1"/>
          <w:bCs w:val="1"/>
          <w:color w:val="auto"/>
        </w:rPr>
      </w:pPr>
    </w:p>
    <w:p>
      <w:pPr>
        <w:ind w:left="1760" w:firstLine="746"/>
        <w:spacing w:after="0" w:line="287" w:lineRule="auto"/>
        <w:tabs>
          <w:tab w:leader="none" w:pos="3475" w:val="left"/>
        </w:tabs>
        <w:numPr>
          <w:ilvl w:val="1"/>
          <w:numId w:val="108"/>
        </w:numPr>
        <w:rPr>
          <w:rFonts w:ascii="Arial" w:cs="Arial" w:eastAsia="Arial" w:hAnsi="Arial"/>
          <w:sz w:val="19"/>
          <w:szCs w:val="19"/>
          <w:b w:val="1"/>
          <w:bCs w:val="1"/>
          <w:color w:val="auto"/>
        </w:rPr>
      </w:pPr>
      <w:r>
        <w:rPr>
          <w:rFonts w:ascii="Arial" w:cs="Arial" w:eastAsia="Arial" w:hAnsi="Arial"/>
          <w:sz w:val="19"/>
          <w:szCs w:val="19"/>
          <w:color w:val="auto"/>
        </w:rPr>
        <w:t>all application, registration, maintenance and renewal fees with respect to any Patent Applications included in the Cerulean Background Intellectual Property as of the Effective Date have been paid and all necessary documents and certificates have been filed with the relevant agencies for the purpose of maintaining the issued Patents included in the Cerulean Background Intellectual Property;</w:t>
      </w:r>
    </w:p>
    <w:p>
      <w:pPr>
        <w:spacing w:after="0" w:line="89" w:lineRule="exact"/>
        <w:rPr>
          <w:rFonts w:ascii="Arial" w:cs="Arial" w:eastAsia="Arial" w:hAnsi="Arial"/>
          <w:sz w:val="19"/>
          <w:szCs w:val="19"/>
          <w:b w:val="1"/>
          <w:bCs w:val="1"/>
          <w:color w:val="auto"/>
        </w:rPr>
      </w:pPr>
    </w:p>
    <w:p>
      <w:pPr>
        <w:ind w:left="1760" w:right="460" w:firstLine="746"/>
        <w:spacing w:after="0" w:line="251" w:lineRule="auto"/>
        <w:tabs>
          <w:tab w:leader="none" w:pos="3463" w:val="left"/>
        </w:tabs>
        <w:numPr>
          <w:ilvl w:val="1"/>
          <w:numId w:val="108"/>
        </w:numPr>
        <w:rPr>
          <w:rFonts w:ascii="Arial" w:cs="Arial" w:eastAsia="Arial" w:hAnsi="Arial"/>
          <w:sz w:val="22"/>
          <w:szCs w:val="22"/>
          <w:b w:val="1"/>
          <w:bCs w:val="1"/>
          <w:color w:val="auto"/>
        </w:rPr>
      </w:pPr>
      <w:r>
        <w:rPr>
          <w:rFonts w:ascii="Arial" w:cs="Arial" w:eastAsia="Arial" w:hAnsi="Arial"/>
          <w:sz w:val="22"/>
          <w:szCs w:val="22"/>
          <w:color w:val="auto"/>
        </w:rPr>
        <w:t>the Cerulean Background Intellectual Property does not infringe or misappropriate any Third Party’s intellectual property rights; and</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4" w:name="page105"/>
    <w:bookmarkEnd w:id="104"/>
    <w:p>
      <w:pPr>
        <w:ind w:left="9560"/>
        <w:spacing w:after="0"/>
        <w:rPr>
          <w:sz w:val="20"/>
          <w:szCs w:val="20"/>
          <w:color w:val="auto"/>
        </w:rPr>
      </w:pPr>
      <w:r>
        <w:rPr>
          <w:rFonts w:ascii="Arial" w:cs="Arial" w:eastAsia="Arial" w:hAnsi="Arial"/>
          <w:sz w:val="19"/>
          <w:szCs w:val="19"/>
          <w:color w:val="auto"/>
        </w:rPr>
        <w:t>EXECUTION COPY</w:t>
      </w:r>
    </w:p>
    <w:p>
      <w:pPr>
        <w:spacing w:after="0" w:line="268" w:lineRule="exact"/>
        <w:rPr>
          <w:sz w:val="20"/>
          <w:szCs w:val="20"/>
          <w:color w:val="auto"/>
        </w:rPr>
      </w:pPr>
    </w:p>
    <w:p>
      <w:pPr>
        <w:ind w:left="1760" w:right="20" w:firstLine="746"/>
        <w:spacing w:after="0" w:line="238" w:lineRule="auto"/>
        <w:tabs>
          <w:tab w:leader="none" w:pos="3403" w:val="left"/>
        </w:tabs>
        <w:numPr>
          <w:ilvl w:val="0"/>
          <w:numId w:val="109"/>
        </w:numPr>
        <w:rPr>
          <w:rFonts w:ascii="Arial" w:cs="Arial" w:eastAsia="Arial" w:hAnsi="Arial"/>
          <w:sz w:val="22"/>
          <w:szCs w:val="22"/>
          <w:b w:val="1"/>
          <w:bCs w:val="1"/>
          <w:color w:val="auto"/>
        </w:rPr>
      </w:pPr>
      <w:r>
        <w:rPr>
          <w:rFonts w:ascii="Arial" w:cs="Arial" w:eastAsia="Arial" w:hAnsi="Arial"/>
          <w:sz w:val="22"/>
          <w:szCs w:val="22"/>
          <w:color w:val="auto"/>
        </w:rPr>
        <w:t>Cerulean has not initiated or been involved in any proceedings or claims in which it alleges that any Third Party is or was infringing or misappropriating any Cerulean Background Intellectual Property, nor have any such proceedings been threatened by Cerulean, nor does Cerulean know of any valid basis for any such proceedings.</w:t>
      </w:r>
    </w:p>
    <w:p>
      <w:pPr>
        <w:spacing w:after="0" w:line="125" w:lineRule="exact"/>
        <w:rPr>
          <w:sz w:val="20"/>
          <w:szCs w:val="20"/>
          <w:color w:val="auto"/>
        </w:rPr>
      </w:pPr>
    </w:p>
    <w:p>
      <w:pPr>
        <w:ind w:left="880"/>
        <w:spacing w:after="0"/>
        <w:tabs>
          <w:tab w:leader="none" w:pos="1780" w:val="left"/>
        </w:tabs>
        <w:rPr>
          <w:sz w:val="20"/>
          <w:szCs w:val="20"/>
          <w:color w:val="auto"/>
        </w:rPr>
      </w:pPr>
      <w:r>
        <w:rPr>
          <w:rFonts w:ascii="Arial" w:cs="Arial" w:eastAsia="Arial" w:hAnsi="Arial"/>
          <w:sz w:val="22"/>
          <w:szCs w:val="22"/>
          <w:b w:val="1"/>
          <w:bCs w:val="1"/>
          <w:color w:val="auto"/>
        </w:rPr>
        <w:t>7.3</w:t>
      </w:r>
      <w:r>
        <w:rPr>
          <w:sz w:val="20"/>
          <w:szCs w:val="20"/>
          <w:color w:val="auto"/>
        </w:rPr>
        <w:tab/>
      </w:r>
      <w:r>
        <w:rPr>
          <w:rFonts w:ascii="Arial" w:cs="Arial" w:eastAsia="Arial" w:hAnsi="Arial"/>
          <w:sz w:val="19"/>
          <w:szCs w:val="19"/>
          <w:b w:val="1"/>
          <w:bCs w:val="1"/>
          <w:color w:val="auto"/>
        </w:rPr>
        <w:t xml:space="preserve">Covenants of each of the Parties. </w:t>
      </w:r>
      <w:r>
        <w:rPr>
          <w:rFonts w:ascii="Arial" w:cs="Arial" w:eastAsia="Arial" w:hAnsi="Arial"/>
          <w:sz w:val="19"/>
          <w:szCs w:val="19"/>
          <w:color w:val="auto"/>
        </w:rPr>
        <w:t>Each of the Parties covenants that:</w:t>
      </w:r>
    </w:p>
    <w:p>
      <w:pPr>
        <w:spacing w:after="0" w:line="158" w:lineRule="exact"/>
        <w:rPr>
          <w:sz w:val="20"/>
          <w:szCs w:val="20"/>
          <w:color w:val="auto"/>
        </w:rPr>
      </w:pPr>
    </w:p>
    <w:p>
      <w:pPr>
        <w:ind w:left="880" w:right="40" w:firstLine="816"/>
        <w:spacing w:after="0" w:line="251" w:lineRule="auto"/>
        <w:tabs>
          <w:tab w:leader="none" w:pos="2590" w:val="left"/>
        </w:tabs>
        <w:numPr>
          <w:ilvl w:val="0"/>
          <w:numId w:val="110"/>
        </w:numPr>
        <w:rPr>
          <w:rFonts w:ascii="Arial" w:cs="Arial" w:eastAsia="Arial" w:hAnsi="Arial"/>
          <w:sz w:val="22"/>
          <w:szCs w:val="22"/>
          <w:b w:val="1"/>
          <w:bCs w:val="1"/>
          <w:color w:val="auto"/>
        </w:rPr>
      </w:pPr>
      <w:r>
        <w:rPr>
          <w:rFonts w:ascii="Arial" w:cs="Arial" w:eastAsia="Arial" w:hAnsi="Arial"/>
          <w:sz w:val="22"/>
          <w:szCs w:val="22"/>
          <w:color w:val="auto"/>
        </w:rPr>
        <w:t>it will not grant any interest to Intellectual Property Rights to any Third Party that is inconsistent with the terms and conditions of this Agreement; and</w:t>
      </w:r>
    </w:p>
    <w:p>
      <w:pPr>
        <w:spacing w:after="0" w:line="119" w:lineRule="exact"/>
        <w:rPr>
          <w:rFonts w:ascii="Arial" w:cs="Arial" w:eastAsia="Arial" w:hAnsi="Arial"/>
          <w:sz w:val="22"/>
          <w:szCs w:val="22"/>
          <w:b w:val="1"/>
          <w:bCs w:val="1"/>
          <w:color w:val="auto"/>
        </w:rPr>
      </w:pPr>
    </w:p>
    <w:p>
      <w:pPr>
        <w:ind w:left="880" w:right="100" w:firstLine="816"/>
        <w:spacing w:after="0" w:line="238" w:lineRule="auto"/>
        <w:tabs>
          <w:tab w:leader="none" w:pos="2602" w:val="left"/>
        </w:tabs>
        <w:numPr>
          <w:ilvl w:val="0"/>
          <w:numId w:val="110"/>
        </w:numPr>
        <w:rPr>
          <w:rFonts w:ascii="Arial" w:cs="Arial" w:eastAsia="Arial" w:hAnsi="Arial"/>
          <w:sz w:val="22"/>
          <w:szCs w:val="22"/>
          <w:b w:val="1"/>
          <w:bCs w:val="1"/>
          <w:color w:val="auto"/>
        </w:rPr>
      </w:pPr>
      <w:r>
        <w:rPr>
          <w:rFonts w:ascii="Arial" w:cs="Arial" w:eastAsia="Arial" w:hAnsi="Arial"/>
          <w:sz w:val="22"/>
          <w:szCs w:val="22"/>
          <w:color w:val="auto"/>
        </w:rPr>
        <w:t>if, at any time after execution of this Agreement, the Party becomes aware that it or any employee, agent or subcontractor of it or its Affiliates who participated, or is participating, in the performance of any activities contemplated by this Agreement is on the FDA Debarment List, that Party will provide written notice of this to the other Party within two Business Days of its becoming aware of this fact.</w:t>
      </w:r>
    </w:p>
    <w:p>
      <w:pPr>
        <w:spacing w:after="0" w:line="125" w:lineRule="exact"/>
        <w:rPr>
          <w:sz w:val="20"/>
          <w:szCs w:val="20"/>
          <w:color w:val="auto"/>
        </w:rPr>
      </w:pPr>
    </w:p>
    <w:p>
      <w:pPr>
        <w:ind w:left="880"/>
        <w:spacing w:after="0"/>
        <w:tabs>
          <w:tab w:leader="none" w:pos="1780" w:val="left"/>
        </w:tabs>
        <w:rPr>
          <w:sz w:val="20"/>
          <w:szCs w:val="20"/>
          <w:color w:val="auto"/>
        </w:rPr>
      </w:pPr>
      <w:r>
        <w:rPr>
          <w:rFonts w:ascii="Arial" w:cs="Arial" w:eastAsia="Arial" w:hAnsi="Arial"/>
          <w:sz w:val="22"/>
          <w:szCs w:val="22"/>
          <w:b w:val="1"/>
          <w:bCs w:val="1"/>
          <w:color w:val="auto"/>
        </w:rPr>
        <w:t>7.4</w:t>
      </w:r>
      <w:r>
        <w:rPr>
          <w:sz w:val="20"/>
          <w:szCs w:val="20"/>
          <w:color w:val="auto"/>
        </w:rPr>
        <w:tab/>
      </w:r>
      <w:r>
        <w:rPr>
          <w:rFonts w:ascii="Arial" w:cs="Arial" w:eastAsia="Arial" w:hAnsi="Arial"/>
          <w:sz w:val="19"/>
          <w:szCs w:val="19"/>
          <w:b w:val="1"/>
          <w:bCs w:val="1"/>
          <w:color w:val="auto"/>
        </w:rPr>
        <w:t xml:space="preserve">Covenants of Cerulean. </w:t>
      </w:r>
      <w:r>
        <w:rPr>
          <w:rFonts w:ascii="Arial" w:cs="Arial" w:eastAsia="Arial" w:hAnsi="Arial"/>
          <w:sz w:val="19"/>
          <w:szCs w:val="19"/>
          <w:color w:val="auto"/>
        </w:rPr>
        <w:t>Cerulean covenants that:</w:t>
      </w:r>
    </w:p>
    <w:p>
      <w:pPr>
        <w:spacing w:after="0" w:line="158" w:lineRule="exact"/>
        <w:rPr>
          <w:sz w:val="20"/>
          <w:szCs w:val="20"/>
          <w:color w:val="auto"/>
        </w:rPr>
      </w:pPr>
    </w:p>
    <w:p>
      <w:pPr>
        <w:ind w:left="2600" w:hanging="904"/>
        <w:spacing w:after="0"/>
        <w:tabs>
          <w:tab w:leader="none" w:pos="2600" w:val="left"/>
        </w:tabs>
        <w:numPr>
          <w:ilvl w:val="0"/>
          <w:numId w:val="111"/>
        </w:numPr>
        <w:rPr>
          <w:rFonts w:ascii="Arial" w:cs="Arial" w:eastAsia="Arial" w:hAnsi="Arial"/>
          <w:sz w:val="19"/>
          <w:szCs w:val="19"/>
          <w:b w:val="1"/>
          <w:bCs w:val="1"/>
          <w:color w:val="auto"/>
        </w:rPr>
      </w:pPr>
      <w:r>
        <w:rPr>
          <w:rFonts w:ascii="Arial" w:cs="Arial" w:eastAsia="Arial" w:hAnsi="Arial"/>
          <w:sz w:val="19"/>
          <w:szCs w:val="19"/>
          <w:color w:val="auto"/>
        </w:rPr>
        <w:t>it will use the FTE funding provided by Novartis in accordance with Article 2 and Article 5 hereof;</w:t>
      </w:r>
    </w:p>
    <w:p>
      <w:pPr>
        <w:spacing w:after="0" w:line="186" w:lineRule="exact"/>
        <w:rPr>
          <w:rFonts w:ascii="Arial" w:cs="Arial" w:eastAsia="Arial" w:hAnsi="Arial"/>
          <w:sz w:val="19"/>
          <w:szCs w:val="19"/>
          <w:b w:val="1"/>
          <w:bCs w:val="1"/>
          <w:color w:val="auto"/>
        </w:rPr>
      </w:pPr>
    </w:p>
    <w:p>
      <w:pPr>
        <w:ind w:left="2600" w:hanging="904"/>
        <w:spacing w:after="0"/>
        <w:tabs>
          <w:tab w:leader="none" w:pos="2600" w:val="left"/>
        </w:tabs>
        <w:numPr>
          <w:ilvl w:val="0"/>
          <w:numId w:val="111"/>
        </w:numPr>
        <w:rPr>
          <w:rFonts w:ascii="Arial" w:cs="Arial" w:eastAsia="Arial" w:hAnsi="Arial"/>
          <w:sz w:val="22"/>
          <w:szCs w:val="22"/>
          <w:b w:val="1"/>
          <w:bCs w:val="1"/>
          <w:color w:val="auto"/>
        </w:rPr>
      </w:pPr>
      <w:r>
        <w:rPr>
          <w:rFonts w:ascii="Arial" w:cs="Arial" w:eastAsia="Arial" w:hAnsi="Arial"/>
          <w:sz w:val="22"/>
          <w:szCs w:val="22"/>
          <w:color w:val="auto"/>
        </w:rPr>
        <w:t>[**]; and</w:t>
      </w:r>
    </w:p>
    <w:p>
      <w:pPr>
        <w:spacing w:after="0" w:line="152" w:lineRule="exact"/>
        <w:rPr>
          <w:rFonts w:ascii="Arial" w:cs="Arial" w:eastAsia="Arial" w:hAnsi="Arial"/>
          <w:sz w:val="22"/>
          <w:szCs w:val="22"/>
          <w:b w:val="1"/>
          <w:bCs w:val="1"/>
          <w:color w:val="auto"/>
        </w:rPr>
      </w:pPr>
    </w:p>
    <w:p>
      <w:pPr>
        <w:ind w:left="2580" w:hanging="884"/>
        <w:spacing w:after="0"/>
        <w:tabs>
          <w:tab w:leader="none" w:pos="2580" w:val="left"/>
        </w:tabs>
        <w:numPr>
          <w:ilvl w:val="0"/>
          <w:numId w:val="111"/>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146" w:lineRule="exact"/>
        <w:rPr>
          <w:sz w:val="20"/>
          <w:szCs w:val="20"/>
          <w:color w:val="auto"/>
        </w:rPr>
      </w:pPr>
    </w:p>
    <w:p>
      <w:pPr>
        <w:ind w:left="880"/>
        <w:spacing w:after="0"/>
        <w:tabs>
          <w:tab w:leader="none" w:pos="1780" w:val="left"/>
        </w:tabs>
        <w:rPr>
          <w:sz w:val="20"/>
          <w:szCs w:val="20"/>
          <w:color w:val="auto"/>
        </w:rPr>
      </w:pPr>
      <w:r>
        <w:rPr>
          <w:rFonts w:ascii="Arial" w:cs="Arial" w:eastAsia="Arial" w:hAnsi="Arial"/>
          <w:sz w:val="22"/>
          <w:szCs w:val="22"/>
          <w:b w:val="1"/>
          <w:bCs w:val="1"/>
          <w:color w:val="auto"/>
        </w:rPr>
        <w:t>7.5</w:t>
      </w:r>
      <w:r>
        <w:rPr>
          <w:sz w:val="20"/>
          <w:szCs w:val="20"/>
          <w:color w:val="auto"/>
        </w:rPr>
        <w:tab/>
      </w:r>
      <w:r>
        <w:rPr>
          <w:rFonts w:ascii="Arial" w:cs="Arial" w:eastAsia="Arial" w:hAnsi="Arial"/>
          <w:sz w:val="19"/>
          <w:szCs w:val="19"/>
          <w:b w:val="1"/>
          <w:bCs w:val="1"/>
          <w:color w:val="auto"/>
        </w:rPr>
        <w:t xml:space="preserve">No Other Warranties. </w:t>
      </w:r>
      <w:r>
        <w:rPr>
          <w:rFonts w:ascii="Arial" w:cs="Arial" w:eastAsia="Arial" w:hAnsi="Arial"/>
          <w:sz w:val="19"/>
          <w:szCs w:val="19"/>
          <w:i w:val="1"/>
          <w:iCs w:val="1"/>
          <w:color w:val="auto"/>
        </w:rPr>
        <w:t>EXCEPT AS EXPRESSLY STATED IN THIS ARTICLE VII,</w:t>
      </w:r>
    </w:p>
    <w:p>
      <w:pPr>
        <w:spacing w:after="0" w:line="158" w:lineRule="exact"/>
        <w:rPr>
          <w:sz w:val="20"/>
          <w:szCs w:val="20"/>
          <w:color w:val="auto"/>
        </w:rPr>
      </w:pPr>
    </w:p>
    <w:p>
      <w:pPr>
        <w:ind w:left="880" w:right="300" w:firstLine="816"/>
        <w:spacing w:after="0" w:line="251" w:lineRule="auto"/>
        <w:tabs>
          <w:tab w:leader="none" w:pos="2590" w:val="left"/>
        </w:tabs>
        <w:numPr>
          <w:ilvl w:val="0"/>
          <w:numId w:val="112"/>
        </w:numPr>
        <w:rPr>
          <w:rFonts w:ascii="Arial" w:cs="Arial" w:eastAsia="Arial" w:hAnsi="Arial"/>
          <w:sz w:val="22"/>
          <w:szCs w:val="22"/>
          <w:b w:val="1"/>
          <w:bCs w:val="1"/>
          <w:color w:val="auto"/>
        </w:rPr>
      </w:pPr>
      <w:r>
        <w:rPr>
          <w:rFonts w:ascii="Arial" w:cs="Arial" w:eastAsia="Arial" w:hAnsi="Arial"/>
          <w:sz w:val="22"/>
          <w:szCs w:val="22"/>
          <w:i w:val="1"/>
          <w:iCs w:val="1"/>
          <w:color w:val="auto"/>
        </w:rPr>
        <w:t>NO REPRESENTATION, CONDITION OR WARRANTY WHATSOEVER IS MADE OR GIVEN BY OR ON BEHALF OF NOVARTIS OR CERULEAN; AND</w:t>
      </w:r>
    </w:p>
    <w:p>
      <w:pPr>
        <w:spacing w:after="0" w:line="119" w:lineRule="exact"/>
        <w:rPr>
          <w:rFonts w:ascii="Arial" w:cs="Arial" w:eastAsia="Arial" w:hAnsi="Arial"/>
          <w:sz w:val="22"/>
          <w:szCs w:val="22"/>
          <w:b w:val="1"/>
          <w:bCs w:val="1"/>
          <w:color w:val="auto"/>
        </w:rPr>
      </w:pPr>
    </w:p>
    <w:p>
      <w:pPr>
        <w:ind w:left="2600" w:hanging="904"/>
        <w:spacing w:after="0"/>
        <w:tabs>
          <w:tab w:leader="none" w:pos="2600" w:val="left"/>
        </w:tabs>
        <w:numPr>
          <w:ilvl w:val="0"/>
          <w:numId w:val="112"/>
        </w:numPr>
        <w:rPr>
          <w:rFonts w:ascii="Arial" w:cs="Arial" w:eastAsia="Arial" w:hAnsi="Arial"/>
          <w:sz w:val="19"/>
          <w:szCs w:val="19"/>
          <w:b w:val="1"/>
          <w:bCs w:val="1"/>
          <w:color w:val="auto"/>
        </w:rPr>
      </w:pPr>
      <w:r>
        <w:rPr>
          <w:rFonts w:ascii="Arial" w:cs="Arial" w:eastAsia="Arial" w:hAnsi="Arial"/>
          <w:sz w:val="19"/>
          <w:szCs w:val="19"/>
          <w:i w:val="1"/>
          <w:iCs w:val="1"/>
          <w:color w:val="auto"/>
        </w:rPr>
        <w:t>ALL OTHER CONDITIONS AND WARRANTIES WHETHER ARISING BY OPERATION OF LAW</w:t>
      </w:r>
    </w:p>
    <w:p>
      <w:pPr>
        <w:spacing w:after="0" w:line="42" w:lineRule="exact"/>
        <w:rPr>
          <w:rFonts w:ascii="Arial" w:cs="Arial" w:eastAsia="Arial" w:hAnsi="Arial"/>
          <w:sz w:val="19"/>
          <w:szCs w:val="19"/>
          <w:b w:val="1"/>
          <w:bCs w:val="1"/>
          <w:color w:val="auto"/>
        </w:rPr>
      </w:pPr>
    </w:p>
    <w:p>
      <w:pPr>
        <w:ind w:left="880"/>
        <w:spacing w:after="0"/>
        <w:rPr>
          <w:rFonts w:ascii="Arial" w:cs="Arial" w:eastAsia="Arial" w:hAnsi="Arial"/>
          <w:sz w:val="19"/>
          <w:szCs w:val="19"/>
          <w:b w:val="1"/>
          <w:bCs w:val="1"/>
          <w:color w:val="auto"/>
        </w:rPr>
      </w:pPr>
      <w:r>
        <w:rPr>
          <w:rFonts w:ascii="Arial" w:cs="Arial" w:eastAsia="Arial" w:hAnsi="Arial"/>
          <w:sz w:val="22"/>
          <w:szCs w:val="22"/>
          <w:i w:val="1"/>
          <w:iCs w:val="1"/>
          <w:color w:val="auto"/>
        </w:rPr>
        <w:t>OR OTHERWISE</w:t>
      </w:r>
    </w:p>
    <w:p>
      <w:pPr>
        <w:spacing w:after="0" w:line="134" w:lineRule="exact"/>
        <w:rPr>
          <w:sz w:val="20"/>
          <w:szCs w:val="20"/>
          <w:color w:val="auto"/>
        </w:rPr>
      </w:pPr>
    </w:p>
    <w:p>
      <w:pPr>
        <w:ind w:right="620"/>
        <w:spacing w:after="0" w:line="251" w:lineRule="auto"/>
        <w:rPr>
          <w:sz w:val="20"/>
          <w:szCs w:val="20"/>
          <w:color w:val="auto"/>
        </w:rPr>
      </w:pPr>
      <w:r>
        <w:rPr>
          <w:rFonts w:ascii="Arial" w:cs="Arial" w:eastAsia="Arial" w:hAnsi="Arial"/>
          <w:sz w:val="22"/>
          <w:szCs w:val="22"/>
          <w:i w:val="1"/>
          <w:iCs w:val="1"/>
          <w:color w:val="auto"/>
        </w:rPr>
        <w:t>ARE HEREBY EXPRESSLY EXCLUDED, INCLUDING ANY CONDITIONS AND WARRANTIES OF MERCHANTABILITY, FITNESS FOR A PARTICULAR PURPOSE, AND NON-INFRINGEMENT.</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INDEMNIFICATION; REMEDIES</w:t>
      </w:r>
    </w:p>
    <w:p>
      <w:pPr>
        <w:spacing w:after="0" w:line="128" w:lineRule="exact"/>
        <w:rPr>
          <w:sz w:val="20"/>
          <w:szCs w:val="20"/>
          <w:color w:val="auto"/>
        </w:rPr>
      </w:pPr>
    </w:p>
    <w:p>
      <w:pPr>
        <w:spacing w:after="0"/>
        <w:tabs>
          <w:tab w:leader="none" w:pos="1640" w:val="left"/>
        </w:tabs>
        <w:rPr>
          <w:sz w:val="20"/>
          <w:szCs w:val="20"/>
          <w:color w:val="auto"/>
        </w:rPr>
      </w:pPr>
      <w:r>
        <w:rPr>
          <w:rFonts w:ascii="Arial" w:cs="Arial" w:eastAsia="Arial" w:hAnsi="Arial"/>
          <w:sz w:val="22"/>
          <w:szCs w:val="22"/>
          <w:b w:val="1"/>
          <w:bCs w:val="1"/>
          <w:color w:val="auto"/>
        </w:rPr>
        <w:t>Section 8.1</w:t>
      </w:r>
      <w:r>
        <w:rPr>
          <w:sz w:val="20"/>
          <w:szCs w:val="20"/>
          <w:color w:val="auto"/>
        </w:rPr>
        <w:tab/>
      </w:r>
      <w:r>
        <w:rPr>
          <w:rFonts w:ascii="Arial" w:cs="Arial" w:eastAsia="Arial" w:hAnsi="Arial"/>
          <w:sz w:val="19"/>
          <w:szCs w:val="19"/>
          <w:b w:val="1"/>
          <w:bCs w:val="1"/>
          <w:color w:val="auto"/>
        </w:rPr>
        <w:t>Indemnification by Cerulean.</w:t>
      </w:r>
    </w:p>
    <w:p>
      <w:pPr>
        <w:spacing w:after="0" w:line="158" w:lineRule="exact"/>
        <w:rPr>
          <w:sz w:val="20"/>
          <w:szCs w:val="20"/>
          <w:color w:val="auto"/>
        </w:rPr>
      </w:pPr>
    </w:p>
    <w:p>
      <w:pPr>
        <w:ind w:right="180" w:firstLine="877"/>
        <w:spacing w:after="0" w:line="328" w:lineRule="auto"/>
        <w:rPr>
          <w:sz w:val="20"/>
          <w:szCs w:val="20"/>
          <w:color w:val="auto"/>
        </w:rPr>
      </w:pPr>
      <w:r>
        <w:rPr>
          <w:rFonts w:ascii="Arial" w:cs="Arial" w:eastAsia="Arial" w:hAnsi="Arial"/>
          <w:sz w:val="19"/>
          <w:szCs w:val="19"/>
          <w:color w:val="auto"/>
        </w:rPr>
        <w:t>Cerulean will indemnify, defend, and hold Novartis, its Affiliates, and their respective officers, directors and employees (“</w:t>
      </w:r>
      <w:r>
        <w:rPr>
          <w:rFonts w:ascii="Arial" w:cs="Arial" w:eastAsia="Arial" w:hAnsi="Arial"/>
          <w:sz w:val="19"/>
          <w:szCs w:val="19"/>
          <w:u w:val="single" w:color="auto"/>
          <w:color w:val="auto"/>
        </w:rPr>
        <w:t>Novartis Indemnitees</w:t>
      </w:r>
      <w:r>
        <w:rPr>
          <w:rFonts w:ascii="Arial" w:cs="Arial" w:eastAsia="Arial" w:hAnsi="Arial"/>
          <w:sz w:val="19"/>
          <w:szCs w:val="19"/>
          <w:color w:val="auto"/>
        </w:rPr>
        <w:t>”) harmless from and against any Claims against them to the extent arising or resulting from:</w:t>
      </w:r>
    </w:p>
    <w:p>
      <w:pPr>
        <w:spacing w:after="0" w:line="51" w:lineRule="exact"/>
        <w:rPr>
          <w:sz w:val="20"/>
          <w:szCs w:val="20"/>
          <w:color w:val="auto"/>
        </w:rPr>
      </w:pPr>
    </w:p>
    <w:p>
      <w:pPr>
        <w:ind w:left="2600" w:hanging="904"/>
        <w:spacing w:after="0"/>
        <w:tabs>
          <w:tab w:leader="none" w:pos="2600" w:val="left"/>
        </w:tabs>
        <w:numPr>
          <w:ilvl w:val="0"/>
          <w:numId w:val="113"/>
        </w:numPr>
        <w:rPr>
          <w:rFonts w:ascii="Arial" w:cs="Arial" w:eastAsia="Arial" w:hAnsi="Arial"/>
          <w:sz w:val="22"/>
          <w:szCs w:val="22"/>
          <w:b w:val="1"/>
          <w:bCs w:val="1"/>
          <w:color w:val="auto"/>
        </w:rPr>
      </w:pPr>
      <w:r>
        <w:rPr>
          <w:rFonts w:ascii="Arial" w:cs="Arial" w:eastAsia="Arial" w:hAnsi="Arial"/>
          <w:sz w:val="22"/>
          <w:szCs w:val="22"/>
          <w:color w:val="auto"/>
        </w:rPr>
        <w:t>the negligence or willful misconduct of Cerulean or any of its Affiliates; or</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5" w:name="page106"/>
    <w:bookmarkEnd w:id="105"/>
    <w:p>
      <w:pPr>
        <w:ind w:left="9560"/>
        <w:spacing w:after="0"/>
        <w:rPr>
          <w:sz w:val="20"/>
          <w:szCs w:val="20"/>
          <w:color w:val="auto"/>
        </w:rPr>
      </w:pPr>
      <w:r>
        <w:rPr>
          <w:rFonts w:ascii="Arial" w:cs="Arial" w:eastAsia="Arial" w:hAnsi="Arial"/>
          <w:sz w:val="19"/>
          <w:szCs w:val="19"/>
          <w:color w:val="auto"/>
        </w:rPr>
        <w:t>EXECUTION COPY</w:t>
      </w:r>
    </w:p>
    <w:p>
      <w:pPr>
        <w:spacing w:after="0" w:line="268" w:lineRule="exact"/>
        <w:rPr>
          <w:sz w:val="20"/>
          <w:szCs w:val="20"/>
          <w:color w:val="auto"/>
        </w:rPr>
      </w:pPr>
    </w:p>
    <w:p>
      <w:pPr>
        <w:ind w:left="2600" w:hanging="904"/>
        <w:spacing w:after="0"/>
        <w:tabs>
          <w:tab w:leader="none" w:pos="2600" w:val="left"/>
        </w:tabs>
        <w:numPr>
          <w:ilvl w:val="0"/>
          <w:numId w:val="114"/>
        </w:numPr>
        <w:rPr>
          <w:rFonts w:ascii="Arial" w:cs="Arial" w:eastAsia="Arial" w:hAnsi="Arial"/>
          <w:sz w:val="19"/>
          <w:szCs w:val="19"/>
          <w:b w:val="1"/>
          <w:bCs w:val="1"/>
          <w:color w:val="auto"/>
        </w:rPr>
      </w:pPr>
      <w:r>
        <w:rPr>
          <w:rFonts w:ascii="Arial" w:cs="Arial" w:eastAsia="Arial" w:hAnsi="Arial"/>
          <w:sz w:val="19"/>
          <w:szCs w:val="19"/>
          <w:color w:val="auto"/>
        </w:rPr>
        <w:t>the breach of any of the covenants, warranties or representations made by Cerulean to Novartis under</w:t>
      </w:r>
    </w:p>
    <w:p>
      <w:pPr>
        <w:spacing w:after="0" w:line="42" w:lineRule="exact"/>
        <w:rPr>
          <w:rFonts w:ascii="Arial" w:cs="Arial" w:eastAsia="Arial" w:hAnsi="Arial"/>
          <w:sz w:val="19"/>
          <w:szCs w:val="19"/>
          <w:b w:val="1"/>
          <w:bCs w:val="1"/>
          <w:color w:val="auto"/>
        </w:rPr>
      </w:pPr>
    </w:p>
    <w:p>
      <w:pPr>
        <w:ind w:left="880"/>
        <w:spacing w:after="0"/>
        <w:rPr>
          <w:rFonts w:ascii="Arial" w:cs="Arial" w:eastAsia="Arial" w:hAnsi="Arial"/>
          <w:sz w:val="19"/>
          <w:szCs w:val="19"/>
          <w:b w:val="1"/>
          <w:bCs w:val="1"/>
          <w:color w:val="auto"/>
        </w:rPr>
      </w:pPr>
      <w:r>
        <w:rPr>
          <w:rFonts w:ascii="Arial" w:cs="Arial" w:eastAsia="Arial" w:hAnsi="Arial"/>
          <w:sz w:val="22"/>
          <w:szCs w:val="22"/>
          <w:color w:val="auto"/>
        </w:rPr>
        <w:t>this Agreement;</w:t>
      </w:r>
    </w:p>
    <w:p>
      <w:pPr>
        <w:spacing w:after="0" w:line="134" w:lineRule="exact"/>
        <w:rPr>
          <w:sz w:val="20"/>
          <w:szCs w:val="20"/>
          <w:color w:val="auto"/>
        </w:rPr>
      </w:pPr>
    </w:p>
    <w:p>
      <w:pPr>
        <w:jc w:val="both"/>
        <w:ind w:right="200"/>
        <w:spacing w:after="0" w:line="297" w:lineRule="auto"/>
        <w:rPr>
          <w:sz w:val="20"/>
          <w:szCs w:val="20"/>
          <w:color w:val="auto"/>
        </w:rPr>
      </w:pPr>
      <w:r>
        <w:rPr>
          <w:rFonts w:ascii="Arial" w:cs="Arial" w:eastAsia="Arial" w:hAnsi="Arial"/>
          <w:sz w:val="19"/>
          <w:szCs w:val="19"/>
          <w:i w:val="1"/>
          <w:iCs w:val="1"/>
          <w:color w:val="auto"/>
        </w:rPr>
        <w:t>provided, however</w:t>
      </w:r>
      <w:r>
        <w:rPr>
          <w:rFonts w:ascii="Arial" w:cs="Arial" w:eastAsia="Arial" w:hAnsi="Arial"/>
          <w:sz w:val="19"/>
          <w:szCs w:val="19"/>
          <w:color w:val="auto"/>
        </w:rPr>
        <w:t>, that Cerulean will not be obliged to so indemnify, defend, and hold harmless the Novartis Indemnitees for any</w:t>
      </w:r>
      <w:r>
        <w:rPr>
          <w:rFonts w:ascii="Arial" w:cs="Arial" w:eastAsia="Arial" w:hAnsi="Arial"/>
          <w:sz w:val="19"/>
          <w:szCs w:val="19"/>
          <w:i w:val="1"/>
          <w:iCs w:val="1"/>
          <w:color w:val="auto"/>
        </w:rPr>
        <w:t xml:space="preserve"> </w:t>
      </w:r>
      <w:r>
        <w:rPr>
          <w:rFonts w:ascii="Arial" w:cs="Arial" w:eastAsia="Arial" w:hAnsi="Arial"/>
          <w:sz w:val="19"/>
          <w:szCs w:val="19"/>
          <w:color w:val="auto"/>
        </w:rPr>
        <w:t>Claims for which Novartis has an obligation to indemnify Cerulean Indemnitees pursuant to Section 8.2 or to the extent that such Claims arise from the breach, negligence or willful misconduct of Novartis or the Novartis Indemnitee.</w:t>
      </w:r>
    </w:p>
    <w:p>
      <w:pPr>
        <w:spacing w:after="0" w:line="74" w:lineRule="exact"/>
        <w:rPr>
          <w:sz w:val="20"/>
          <w:szCs w:val="20"/>
          <w:color w:val="auto"/>
        </w:rPr>
      </w:pPr>
    </w:p>
    <w:p>
      <w:pPr>
        <w:spacing w:after="0"/>
        <w:tabs>
          <w:tab w:leader="none" w:pos="1640" w:val="left"/>
        </w:tabs>
        <w:rPr>
          <w:sz w:val="20"/>
          <w:szCs w:val="20"/>
          <w:color w:val="auto"/>
        </w:rPr>
      </w:pPr>
      <w:r>
        <w:rPr>
          <w:rFonts w:ascii="Arial" w:cs="Arial" w:eastAsia="Arial" w:hAnsi="Arial"/>
          <w:sz w:val="22"/>
          <w:szCs w:val="22"/>
          <w:b w:val="1"/>
          <w:bCs w:val="1"/>
          <w:color w:val="auto"/>
        </w:rPr>
        <w:t>Section 8.2</w:t>
      </w:r>
      <w:r>
        <w:rPr>
          <w:sz w:val="20"/>
          <w:szCs w:val="20"/>
          <w:color w:val="auto"/>
        </w:rPr>
        <w:tab/>
      </w:r>
      <w:r>
        <w:rPr>
          <w:rFonts w:ascii="Arial" w:cs="Arial" w:eastAsia="Arial" w:hAnsi="Arial"/>
          <w:sz w:val="19"/>
          <w:szCs w:val="19"/>
          <w:b w:val="1"/>
          <w:bCs w:val="1"/>
          <w:color w:val="auto"/>
        </w:rPr>
        <w:t>Indemnification by Novartis.</w:t>
      </w:r>
    </w:p>
    <w:p>
      <w:pPr>
        <w:spacing w:after="0" w:line="158" w:lineRule="exact"/>
        <w:rPr>
          <w:sz w:val="20"/>
          <w:szCs w:val="20"/>
          <w:color w:val="auto"/>
        </w:rPr>
      </w:pPr>
    </w:p>
    <w:p>
      <w:pPr>
        <w:ind w:right="240" w:firstLine="877"/>
        <w:spacing w:after="0" w:line="328" w:lineRule="auto"/>
        <w:rPr>
          <w:sz w:val="20"/>
          <w:szCs w:val="20"/>
          <w:color w:val="auto"/>
        </w:rPr>
      </w:pPr>
      <w:r>
        <w:rPr>
          <w:rFonts w:ascii="Arial" w:cs="Arial" w:eastAsia="Arial" w:hAnsi="Arial"/>
          <w:sz w:val="19"/>
          <w:szCs w:val="19"/>
          <w:color w:val="auto"/>
        </w:rPr>
        <w:t>Novartis will indemnify, defend and hold Cerulean, its Affiliates, and their respective officers, directors and employees (“</w:t>
      </w:r>
      <w:r>
        <w:rPr>
          <w:rFonts w:ascii="Arial" w:cs="Arial" w:eastAsia="Arial" w:hAnsi="Arial"/>
          <w:sz w:val="19"/>
          <w:szCs w:val="19"/>
          <w:u w:val="single" w:color="auto"/>
          <w:color w:val="auto"/>
        </w:rPr>
        <w:t>Cerulean Indemnitees</w:t>
      </w:r>
      <w:r>
        <w:rPr>
          <w:rFonts w:ascii="Arial" w:cs="Arial" w:eastAsia="Arial" w:hAnsi="Arial"/>
          <w:sz w:val="19"/>
          <w:szCs w:val="19"/>
          <w:color w:val="auto"/>
        </w:rPr>
        <w:t>”) harmless from and against any Claims against them to the extent arising or resulting from:</w:t>
      </w:r>
    </w:p>
    <w:p>
      <w:pPr>
        <w:spacing w:after="0" w:line="51" w:lineRule="exact"/>
        <w:rPr>
          <w:sz w:val="20"/>
          <w:szCs w:val="20"/>
          <w:color w:val="auto"/>
        </w:rPr>
      </w:pPr>
    </w:p>
    <w:p>
      <w:pPr>
        <w:ind w:left="880" w:right="700" w:firstLine="816"/>
        <w:spacing w:after="0" w:line="251" w:lineRule="auto"/>
        <w:tabs>
          <w:tab w:leader="none" w:pos="2590" w:val="left"/>
        </w:tabs>
        <w:numPr>
          <w:ilvl w:val="0"/>
          <w:numId w:val="115"/>
        </w:numPr>
        <w:rPr>
          <w:rFonts w:ascii="Arial" w:cs="Arial" w:eastAsia="Arial" w:hAnsi="Arial"/>
          <w:sz w:val="22"/>
          <w:szCs w:val="22"/>
          <w:b w:val="1"/>
          <w:bCs w:val="1"/>
          <w:color w:val="auto"/>
        </w:rPr>
      </w:pPr>
      <w:r>
        <w:rPr>
          <w:rFonts w:ascii="Arial" w:cs="Arial" w:eastAsia="Arial" w:hAnsi="Arial"/>
          <w:sz w:val="22"/>
          <w:szCs w:val="22"/>
          <w:color w:val="auto"/>
        </w:rPr>
        <w:t>Novartis’, or any of its Affiliates’, sublicensees’ or contractors’ actions in connection with the Collaboration or the Development or Commercialization of a Licensed Product;</w:t>
      </w:r>
    </w:p>
    <w:p>
      <w:pPr>
        <w:spacing w:after="0" w:line="119" w:lineRule="exact"/>
        <w:rPr>
          <w:rFonts w:ascii="Arial" w:cs="Arial" w:eastAsia="Arial" w:hAnsi="Arial"/>
          <w:sz w:val="22"/>
          <w:szCs w:val="22"/>
          <w:b w:val="1"/>
          <w:bCs w:val="1"/>
          <w:color w:val="auto"/>
        </w:rPr>
      </w:pPr>
    </w:p>
    <w:p>
      <w:pPr>
        <w:ind w:left="2600" w:hanging="904"/>
        <w:spacing w:after="0"/>
        <w:tabs>
          <w:tab w:leader="none" w:pos="2600" w:val="left"/>
        </w:tabs>
        <w:numPr>
          <w:ilvl w:val="0"/>
          <w:numId w:val="115"/>
        </w:numPr>
        <w:rPr>
          <w:rFonts w:ascii="Arial" w:cs="Arial" w:eastAsia="Arial" w:hAnsi="Arial"/>
          <w:sz w:val="22"/>
          <w:szCs w:val="22"/>
          <w:b w:val="1"/>
          <w:bCs w:val="1"/>
          <w:color w:val="auto"/>
        </w:rPr>
      </w:pPr>
      <w:r>
        <w:rPr>
          <w:rFonts w:ascii="Arial" w:cs="Arial" w:eastAsia="Arial" w:hAnsi="Arial"/>
          <w:sz w:val="22"/>
          <w:szCs w:val="22"/>
          <w:color w:val="auto"/>
        </w:rPr>
        <w:t>the negligence or willful misconduct of Novartis or any of its Affiliates; or</w:t>
      </w:r>
    </w:p>
    <w:p>
      <w:pPr>
        <w:spacing w:after="0" w:line="152" w:lineRule="exact"/>
        <w:rPr>
          <w:rFonts w:ascii="Arial" w:cs="Arial" w:eastAsia="Arial" w:hAnsi="Arial"/>
          <w:sz w:val="22"/>
          <w:szCs w:val="22"/>
          <w:b w:val="1"/>
          <w:bCs w:val="1"/>
          <w:color w:val="auto"/>
        </w:rPr>
      </w:pPr>
    </w:p>
    <w:p>
      <w:pPr>
        <w:ind w:left="2580" w:hanging="884"/>
        <w:spacing w:after="0"/>
        <w:tabs>
          <w:tab w:leader="none" w:pos="2580" w:val="left"/>
        </w:tabs>
        <w:numPr>
          <w:ilvl w:val="0"/>
          <w:numId w:val="115"/>
        </w:numPr>
        <w:rPr>
          <w:rFonts w:ascii="Arial" w:cs="Arial" w:eastAsia="Arial" w:hAnsi="Arial"/>
          <w:sz w:val="19"/>
          <w:szCs w:val="19"/>
          <w:b w:val="1"/>
          <w:bCs w:val="1"/>
          <w:color w:val="auto"/>
        </w:rPr>
      </w:pPr>
      <w:r>
        <w:rPr>
          <w:rFonts w:ascii="Arial" w:cs="Arial" w:eastAsia="Arial" w:hAnsi="Arial"/>
          <w:sz w:val="19"/>
          <w:szCs w:val="19"/>
          <w:color w:val="auto"/>
        </w:rPr>
        <w:t>the breach of any of the covenants, warranties, or representations made by Novartis to Cerulean under</w:t>
      </w:r>
    </w:p>
    <w:p>
      <w:pPr>
        <w:spacing w:after="0" w:line="42" w:lineRule="exact"/>
        <w:rPr>
          <w:rFonts w:ascii="Arial" w:cs="Arial" w:eastAsia="Arial" w:hAnsi="Arial"/>
          <w:sz w:val="19"/>
          <w:szCs w:val="19"/>
          <w:b w:val="1"/>
          <w:bCs w:val="1"/>
          <w:color w:val="auto"/>
        </w:rPr>
      </w:pPr>
    </w:p>
    <w:p>
      <w:pPr>
        <w:ind w:left="880"/>
        <w:spacing w:after="0"/>
        <w:rPr>
          <w:rFonts w:ascii="Arial" w:cs="Arial" w:eastAsia="Arial" w:hAnsi="Arial"/>
          <w:sz w:val="19"/>
          <w:szCs w:val="19"/>
          <w:b w:val="1"/>
          <w:bCs w:val="1"/>
          <w:color w:val="auto"/>
        </w:rPr>
      </w:pPr>
      <w:r>
        <w:rPr>
          <w:rFonts w:ascii="Arial" w:cs="Arial" w:eastAsia="Arial" w:hAnsi="Arial"/>
          <w:sz w:val="22"/>
          <w:szCs w:val="22"/>
          <w:color w:val="auto"/>
        </w:rPr>
        <w:t>this Agreement;</w:t>
      </w:r>
    </w:p>
    <w:p>
      <w:pPr>
        <w:spacing w:after="0" w:line="134" w:lineRule="exact"/>
        <w:rPr>
          <w:sz w:val="20"/>
          <w:szCs w:val="20"/>
          <w:color w:val="auto"/>
        </w:rPr>
      </w:pPr>
    </w:p>
    <w:p>
      <w:pPr>
        <w:jc w:val="both"/>
        <w:ind w:right="200"/>
        <w:spacing w:after="0" w:line="297" w:lineRule="auto"/>
        <w:rPr>
          <w:sz w:val="20"/>
          <w:szCs w:val="20"/>
          <w:color w:val="auto"/>
        </w:rPr>
      </w:pPr>
      <w:r>
        <w:rPr>
          <w:rFonts w:ascii="Arial" w:cs="Arial" w:eastAsia="Arial" w:hAnsi="Arial"/>
          <w:sz w:val="19"/>
          <w:szCs w:val="19"/>
          <w:i w:val="1"/>
          <w:iCs w:val="1"/>
          <w:color w:val="auto"/>
        </w:rPr>
        <w:t>provided, however</w:t>
      </w:r>
      <w:r>
        <w:rPr>
          <w:rFonts w:ascii="Arial" w:cs="Arial" w:eastAsia="Arial" w:hAnsi="Arial"/>
          <w:sz w:val="19"/>
          <w:szCs w:val="19"/>
          <w:color w:val="auto"/>
        </w:rPr>
        <w:t>, that Novartis will not be obliged to so indemnify, defend, and hold harmless the Cerulean Indemnitees for any</w:t>
      </w:r>
      <w:r>
        <w:rPr>
          <w:rFonts w:ascii="Arial" w:cs="Arial" w:eastAsia="Arial" w:hAnsi="Arial"/>
          <w:sz w:val="19"/>
          <w:szCs w:val="19"/>
          <w:i w:val="1"/>
          <w:iCs w:val="1"/>
          <w:color w:val="auto"/>
        </w:rPr>
        <w:t xml:space="preserve"> </w:t>
      </w:r>
      <w:r>
        <w:rPr>
          <w:rFonts w:ascii="Arial" w:cs="Arial" w:eastAsia="Arial" w:hAnsi="Arial"/>
          <w:sz w:val="19"/>
          <w:szCs w:val="19"/>
          <w:color w:val="auto"/>
        </w:rPr>
        <w:t>Claims for which Cerulean has an obligation to indemnify Novartis Indemnitees pursuant to Section 8.1 or to the extent that such Claims arise from the breach, negligence or willful misconduct of Cerulean or the Cerulean Indemnitee.</w:t>
      </w:r>
    </w:p>
    <w:p>
      <w:pPr>
        <w:spacing w:after="0" w:line="74" w:lineRule="exact"/>
        <w:rPr>
          <w:sz w:val="20"/>
          <w:szCs w:val="20"/>
          <w:color w:val="auto"/>
        </w:rPr>
      </w:pPr>
    </w:p>
    <w:p>
      <w:pPr>
        <w:spacing w:after="0"/>
        <w:tabs>
          <w:tab w:leader="none" w:pos="1640" w:val="left"/>
        </w:tabs>
        <w:rPr>
          <w:sz w:val="20"/>
          <w:szCs w:val="20"/>
          <w:color w:val="auto"/>
        </w:rPr>
      </w:pPr>
      <w:r>
        <w:rPr>
          <w:rFonts w:ascii="Arial" w:cs="Arial" w:eastAsia="Arial" w:hAnsi="Arial"/>
          <w:sz w:val="22"/>
          <w:szCs w:val="22"/>
          <w:b w:val="1"/>
          <w:bCs w:val="1"/>
          <w:color w:val="auto"/>
        </w:rPr>
        <w:t>Section 8.3</w:t>
      </w:r>
      <w:r>
        <w:rPr>
          <w:sz w:val="20"/>
          <w:szCs w:val="20"/>
          <w:color w:val="auto"/>
        </w:rPr>
        <w:tab/>
      </w:r>
      <w:r>
        <w:rPr>
          <w:rFonts w:ascii="Arial" w:cs="Arial" w:eastAsia="Arial" w:hAnsi="Arial"/>
          <w:sz w:val="19"/>
          <w:szCs w:val="19"/>
          <w:b w:val="1"/>
          <w:bCs w:val="1"/>
          <w:color w:val="auto"/>
        </w:rPr>
        <w:t>Indemnification Procedure.</w:t>
      </w:r>
    </w:p>
    <w:p>
      <w:pPr>
        <w:spacing w:after="0" w:line="152" w:lineRule="exact"/>
        <w:rPr>
          <w:sz w:val="20"/>
          <w:szCs w:val="20"/>
          <w:color w:val="auto"/>
        </w:rPr>
      </w:pPr>
    </w:p>
    <w:p>
      <w:pPr>
        <w:ind w:right="40" w:firstLine="877"/>
        <w:spacing w:after="0" w:line="256" w:lineRule="auto"/>
        <w:rPr>
          <w:sz w:val="20"/>
          <w:szCs w:val="20"/>
          <w:color w:val="auto"/>
        </w:rPr>
      </w:pPr>
      <w:r>
        <w:rPr>
          <w:rFonts w:ascii="Arial" w:cs="Arial" w:eastAsia="Arial" w:hAnsi="Arial"/>
          <w:sz w:val="22"/>
          <w:szCs w:val="22"/>
          <w:b w:val="1"/>
          <w:bCs w:val="1"/>
          <w:color w:val="auto"/>
        </w:rPr>
        <w:t xml:space="preserve">8.3.1 Coordination. </w:t>
      </w:r>
      <w:r>
        <w:rPr>
          <w:rFonts w:ascii="Arial" w:cs="Arial" w:eastAsia="Arial" w:hAnsi="Arial"/>
          <w:sz w:val="22"/>
          <w:szCs w:val="22"/>
          <w:color w:val="auto"/>
        </w:rPr>
        <w:t>For the avoidance of doubt, all indemnification claims in respect of a Novartis Indemnitee or</w:t>
      </w:r>
      <w:r>
        <w:rPr>
          <w:rFonts w:ascii="Arial" w:cs="Arial" w:eastAsia="Arial" w:hAnsi="Arial"/>
          <w:sz w:val="22"/>
          <w:szCs w:val="22"/>
          <w:b w:val="1"/>
          <w:bCs w:val="1"/>
          <w:color w:val="auto"/>
        </w:rPr>
        <w:t xml:space="preserve"> </w:t>
      </w:r>
      <w:r>
        <w:rPr>
          <w:rFonts w:ascii="Arial" w:cs="Arial" w:eastAsia="Arial" w:hAnsi="Arial"/>
          <w:sz w:val="22"/>
          <w:szCs w:val="22"/>
          <w:color w:val="auto"/>
        </w:rPr>
        <w:t>Cerulean Indemnitee will be made solely by Novartis or Cerulean, respectively.</w:t>
      </w:r>
    </w:p>
    <w:p>
      <w:pPr>
        <w:spacing w:after="0" w:line="109" w:lineRule="exact"/>
        <w:rPr>
          <w:sz w:val="20"/>
          <w:szCs w:val="20"/>
          <w:color w:val="auto"/>
        </w:rPr>
      </w:pPr>
    </w:p>
    <w:p>
      <w:pPr>
        <w:ind w:right="20" w:firstLine="877"/>
        <w:spacing w:after="0" w:line="275" w:lineRule="auto"/>
        <w:rPr>
          <w:sz w:val="20"/>
          <w:szCs w:val="20"/>
          <w:color w:val="auto"/>
        </w:rPr>
      </w:pPr>
      <w:r>
        <w:rPr>
          <w:rFonts w:ascii="Arial" w:cs="Arial" w:eastAsia="Arial" w:hAnsi="Arial"/>
          <w:sz w:val="19"/>
          <w:szCs w:val="19"/>
          <w:b w:val="1"/>
          <w:bCs w:val="1"/>
          <w:color w:val="auto"/>
        </w:rPr>
        <w:t xml:space="preserve">8.3.2 Notification. </w:t>
      </w:r>
      <w:r>
        <w:rPr>
          <w:rFonts w:ascii="Arial" w:cs="Arial" w:eastAsia="Arial" w:hAnsi="Arial"/>
          <w:sz w:val="19"/>
          <w:szCs w:val="19"/>
          <w:color w:val="auto"/>
        </w:rPr>
        <w:t>A Party seeking indemnification hereunder (“</w:t>
      </w:r>
      <w:r>
        <w:rPr>
          <w:rFonts w:ascii="Arial" w:cs="Arial" w:eastAsia="Arial" w:hAnsi="Arial"/>
          <w:sz w:val="19"/>
          <w:szCs w:val="19"/>
          <w:u w:val="single" w:color="auto"/>
          <w:color w:val="auto"/>
        </w:rPr>
        <w:t>Indemnified Party</w:t>
      </w:r>
      <w:r>
        <w:rPr>
          <w:rFonts w:ascii="Arial" w:cs="Arial" w:eastAsia="Arial" w:hAnsi="Arial"/>
          <w:sz w:val="19"/>
          <w:szCs w:val="19"/>
          <w:color w:val="auto"/>
        </w:rPr>
        <w:t>”) will notify the other Party</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u w:val="single" w:color="auto"/>
          <w:color w:val="auto"/>
        </w:rPr>
        <w:t>Indemnifying Party</w:t>
      </w:r>
      <w:r>
        <w:rPr>
          <w:rFonts w:ascii="Arial" w:cs="Arial" w:eastAsia="Arial" w:hAnsi="Arial"/>
          <w:sz w:val="19"/>
          <w:szCs w:val="19"/>
          <w:color w:val="auto"/>
        </w:rPr>
        <w:t>”) in writing reasonably promptly after the assertion against the Indemnified Party of any Claim or fact in respect of which the Indemnified Party intends to base a claim for indemnification hereunder (“</w:t>
      </w:r>
      <w:r>
        <w:rPr>
          <w:rFonts w:ascii="Arial" w:cs="Arial" w:eastAsia="Arial" w:hAnsi="Arial"/>
          <w:sz w:val="19"/>
          <w:szCs w:val="19"/>
          <w:u w:val="single" w:color="auto"/>
          <w:color w:val="auto"/>
        </w:rPr>
        <w:t>Indemnification Claim Notice</w:t>
      </w:r>
      <w:r>
        <w:rPr>
          <w:rFonts w:ascii="Arial" w:cs="Arial" w:eastAsia="Arial" w:hAnsi="Arial"/>
          <w:sz w:val="19"/>
          <w:szCs w:val="19"/>
          <w:color w:val="auto"/>
        </w:rPr>
        <w:t>”), but the failure or delay to so notify the Indemnifying Party will not relieve the Indemnifying Party of any obligation or liability that it may have to the Indemnified Party, except to the extent that the Indemnifying Party demonstrates that its ability to defend or resolve such Claim is adversely affected thereby. The Indemnification Claim Notice will contain a description of the claim and the nature and amount of the Claim (to the extent that the nature and amount of such Claim is known at such time). Upon the request of the Indemnifying Party, the Indemnified Party will furnish promptly to the Indemnifying Party copies of all correspondence, communications and official documents (including court documents) received or sent in respect of such Claim.</w:t>
      </w:r>
    </w:p>
    <w:p>
      <w:pPr>
        <w:spacing w:after="0" w:line="97" w:lineRule="exact"/>
        <w:rPr>
          <w:sz w:val="20"/>
          <w:szCs w:val="20"/>
          <w:color w:val="auto"/>
        </w:rPr>
      </w:pPr>
    </w:p>
    <w:p>
      <w:pPr>
        <w:ind w:right="420" w:firstLine="877"/>
        <w:spacing w:after="0" w:line="256" w:lineRule="auto"/>
        <w:rPr>
          <w:sz w:val="20"/>
          <w:szCs w:val="20"/>
          <w:color w:val="auto"/>
        </w:rPr>
      </w:pPr>
      <w:r>
        <w:rPr>
          <w:rFonts w:ascii="Arial" w:cs="Arial" w:eastAsia="Arial" w:hAnsi="Arial"/>
          <w:sz w:val="22"/>
          <w:szCs w:val="22"/>
          <w:b w:val="1"/>
          <w:bCs w:val="1"/>
          <w:color w:val="auto"/>
        </w:rPr>
        <w:t xml:space="preserve">8.3.3 Right to Assume Defense. </w:t>
      </w:r>
      <w:r>
        <w:rPr>
          <w:rFonts w:ascii="Arial" w:cs="Arial" w:eastAsia="Arial" w:hAnsi="Arial"/>
          <w:sz w:val="22"/>
          <w:szCs w:val="22"/>
          <w:color w:val="auto"/>
        </w:rPr>
        <w:t>The Indemnifying Party will have the right, upon written notice given to the</w:t>
      </w:r>
      <w:r>
        <w:rPr>
          <w:rFonts w:ascii="Arial" w:cs="Arial" w:eastAsia="Arial" w:hAnsi="Arial"/>
          <w:sz w:val="22"/>
          <w:szCs w:val="22"/>
          <w:b w:val="1"/>
          <w:bCs w:val="1"/>
          <w:color w:val="auto"/>
        </w:rPr>
        <w:t xml:space="preserve"> </w:t>
      </w:r>
      <w:r>
        <w:rPr>
          <w:rFonts w:ascii="Arial" w:cs="Arial" w:eastAsia="Arial" w:hAnsi="Arial"/>
          <w:sz w:val="22"/>
          <w:szCs w:val="22"/>
          <w:color w:val="auto"/>
        </w:rPr>
        <w:t>Indemnified Party within [**] days after receipt of the</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2891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6" w:name="page107"/>
    <w:bookmarkEnd w:id="106"/>
    <w:p>
      <w:pPr>
        <w:ind w:left="9560"/>
        <w:spacing w:after="0"/>
        <w:rPr>
          <w:sz w:val="20"/>
          <w:szCs w:val="20"/>
          <w:color w:val="auto"/>
        </w:rPr>
      </w:pPr>
      <w:r>
        <w:rPr>
          <w:rFonts w:ascii="Arial" w:cs="Arial" w:eastAsia="Arial" w:hAnsi="Arial"/>
          <w:sz w:val="19"/>
          <w:szCs w:val="19"/>
          <w:color w:val="auto"/>
        </w:rPr>
        <w:t>EXECUTION COPY</w:t>
      </w:r>
    </w:p>
    <w:p>
      <w:pPr>
        <w:spacing w:after="0" w:line="268" w:lineRule="exact"/>
        <w:rPr>
          <w:sz w:val="20"/>
          <w:szCs w:val="20"/>
          <w:color w:val="auto"/>
        </w:rPr>
      </w:pPr>
    </w:p>
    <w:p>
      <w:pPr>
        <w:ind w:right="60"/>
        <w:spacing w:after="0" w:line="245" w:lineRule="auto"/>
        <w:rPr>
          <w:sz w:val="20"/>
          <w:szCs w:val="20"/>
          <w:color w:val="auto"/>
        </w:rPr>
      </w:pPr>
      <w:r>
        <w:rPr>
          <w:rFonts w:ascii="Arial" w:cs="Arial" w:eastAsia="Arial" w:hAnsi="Arial"/>
          <w:sz w:val="21"/>
          <w:szCs w:val="21"/>
          <w:color w:val="auto"/>
        </w:rPr>
        <w:t>Indemnification Claim Notice to assume the defense and handling of such Claim, at the Indemnifying Party’s sole expense, in which case the provisions of Section 8.3.4 will govern. The assumption of the defense of a Claim by the Indemnifying Party will not be construed as acknowledgement that the Indemnifying Party is liable to indemnify any indemnitee in respect of the Claim, nor will it constitute a waiver by the Indemnifying Party of any defenses it may assert against any Indemnified Party’s claim for indemnification. In the event that it is ultimately decided that the Indemnifying Party is not obligated to indemnify or hold an Indemnitee harmless from and against the Claim, the Indemnified Party will reimburse the Indemnifying Party for any and all costs and expenses (including attorneys’ fees and costs of suit) and any losses incurred by the Indemnifying Party in its defense of the Claim. If the Indemnifying Party does not give written notice to the Indemnified Party, within [**] days after receipt of the Indemnification Claim Notice, of the Indemnifying Party’s election to assume the defense and handling of such Claim, the provisions of Section 8.3.5 will govern.</w:t>
      </w:r>
    </w:p>
    <w:p>
      <w:pPr>
        <w:spacing w:after="0" w:line="122"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2"/>
          <w:szCs w:val="22"/>
          <w:b w:val="1"/>
          <w:bCs w:val="1"/>
          <w:color w:val="auto"/>
        </w:rPr>
        <w:t>8.3.4</w:t>
      </w:r>
      <w:r>
        <w:rPr>
          <w:sz w:val="20"/>
          <w:szCs w:val="20"/>
          <w:color w:val="auto"/>
        </w:rPr>
        <w:tab/>
      </w:r>
      <w:r>
        <w:rPr>
          <w:rFonts w:ascii="Arial" w:cs="Arial" w:eastAsia="Arial" w:hAnsi="Arial"/>
          <w:sz w:val="19"/>
          <w:szCs w:val="19"/>
          <w:b w:val="1"/>
          <w:bCs w:val="1"/>
          <w:color w:val="auto"/>
        </w:rPr>
        <w:t xml:space="preserve">Assumption of Defense. </w:t>
      </w:r>
      <w:r>
        <w:rPr>
          <w:rFonts w:ascii="Arial" w:cs="Arial" w:eastAsia="Arial" w:hAnsi="Arial"/>
          <w:sz w:val="19"/>
          <w:szCs w:val="19"/>
          <w:color w:val="auto"/>
        </w:rPr>
        <w:t>Upon assumption of the defense of a Claim by the Indemnifying Party:</w:t>
      </w:r>
    </w:p>
    <w:p>
      <w:pPr>
        <w:spacing w:after="0" w:line="158" w:lineRule="exact"/>
        <w:rPr>
          <w:sz w:val="20"/>
          <w:szCs w:val="20"/>
          <w:color w:val="auto"/>
        </w:rPr>
      </w:pPr>
    </w:p>
    <w:p>
      <w:pPr>
        <w:ind w:left="880" w:right="540" w:firstLine="816"/>
        <w:spacing w:after="0" w:line="251" w:lineRule="auto"/>
        <w:tabs>
          <w:tab w:leader="none" w:pos="2590" w:val="left"/>
        </w:tabs>
        <w:numPr>
          <w:ilvl w:val="0"/>
          <w:numId w:val="116"/>
        </w:numPr>
        <w:rPr>
          <w:rFonts w:ascii="Arial" w:cs="Arial" w:eastAsia="Arial" w:hAnsi="Arial"/>
          <w:sz w:val="22"/>
          <w:szCs w:val="22"/>
          <w:b w:val="1"/>
          <w:bCs w:val="1"/>
          <w:color w:val="auto"/>
        </w:rPr>
      </w:pPr>
      <w:r>
        <w:rPr>
          <w:rFonts w:ascii="Arial" w:cs="Arial" w:eastAsia="Arial" w:hAnsi="Arial"/>
          <w:sz w:val="22"/>
          <w:szCs w:val="22"/>
          <w:color w:val="auto"/>
        </w:rPr>
        <w:t>the Indemnifying Party will have the right to and will assume sole control and responsibility for dealing with the Claim;</w:t>
      </w:r>
    </w:p>
    <w:p>
      <w:pPr>
        <w:spacing w:after="0" w:line="119" w:lineRule="exact"/>
        <w:rPr>
          <w:rFonts w:ascii="Arial" w:cs="Arial" w:eastAsia="Arial" w:hAnsi="Arial"/>
          <w:sz w:val="22"/>
          <w:szCs w:val="22"/>
          <w:b w:val="1"/>
          <w:bCs w:val="1"/>
          <w:color w:val="auto"/>
        </w:rPr>
      </w:pPr>
    </w:p>
    <w:p>
      <w:pPr>
        <w:ind w:left="880" w:right="340" w:firstLine="816"/>
        <w:spacing w:after="0" w:line="328" w:lineRule="auto"/>
        <w:tabs>
          <w:tab w:leader="none" w:pos="2602" w:val="left"/>
        </w:tabs>
        <w:numPr>
          <w:ilvl w:val="0"/>
          <w:numId w:val="116"/>
        </w:numPr>
        <w:rPr>
          <w:rFonts w:ascii="Arial" w:cs="Arial" w:eastAsia="Arial" w:hAnsi="Arial"/>
          <w:sz w:val="19"/>
          <w:szCs w:val="19"/>
          <w:b w:val="1"/>
          <w:bCs w:val="1"/>
          <w:color w:val="auto"/>
        </w:rPr>
      </w:pPr>
      <w:r>
        <w:rPr>
          <w:rFonts w:ascii="Arial" w:cs="Arial" w:eastAsia="Arial" w:hAnsi="Arial"/>
          <w:sz w:val="19"/>
          <w:szCs w:val="19"/>
          <w:color w:val="auto"/>
        </w:rPr>
        <w:t>the Indemnifying Party may, at its own cost, appoint as counsel in connection with conducting the defense and handling of such Claim any law firm or counsel reasonably selected by the Indemnifying Party;</w:t>
      </w:r>
    </w:p>
    <w:p>
      <w:pPr>
        <w:spacing w:after="0" w:line="51" w:lineRule="exact"/>
        <w:rPr>
          <w:rFonts w:ascii="Arial" w:cs="Arial" w:eastAsia="Arial" w:hAnsi="Arial"/>
          <w:sz w:val="19"/>
          <w:szCs w:val="19"/>
          <w:b w:val="1"/>
          <w:bCs w:val="1"/>
          <w:color w:val="auto"/>
        </w:rPr>
      </w:pPr>
    </w:p>
    <w:p>
      <w:pPr>
        <w:ind w:left="2640" w:hanging="944"/>
        <w:spacing w:after="0"/>
        <w:tabs>
          <w:tab w:leader="none" w:pos="2640" w:val="left"/>
        </w:tabs>
        <w:numPr>
          <w:ilvl w:val="0"/>
          <w:numId w:val="116"/>
        </w:numPr>
        <w:rPr>
          <w:rFonts w:ascii="Arial" w:cs="Arial" w:eastAsia="Arial" w:hAnsi="Arial"/>
          <w:sz w:val="19"/>
          <w:szCs w:val="19"/>
          <w:b w:val="1"/>
          <w:bCs w:val="1"/>
          <w:color w:val="auto"/>
        </w:rPr>
      </w:pPr>
      <w:r>
        <w:rPr>
          <w:rFonts w:ascii="Arial" w:cs="Arial" w:eastAsia="Arial" w:hAnsi="Arial"/>
          <w:sz w:val="19"/>
          <w:szCs w:val="19"/>
          <w:color w:val="auto"/>
        </w:rPr>
        <w:t>the Indemnifying Party will keep the Indemnified Party informed of the status of such Claim; and</w:t>
      </w:r>
    </w:p>
    <w:p>
      <w:pPr>
        <w:spacing w:after="0" w:line="186" w:lineRule="exact"/>
        <w:rPr>
          <w:rFonts w:ascii="Arial" w:cs="Arial" w:eastAsia="Arial" w:hAnsi="Arial"/>
          <w:sz w:val="19"/>
          <w:szCs w:val="19"/>
          <w:b w:val="1"/>
          <w:bCs w:val="1"/>
          <w:color w:val="auto"/>
        </w:rPr>
      </w:pPr>
    </w:p>
    <w:p>
      <w:pPr>
        <w:ind w:left="880" w:right="120" w:firstLine="816"/>
        <w:spacing w:after="0" w:line="245" w:lineRule="auto"/>
        <w:tabs>
          <w:tab w:leader="none" w:pos="2602" w:val="left"/>
        </w:tabs>
        <w:numPr>
          <w:ilvl w:val="0"/>
          <w:numId w:val="116"/>
        </w:numPr>
        <w:rPr>
          <w:rFonts w:ascii="Arial" w:cs="Arial" w:eastAsia="Arial" w:hAnsi="Arial"/>
          <w:sz w:val="21"/>
          <w:szCs w:val="21"/>
          <w:b w:val="1"/>
          <w:bCs w:val="1"/>
          <w:color w:val="auto"/>
        </w:rPr>
      </w:pPr>
      <w:r>
        <w:rPr>
          <w:rFonts w:ascii="Arial" w:cs="Arial" w:eastAsia="Arial" w:hAnsi="Arial"/>
          <w:sz w:val="21"/>
          <w:szCs w:val="21"/>
          <w:color w:val="auto"/>
        </w:rPr>
        <w:t xml:space="preserve">the Indemnifying Party will have the right to settle the Claim on any terms the Indemnifying Party chooses;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that it will not, without the prior written consent of the Indemnified Party (not to be unreasonably withheld or delayed), agree to a settlement of any Claim which </w:t>
      </w:r>
      <w:r>
        <w:rPr>
          <w:rFonts w:ascii="Arial" w:cs="Arial" w:eastAsia="Arial" w:hAnsi="Arial"/>
          <w:sz w:val="21"/>
          <w:szCs w:val="21"/>
          <w:b w:val="1"/>
          <w:bCs w:val="1"/>
          <w:color w:val="auto"/>
        </w:rPr>
        <w:t>(i)</w:t>
      </w:r>
      <w:r>
        <w:rPr>
          <w:rFonts w:ascii="Arial" w:cs="Arial" w:eastAsia="Arial" w:hAnsi="Arial"/>
          <w:sz w:val="21"/>
          <w:szCs w:val="21"/>
          <w:color w:val="auto"/>
        </w:rPr>
        <w:t xml:space="preserve"> could impair a Party’s ability, right or obligation to perform its obligations under this Agreement; </w:t>
      </w:r>
      <w:r>
        <w:rPr>
          <w:rFonts w:ascii="Arial" w:cs="Arial" w:eastAsia="Arial" w:hAnsi="Arial"/>
          <w:sz w:val="21"/>
          <w:szCs w:val="21"/>
          <w:b w:val="1"/>
          <w:bCs w:val="1"/>
          <w:color w:val="auto"/>
        </w:rPr>
        <w:t>(ii)</w:t>
      </w:r>
      <w:r>
        <w:rPr>
          <w:rFonts w:ascii="Arial" w:cs="Arial" w:eastAsia="Arial" w:hAnsi="Arial"/>
          <w:sz w:val="21"/>
          <w:szCs w:val="21"/>
          <w:color w:val="auto"/>
        </w:rPr>
        <w:t xml:space="preserve"> with respect to a Claim for which Cerulean is the Indemnified Party, could impair Cerulean’s ability or right to research, develop or commercialize any product using Cerulean Background Intellectual Property; </w:t>
      </w:r>
      <w:r>
        <w:rPr>
          <w:rFonts w:ascii="Arial" w:cs="Arial" w:eastAsia="Arial" w:hAnsi="Arial"/>
          <w:sz w:val="21"/>
          <w:szCs w:val="21"/>
          <w:b w:val="1"/>
          <w:bCs w:val="1"/>
          <w:color w:val="auto"/>
        </w:rPr>
        <w:t>(iii)</w:t>
      </w:r>
      <w:r>
        <w:rPr>
          <w:rFonts w:ascii="Arial" w:cs="Arial" w:eastAsia="Arial" w:hAnsi="Arial"/>
          <w:sz w:val="21"/>
          <w:szCs w:val="21"/>
          <w:color w:val="auto"/>
        </w:rPr>
        <w:t xml:space="preserve"> could lead to liability or create any financial or other obligation on the part of the Indemnified Party for which the Indemnified Party is not entitled to indemnification hereunder; or </w:t>
      </w:r>
      <w:r>
        <w:rPr>
          <w:rFonts w:ascii="Arial" w:cs="Arial" w:eastAsia="Arial" w:hAnsi="Arial"/>
          <w:sz w:val="21"/>
          <w:szCs w:val="21"/>
          <w:b w:val="1"/>
          <w:bCs w:val="1"/>
          <w:color w:val="auto"/>
        </w:rPr>
        <w:t>(iv)</w:t>
      </w:r>
      <w:r>
        <w:rPr>
          <w:rFonts w:ascii="Arial" w:cs="Arial" w:eastAsia="Arial" w:hAnsi="Arial"/>
          <w:sz w:val="21"/>
          <w:szCs w:val="21"/>
          <w:color w:val="auto"/>
        </w:rPr>
        <w:t xml:space="preserve"> admits any wrongdoing or responsibility for the Claim on behalf of the Indemnified Party; </w:t>
      </w:r>
      <w:r>
        <w:rPr>
          <w:rFonts w:ascii="Arial" w:cs="Arial" w:eastAsia="Arial" w:hAnsi="Arial"/>
          <w:sz w:val="21"/>
          <w:szCs w:val="21"/>
          <w:i w:val="1"/>
          <w:iCs w:val="1"/>
          <w:color w:val="auto"/>
        </w:rPr>
        <w:t>provided, however</w:t>
      </w:r>
      <w:r>
        <w:rPr>
          <w:rFonts w:ascii="Arial" w:cs="Arial" w:eastAsia="Arial" w:hAnsi="Arial"/>
          <w:sz w:val="21"/>
          <w:szCs w:val="21"/>
          <w:color w:val="auto"/>
        </w:rPr>
        <w:t>, that for the avoidance of doubt, settlements involving only the payment of money by the Indemnifying Party will not constitute settlements that invoke clauses (i) through (iv).</w:t>
      </w:r>
    </w:p>
    <w:p>
      <w:pPr>
        <w:spacing w:after="0" w:line="128" w:lineRule="exact"/>
        <w:rPr>
          <w:sz w:val="20"/>
          <w:szCs w:val="20"/>
          <w:color w:val="auto"/>
        </w:rPr>
      </w:pPr>
    </w:p>
    <w:p>
      <w:pPr>
        <w:ind w:right="80"/>
        <w:spacing w:after="0" w:line="279" w:lineRule="auto"/>
        <w:rPr>
          <w:sz w:val="20"/>
          <w:szCs w:val="20"/>
          <w:color w:val="auto"/>
        </w:rPr>
      </w:pPr>
      <w:r>
        <w:rPr>
          <w:rFonts w:ascii="Arial" w:cs="Arial" w:eastAsia="Arial" w:hAnsi="Arial"/>
          <w:sz w:val="19"/>
          <w:szCs w:val="19"/>
          <w:color w:val="auto"/>
        </w:rPr>
        <w:t>The Indemnified Party will cooperate with the Indemnifying Party and will be entitled to participate in, but not control, the defense of such Claim with its own counsel and at its own expense. In particular, the Indemnified Party will furnish such records, information and testimony, provide witnesses and attend such conferences, discovery proceedings, hearings, trials and appeals as may be reasonably requested in connection therewith. Such cooperation will include access during normal business hours by the Indemnifying Party to, and reasonable retention by the Indemnified Party of, records and information that are reasonably relevant to such Claim, and making the Indemnified Party, the Indemnitees and its and their employees and</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2891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7" w:name="page108"/>
    <w:bookmarkEnd w:id="107"/>
    <w:p>
      <w:pPr>
        <w:ind w:left="9560"/>
        <w:spacing w:after="0"/>
        <w:rPr>
          <w:sz w:val="20"/>
          <w:szCs w:val="20"/>
          <w:color w:val="auto"/>
        </w:rPr>
      </w:pPr>
      <w:r>
        <w:rPr>
          <w:rFonts w:ascii="Arial" w:cs="Arial" w:eastAsia="Arial" w:hAnsi="Arial"/>
          <w:sz w:val="19"/>
          <w:szCs w:val="19"/>
          <w:color w:val="auto"/>
        </w:rPr>
        <w:t>EXECUTION COPY</w:t>
      </w:r>
    </w:p>
    <w:p>
      <w:pPr>
        <w:spacing w:after="0" w:line="268" w:lineRule="exact"/>
        <w:rPr>
          <w:sz w:val="20"/>
          <w:szCs w:val="20"/>
          <w:color w:val="auto"/>
        </w:rPr>
      </w:pPr>
    </w:p>
    <w:p>
      <w:pPr>
        <w:ind w:right="340"/>
        <w:spacing w:after="0" w:line="251" w:lineRule="auto"/>
        <w:rPr>
          <w:sz w:val="20"/>
          <w:szCs w:val="20"/>
          <w:color w:val="auto"/>
        </w:rPr>
      </w:pPr>
      <w:r>
        <w:rPr>
          <w:rFonts w:ascii="Arial" w:cs="Arial" w:eastAsia="Arial" w:hAnsi="Arial"/>
          <w:sz w:val="22"/>
          <w:szCs w:val="22"/>
          <w:color w:val="auto"/>
        </w:rPr>
        <w:t>agents available on a mutually convenient basis to provide additional information and explanation of any records or information provided.</w:t>
      </w:r>
    </w:p>
    <w:p>
      <w:pPr>
        <w:spacing w:after="0" w:line="113" w:lineRule="exact"/>
        <w:rPr>
          <w:sz w:val="20"/>
          <w:szCs w:val="20"/>
          <w:color w:val="auto"/>
        </w:rPr>
      </w:pPr>
    </w:p>
    <w:p>
      <w:pPr>
        <w:ind w:right="40" w:firstLine="877"/>
        <w:spacing w:after="0" w:line="275" w:lineRule="auto"/>
        <w:rPr>
          <w:sz w:val="20"/>
          <w:szCs w:val="20"/>
          <w:color w:val="auto"/>
        </w:rPr>
      </w:pPr>
      <w:r>
        <w:rPr>
          <w:rFonts w:ascii="Arial" w:cs="Arial" w:eastAsia="Arial" w:hAnsi="Arial"/>
          <w:sz w:val="19"/>
          <w:szCs w:val="19"/>
          <w:b w:val="1"/>
          <w:bCs w:val="1"/>
          <w:color w:val="auto"/>
        </w:rPr>
        <w:t xml:space="preserve">8.3.5 No Assumption of Defense. </w:t>
      </w:r>
      <w:r>
        <w:rPr>
          <w:rFonts w:ascii="Arial" w:cs="Arial" w:eastAsia="Arial" w:hAnsi="Arial"/>
          <w:sz w:val="19"/>
          <w:szCs w:val="19"/>
          <w:color w:val="auto"/>
        </w:rPr>
        <w:t>If the Indemnifying Party does not give written notice to the Indemnified Party</w:t>
      </w:r>
      <w:r>
        <w:rPr>
          <w:rFonts w:ascii="Arial" w:cs="Arial" w:eastAsia="Arial" w:hAnsi="Arial"/>
          <w:sz w:val="19"/>
          <w:szCs w:val="19"/>
          <w:b w:val="1"/>
          <w:bCs w:val="1"/>
          <w:color w:val="auto"/>
        </w:rPr>
        <w:t xml:space="preserve"> </w:t>
      </w:r>
      <w:r>
        <w:rPr>
          <w:rFonts w:ascii="Arial" w:cs="Arial" w:eastAsia="Arial" w:hAnsi="Arial"/>
          <w:sz w:val="19"/>
          <w:szCs w:val="19"/>
          <w:color w:val="auto"/>
        </w:rPr>
        <w:t>as set forth in Section 8.3.3 or fails to conduct the defense and handling of any Claim in good faith after having assumed such, the Indemnified Party may, at the Indemnifying Party’s expense, select counsel reasonably acceptable to the Indemnifying Party in connection with conducting the defense and handling of such Claim and defend or handle such Claim in such manner as it may deem appropriate. In such event, the Indemnified Party will keep the Indemnifying Party timely apprised of the status of such Claim and will not settle such Claim without the prior written consent of the Indemnifying Party, which consent will not be unreasonably withheld or delayed. If the Indemnified Party defends or handles such Claim, the Indemnifying Party will cooperate with the Indemnified Party, at the Indemnified Party’s request but at no expense to the Indemnified Party, and will be entitled to participate in the defense and handling of such Claim with its own counsel and at its own expense.</w:t>
      </w:r>
    </w:p>
    <w:p>
      <w:pPr>
        <w:spacing w:after="0" w:line="97" w:lineRule="exact"/>
        <w:rPr>
          <w:sz w:val="20"/>
          <w:szCs w:val="20"/>
          <w:color w:val="auto"/>
        </w:rPr>
      </w:pPr>
    </w:p>
    <w:p>
      <w:pPr>
        <w:spacing w:after="0"/>
        <w:tabs>
          <w:tab w:leader="none" w:pos="1640" w:val="left"/>
        </w:tabs>
        <w:rPr>
          <w:sz w:val="20"/>
          <w:szCs w:val="20"/>
          <w:color w:val="auto"/>
        </w:rPr>
      </w:pPr>
      <w:r>
        <w:rPr>
          <w:rFonts w:ascii="Arial" w:cs="Arial" w:eastAsia="Arial" w:hAnsi="Arial"/>
          <w:sz w:val="22"/>
          <w:szCs w:val="22"/>
          <w:b w:val="1"/>
          <w:bCs w:val="1"/>
          <w:color w:val="auto"/>
        </w:rPr>
        <w:t>Section 8.4</w:t>
      </w:r>
      <w:r>
        <w:rPr>
          <w:sz w:val="20"/>
          <w:szCs w:val="20"/>
          <w:color w:val="auto"/>
        </w:rPr>
        <w:tab/>
      </w:r>
      <w:r>
        <w:rPr>
          <w:rFonts w:ascii="Arial" w:cs="Arial" w:eastAsia="Arial" w:hAnsi="Arial"/>
          <w:sz w:val="19"/>
          <w:szCs w:val="19"/>
          <w:b w:val="1"/>
          <w:bCs w:val="1"/>
          <w:color w:val="auto"/>
        </w:rPr>
        <w:t>Mitigation of Loss.</w:t>
      </w:r>
    </w:p>
    <w:p>
      <w:pPr>
        <w:spacing w:after="0" w:line="158" w:lineRule="exact"/>
        <w:rPr>
          <w:sz w:val="20"/>
          <w:szCs w:val="20"/>
          <w:color w:val="auto"/>
        </w:rPr>
      </w:pPr>
    </w:p>
    <w:p>
      <w:pPr>
        <w:ind w:right="100" w:firstLine="877"/>
        <w:spacing w:after="0" w:line="238" w:lineRule="auto"/>
        <w:rPr>
          <w:sz w:val="20"/>
          <w:szCs w:val="20"/>
          <w:color w:val="auto"/>
        </w:rPr>
      </w:pPr>
      <w:r>
        <w:rPr>
          <w:rFonts w:ascii="Arial" w:cs="Arial" w:eastAsia="Arial" w:hAnsi="Arial"/>
          <w:sz w:val="22"/>
          <w:szCs w:val="22"/>
          <w:color w:val="auto"/>
        </w:rPr>
        <w:t>Each Indemnified Party will take and will procure that its Affiliates take all such reasonable steps and action as are necessary or as the Indemnifying Party may reasonably require in order to mitigate any Claims (or potential losses or damages) under this Article VIII. Nothing in this Agreement will or will be deemed to relieve any Party of any common law or other duty to mitigate any losses incurred by it.</w:t>
      </w:r>
    </w:p>
    <w:p>
      <w:pPr>
        <w:spacing w:after="0" w:line="125" w:lineRule="exact"/>
        <w:rPr>
          <w:sz w:val="20"/>
          <w:szCs w:val="20"/>
          <w:color w:val="auto"/>
        </w:rPr>
      </w:pPr>
    </w:p>
    <w:p>
      <w:pPr>
        <w:spacing w:after="0"/>
        <w:tabs>
          <w:tab w:leader="none" w:pos="1640" w:val="left"/>
        </w:tabs>
        <w:rPr>
          <w:sz w:val="20"/>
          <w:szCs w:val="20"/>
          <w:color w:val="auto"/>
        </w:rPr>
      </w:pPr>
      <w:r>
        <w:rPr>
          <w:rFonts w:ascii="Arial" w:cs="Arial" w:eastAsia="Arial" w:hAnsi="Arial"/>
          <w:sz w:val="22"/>
          <w:szCs w:val="22"/>
          <w:b w:val="1"/>
          <w:bCs w:val="1"/>
          <w:color w:val="auto"/>
        </w:rPr>
        <w:t>Section 8.5</w:t>
      </w:r>
      <w:r>
        <w:rPr>
          <w:sz w:val="20"/>
          <w:szCs w:val="20"/>
          <w:color w:val="auto"/>
        </w:rPr>
        <w:tab/>
      </w:r>
      <w:r>
        <w:rPr>
          <w:rFonts w:ascii="Arial" w:cs="Arial" w:eastAsia="Arial" w:hAnsi="Arial"/>
          <w:sz w:val="19"/>
          <w:szCs w:val="19"/>
          <w:b w:val="1"/>
          <w:bCs w:val="1"/>
          <w:color w:val="auto"/>
        </w:rPr>
        <w:t>Special, Indirect and Other Losses.</w:t>
      </w:r>
    </w:p>
    <w:p>
      <w:pPr>
        <w:spacing w:after="0" w:line="158" w:lineRule="exact"/>
        <w:rPr>
          <w:sz w:val="20"/>
          <w:szCs w:val="20"/>
          <w:color w:val="auto"/>
        </w:rPr>
      </w:pPr>
    </w:p>
    <w:p>
      <w:pPr>
        <w:ind w:right="40" w:firstLine="877"/>
        <w:spacing w:after="0" w:line="277" w:lineRule="auto"/>
        <w:rPr>
          <w:sz w:val="20"/>
          <w:szCs w:val="20"/>
          <w:color w:val="auto"/>
        </w:rPr>
      </w:pPr>
      <w:r>
        <w:rPr>
          <w:rFonts w:ascii="Arial" w:cs="Arial" w:eastAsia="Arial" w:hAnsi="Arial"/>
          <w:sz w:val="19"/>
          <w:szCs w:val="19"/>
          <w:i w:val="1"/>
          <w:iCs w:val="1"/>
          <w:color w:val="auto"/>
        </w:rPr>
        <w:t>NEITHER PARTY NOR ANY OF ITS AFFILIATES SHALL BE LIABLE IN CONTRACT, TORT, NEGLIGENCE BREACH OF STATUTORY DUTY OR OTHERWISE FOR ANY SPECIAL, INDIRECT, INCIDENTAL, PUNITIVE OR CONSEQUENTIAL DAMAGES OR FOR ANY ECONOMIC LOSS OR LOSS OF PROFITS SUFFERED BY THE OTHER PARTY, EXCEPT TO THE EXTENT ANY SUCH DAMAGES (A) ARE REQUIRED TO BE PAID TO A THIRD PARTY AS PART OF A CLAIM FOR WHICH A PARTY PROVIDES INDEMNIFICATION UNDER THIS ARTICLE VIII; (B) ARISE FROM A PARTY’S GROSS NEGLIGENCE OR WILLFUL MISCONDUCT; OR (C) RELATE TO THE MISAPPROPRIATION OF A PARTY’S INTELLECTUAL PROPERTY RIGHTS OR THE DISCLOSURE OF A PARTY’S CONFIDENTIAL INFORMATION IN VIOLATION OF ARTICLE VI.</w:t>
      </w:r>
    </w:p>
    <w:p>
      <w:pPr>
        <w:spacing w:after="0" w:line="93" w:lineRule="exact"/>
        <w:rPr>
          <w:sz w:val="20"/>
          <w:szCs w:val="20"/>
          <w:color w:val="auto"/>
        </w:rPr>
      </w:pPr>
    </w:p>
    <w:p>
      <w:pPr>
        <w:spacing w:after="0"/>
        <w:tabs>
          <w:tab w:leader="none" w:pos="1640" w:val="left"/>
        </w:tabs>
        <w:rPr>
          <w:sz w:val="20"/>
          <w:szCs w:val="20"/>
          <w:color w:val="auto"/>
        </w:rPr>
      </w:pPr>
      <w:r>
        <w:rPr>
          <w:rFonts w:ascii="Arial" w:cs="Arial" w:eastAsia="Arial" w:hAnsi="Arial"/>
          <w:sz w:val="22"/>
          <w:szCs w:val="22"/>
          <w:b w:val="1"/>
          <w:bCs w:val="1"/>
          <w:color w:val="auto"/>
        </w:rPr>
        <w:t>Section 8.6</w:t>
      </w:r>
      <w:r>
        <w:rPr>
          <w:sz w:val="20"/>
          <w:szCs w:val="20"/>
          <w:color w:val="auto"/>
        </w:rPr>
        <w:tab/>
      </w:r>
      <w:r>
        <w:rPr>
          <w:rFonts w:ascii="Arial" w:cs="Arial" w:eastAsia="Arial" w:hAnsi="Arial"/>
          <w:sz w:val="19"/>
          <w:szCs w:val="19"/>
          <w:b w:val="1"/>
          <w:bCs w:val="1"/>
          <w:color w:val="auto"/>
        </w:rPr>
        <w:t>No Exclusion.</w:t>
      </w:r>
    </w:p>
    <w:p>
      <w:pPr>
        <w:spacing w:after="0" w:line="158" w:lineRule="exact"/>
        <w:rPr>
          <w:sz w:val="20"/>
          <w:szCs w:val="20"/>
          <w:color w:val="auto"/>
        </w:rPr>
      </w:pPr>
    </w:p>
    <w:p>
      <w:pPr>
        <w:ind w:right="160" w:firstLine="877"/>
        <w:spacing w:after="0" w:line="251" w:lineRule="auto"/>
        <w:rPr>
          <w:sz w:val="20"/>
          <w:szCs w:val="20"/>
          <w:color w:val="auto"/>
        </w:rPr>
      </w:pPr>
      <w:r>
        <w:rPr>
          <w:rFonts w:ascii="Arial" w:cs="Arial" w:eastAsia="Arial" w:hAnsi="Arial"/>
          <w:sz w:val="22"/>
          <w:szCs w:val="22"/>
          <w:color w:val="auto"/>
        </w:rPr>
        <w:t>Neither Party excludes any liability for death or personal injury caused by its negligence or that of its employees, agents or sub-contractors.</w:t>
      </w:r>
    </w:p>
    <w:p>
      <w:pPr>
        <w:spacing w:after="0" w:line="200" w:lineRule="exact"/>
        <w:rPr>
          <w:sz w:val="20"/>
          <w:szCs w:val="20"/>
          <w:color w:val="auto"/>
        </w:rPr>
      </w:pPr>
    </w:p>
    <w:p>
      <w:pPr>
        <w:spacing w:after="0" w:line="3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8" w:name="page109"/>
    <w:bookmarkEnd w:id="108"/>
    <w:p>
      <w:pPr>
        <w:ind w:left="9560"/>
        <w:spacing w:after="0"/>
        <w:rPr>
          <w:sz w:val="20"/>
          <w:szCs w:val="20"/>
          <w:color w:val="auto"/>
        </w:rPr>
      </w:pPr>
      <w:r>
        <w:rPr>
          <w:rFonts w:ascii="Arial" w:cs="Arial" w:eastAsia="Arial" w:hAnsi="Arial"/>
          <w:sz w:val="19"/>
          <w:szCs w:val="19"/>
          <w:color w:val="auto"/>
        </w:rPr>
        <w:t>EXECUTION COPY</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IX</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DISPUTE RESOLUTION</w:t>
      </w:r>
    </w:p>
    <w:p>
      <w:pPr>
        <w:spacing w:after="0" w:line="128" w:lineRule="exact"/>
        <w:rPr>
          <w:sz w:val="20"/>
          <w:szCs w:val="20"/>
          <w:color w:val="auto"/>
        </w:rPr>
      </w:pPr>
    </w:p>
    <w:p>
      <w:pPr>
        <w:spacing w:after="0"/>
        <w:tabs>
          <w:tab w:leader="none" w:pos="1640" w:val="left"/>
        </w:tabs>
        <w:rPr>
          <w:sz w:val="20"/>
          <w:szCs w:val="20"/>
          <w:color w:val="auto"/>
        </w:rPr>
      </w:pPr>
      <w:r>
        <w:rPr>
          <w:rFonts w:ascii="Arial" w:cs="Arial" w:eastAsia="Arial" w:hAnsi="Arial"/>
          <w:sz w:val="22"/>
          <w:szCs w:val="22"/>
          <w:b w:val="1"/>
          <w:bCs w:val="1"/>
          <w:color w:val="auto"/>
        </w:rPr>
        <w:t>Section 9.1</w:t>
      </w:r>
      <w:r>
        <w:rPr>
          <w:sz w:val="20"/>
          <w:szCs w:val="20"/>
          <w:color w:val="auto"/>
        </w:rPr>
        <w:tab/>
      </w:r>
      <w:r>
        <w:rPr>
          <w:rFonts w:ascii="Arial" w:cs="Arial" w:eastAsia="Arial" w:hAnsi="Arial"/>
          <w:sz w:val="19"/>
          <w:szCs w:val="19"/>
          <w:b w:val="1"/>
          <w:bCs w:val="1"/>
          <w:color w:val="auto"/>
        </w:rPr>
        <w:t>Informal.</w:t>
      </w:r>
    </w:p>
    <w:p>
      <w:pPr>
        <w:spacing w:after="0" w:line="158" w:lineRule="exact"/>
        <w:rPr>
          <w:sz w:val="20"/>
          <w:szCs w:val="20"/>
          <w:color w:val="auto"/>
        </w:rPr>
      </w:pPr>
    </w:p>
    <w:p>
      <w:pPr>
        <w:ind w:right="40" w:firstLine="877"/>
        <w:spacing w:after="0" w:line="279" w:lineRule="auto"/>
        <w:rPr>
          <w:sz w:val="20"/>
          <w:szCs w:val="20"/>
          <w:color w:val="auto"/>
        </w:rPr>
      </w:pPr>
      <w:r>
        <w:rPr>
          <w:rFonts w:ascii="Arial" w:cs="Arial" w:eastAsia="Arial" w:hAnsi="Arial"/>
          <w:sz w:val="19"/>
          <w:szCs w:val="19"/>
          <w:color w:val="auto"/>
        </w:rPr>
        <w:t>In the event of a dispute under this Agreement for which resolution is not expressly provided in this Agreement, the Parties will refer the dispute to the Alliance Managers for discussion and resolution. If the Alliance Managers are unable to resolve such a dispute within [**] days of the dispute being referred to them, either Party may require that the Parties forward the matter to the Senior Officers (or such other individuals as may be mutually agreed upon by the Senior Officers), who will attempt in good faith to resolve such dispute. If the Senior Officers cannot resolve such dispute within [**] days of the matter being referred to them, either Party will be free to initiate the arbitration proceedings outlined in Section 9.2 below.</w:t>
      </w:r>
    </w:p>
    <w:p>
      <w:pPr>
        <w:spacing w:after="0" w:line="91" w:lineRule="exact"/>
        <w:rPr>
          <w:sz w:val="20"/>
          <w:szCs w:val="20"/>
          <w:color w:val="auto"/>
        </w:rPr>
      </w:pPr>
    </w:p>
    <w:p>
      <w:pPr>
        <w:spacing w:after="0"/>
        <w:tabs>
          <w:tab w:leader="none" w:pos="1640" w:val="left"/>
        </w:tabs>
        <w:rPr>
          <w:sz w:val="20"/>
          <w:szCs w:val="20"/>
          <w:color w:val="auto"/>
        </w:rPr>
      </w:pPr>
      <w:r>
        <w:rPr>
          <w:rFonts w:ascii="Arial" w:cs="Arial" w:eastAsia="Arial" w:hAnsi="Arial"/>
          <w:sz w:val="22"/>
          <w:szCs w:val="22"/>
          <w:b w:val="1"/>
          <w:bCs w:val="1"/>
          <w:color w:val="auto"/>
        </w:rPr>
        <w:t>Section 9.2</w:t>
      </w:r>
      <w:r>
        <w:rPr>
          <w:sz w:val="20"/>
          <w:szCs w:val="20"/>
          <w:color w:val="auto"/>
        </w:rPr>
        <w:tab/>
      </w:r>
      <w:r>
        <w:rPr>
          <w:rFonts w:ascii="Arial" w:cs="Arial" w:eastAsia="Arial" w:hAnsi="Arial"/>
          <w:sz w:val="19"/>
          <w:szCs w:val="19"/>
          <w:b w:val="1"/>
          <w:bCs w:val="1"/>
          <w:color w:val="auto"/>
        </w:rPr>
        <w:t>Arbitration.</w:t>
      </w:r>
    </w:p>
    <w:p>
      <w:pPr>
        <w:spacing w:after="0" w:line="152" w:lineRule="exact"/>
        <w:rPr>
          <w:sz w:val="20"/>
          <w:szCs w:val="20"/>
          <w:color w:val="auto"/>
        </w:rPr>
      </w:pPr>
    </w:p>
    <w:p>
      <w:pPr>
        <w:ind w:right="140" w:firstLine="877"/>
        <w:spacing w:after="0" w:line="254" w:lineRule="auto"/>
        <w:rPr>
          <w:sz w:val="20"/>
          <w:szCs w:val="20"/>
          <w:color w:val="auto"/>
        </w:rPr>
      </w:pPr>
      <w:r>
        <w:rPr>
          <w:rFonts w:ascii="Arial" w:cs="Arial" w:eastAsia="Arial" w:hAnsi="Arial"/>
          <w:sz w:val="21"/>
          <w:szCs w:val="21"/>
          <w:b w:val="1"/>
          <w:bCs w:val="1"/>
          <w:color w:val="auto"/>
        </w:rPr>
        <w:t xml:space="preserve">9.2.1 Invoking Arbitration. </w:t>
      </w:r>
      <w:r>
        <w:rPr>
          <w:rFonts w:ascii="Arial" w:cs="Arial" w:eastAsia="Arial" w:hAnsi="Arial"/>
          <w:sz w:val="21"/>
          <w:szCs w:val="21"/>
          <w:color w:val="auto"/>
        </w:rPr>
        <w:t>All unresolved disputes between the Parties relating to, arising out of or in any way</w:t>
      </w:r>
      <w:r>
        <w:rPr>
          <w:rFonts w:ascii="Arial" w:cs="Arial" w:eastAsia="Arial" w:hAnsi="Arial"/>
          <w:sz w:val="21"/>
          <w:szCs w:val="21"/>
          <w:b w:val="1"/>
          <w:bCs w:val="1"/>
          <w:color w:val="auto"/>
        </w:rPr>
        <w:t xml:space="preserve"> </w:t>
      </w:r>
      <w:r>
        <w:rPr>
          <w:rFonts w:ascii="Arial" w:cs="Arial" w:eastAsia="Arial" w:hAnsi="Arial"/>
          <w:sz w:val="21"/>
          <w:szCs w:val="21"/>
          <w:color w:val="auto"/>
        </w:rPr>
        <w:t>connected with this Agreement or any term or condition hereof, or the performance by either Party of its obligations hereunder, whether before or after termination of this Agreement, will be resolved by final and binding arbitration. Whenever a Party will decide to institute arbitration proceedings, it will give written notice to that effect to the other Party.</w:t>
      </w:r>
    </w:p>
    <w:p>
      <w:pPr>
        <w:spacing w:after="0" w:line="112" w:lineRule="exact"/>
        <w:rPr>
          <w:sz w:val="20"/>
          <w:szCs w:val="20"/>
          <w:color w:val="auto"/>
        </w:rPr>
      </w:pPr>
    </w:p>
    <w:p>
      <w:pPr>
        <w:ind w:right="140" w:firstLine="877"/>
        <w:spacing w:after="0" w:line="235" w:lineRule="auto"/>
        <w:rPr>
          <w:sz w:val="20"/>
          <w:szCs w:val="20"/>
          <w:color w:val="auto"/>
        </w:rPr>
      </w:pPr>
      <w:r>
        <w:rPr>
          <w:rFonts w:ascii="Arial" w:cs="Arial" w:eastAsia="Arial" w:hAnsi="Arial"/>
          <w:sz w:val="22"/>
          <w:szCs w:val="22"/>
          <w:b w:val="1"/>
          <w:bCs w:val="1"/>
          <w:color w:val="auto"/>
        </w:rPr>
        <w:t xml:space="preserve">9.2.2 Process of Arbitration. </w:t>
      </w:r>
      <w:r>
        <w:rPr>
          <w:rFonts w:ascii="Arial" w:cs="Arial" w:eastAsia="Arial" w:hAnsi="Arial"/>
          <w:sz w:val="22"/>
          <w:szCs w:val="22"/>
          <w:color w:val="auto"/>
        </w:rPr>
        <w:t>Arbitration will be held in New York, New York, USA, according to the</w:t>
      </w:r>
      <w:r>
        <w:rPr>
          <w:rFonts w:ascii="Arial" w:cs="Arial" w:eastAsia="Arial" w:hAnsi="Arial"/>
          <w:sz w:val="22"/>
          <w:szCs w:val="22"/>
          <w:b w:val="1"/>
          <w:bCs w:val="1"/>
          <w:color w:val="auto"/>
        </w:rPr>
        <w:t xml:space="preserve"> </w:t>
      </w:r>
      <w:r>
        <w:rPr>
          <w:rFonts w:ascii="Arial" w:cs="Arial" w:eastAsia="Arial" w:hAnsi="Arial"/>
          <w:sz w:val="22"/>
          <w:szCs w:val="22"/>
          <w:color w:val="auto"/>
        </w:rPr>
        <w:t>commercial rules of the International Chamber of Commerce (“</w:t>
      </w:r>
      <w:r>
        <w:rPr>
          <w:rFonts w:ascii="Arial" w:cs="Arial" w:eastAsia="Arial" w:hAnsi="Arial"/>
          <w:sz w:val="22"/>
          <w:szCs w:val="22"/>
          <w:u w:val="single" w:color="auto"/>
          <w:color w:val="auto"/>
        </w:rPr>
        <w:t>ICC</w:t>
      </w:r>
      <w:r>
        <w:rPr>
          <w:rFonts w:ascii="Arial" w:cs="Arial" w:eastAsia="Arial" w:hAnsi="Arial"/>
          <w:sz w:val="22"/>
          <w:szCs w:val="22"/>
          <w:color w:val="auto"/>
        </w:rPr>
        <w:t>”). The arbitration will be conducted by a panel of three arbitrators appointed in accordance with ICC rules; provided that each Party will within [**] days after the institution of the arbitration proceedings appoint an arbitrator, and such arbitrators will together, within [**] days, select a third arbitrator as the chairman of the arbitration panel. Each arbitrator will have significant experience in the biotechnology business. If the two initial arbitrators are unable to select a third arbitrator within such [**] day period, the third arbitrator will be appointed in accordance with ICC rules.</w:t>
      </w:r>
    </w:p>
    <w:p>
      <w:pPr>
        <w:spacing w:after="0" w:line="130" w:lineRule="exact"/>
        <w:rPr>
          <w:sz w:val="20"/>
          <w:szCs w:val="20"/>
          <w:color w:val="auto"/>
        </w:rPr>
      </w:pPr>
    </w:p>
    <w:p>
      <w:pPr>
        <w:ind w:right="140" w:firstLine="877"/>
        <w:spacing w:after="0" w:line="249" w:lineRule="auto"/>
        <w:rPr>
          <w:sz w:val="20"/>
          <w:szCs w:val="20"/>
          <w:color w:val="auto"/>
        </w:rPr>
      </w:pPr>
      <w:r>
        <w:rPr>
          <w:rFonts w:ascii="Arial" w:cs="Arial" w:eastAsia="Arial" w:hAnsi="Arial"/>
          <w:sz w:val="21"/>
          <w:szCs w:val="21"/>
          <w:b w:val="1"/>
          <w:bCs w:val="1"/>
          <w:color w:val="auto"/>
        </w:rPr>
        <w:t xml:space="preserve">9.2.3 Arbitration Hearing and Award. </w:t>
      </w:r>
      <w:r>
        <w:rPr>
          <w:rFonts w:ascii="Arial" w:cs="Arial" w:eastAsia="Arial" w:hAnsi="Arial"/>
          <w:sz w:val="21"/>
          <w:szCs w:val="21"/>
          <w:color w:val="auto"/>
        </w:rPr>
        <w:t>The arbitrators will render their opinion within [**] days of the final</w:t>
      </w:r>
      <w:r>
        <w:rPr>
          <w:rFonts w:ascii="Arial" w:cs="Arial" w:eastAsia="Arial" w:hAnsi="Arial"/>
          <w:sz w:val="21"/>
          <w:szCs w:val="21"/>
          <w:b w:val="1"/>
          <w:bCs w:val="1"/>
          <w:color w:val="auto"/>
        </w:rPr>
        <w:t xml:space="preserve"> </w:t>
      </w:r>
      <w:r>
        <w:rPr>
          <w:rFonts w:ascii="Arial" w:cs="Arial" w:eastAsia="Arial" w:hAnsi="Arial"/>
          <w:sz w:val="21"/>
          <w:szCs w:val="21"/>
          <w:color w:val="auto"/>
        </w:rPr>
        <w:t>arbitration hearing. No arbitrator (nor the panel of arbitrators) will have the power to award punitive damages under this Agreement and such award is expressly prohibited. Decisions of the panel of arbitrators will be final and binding on the Parties. Judgment on the award so rendered may be entered in any court of competent jurisdiction. The Parties intend that each award rendered by the arbitration hereunder shall be entitled to recognition and enforcement under the United Nations Convention on the Recognition and Enforcement of Arbitral Awards (New York, 1958).</w:t>
      </w: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9" w:name="page110"/>
    <w:bookmarkEnd w:id="109"/>
    <w:p>
      <w:pPr>
        <w:ind w:left="9560"/>
        <w:spacing w:after="0"/>
        <w:rPr>
          <w:sz w:val="20"/>
          <w:szCs w:val="20"/>
          <w:color w:val="auto"/>
        </w:rPr>
      </w:pPr>
      <w:r>
        <w:rPr>
          <w:rFonts w:ascii="Arial" w:cs="Arial" w:eastAsia="Arial" w:hAnsi="Arial"/>
          <w:sz w:val="19"/>
          <w:szCs w:val="19"/>
          <w:color w:val="auto"/>
        </w:rPr>
        <w:t>EXECUTION COPY</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 RIGHT TO TERMINATE; EFFECT OF TERMINATION OR EXPIRATION</w:t>
      </w:r>
    </w:p>
    <w:p>
      <w:pPr>
        <w:spacing w:after="0" w:line="128" w:lineRule="exact"/>
        <w:rPr>
          <w:sz w:val="20"/>
          <w:szCs w:val="20"/>
          <w:color w:val="auto"/>
        </w:rPr>
      </w:pPr>
    </w:p>
    <w:p>
      <w:pPr>
        <w:spacing w:after="0"/>
        <w:tabs>
          <w:tab w:leader="none" w:pos="1740" w:val="left"/>
        </w:tabs>
        <w:rPr>
          <w:sz w:val="20"/>
          <w:szCs w:val="20"/>
          <w:color w:val="auto"/>
        </w:rPr>
      </w:pPr>
      <w:r>
        <w:rPr>
          <w:rFonts w:ascii="Arial" w:cs="Arial" w:eastAsia="Arial" w:hAnsi="Arial"/>
          <w:sz w:val="22"/>
          <w:szCs w:val="22"/>
          <w:b w:val="1"/>
          <w:bCs w:val="1"/>
          <w:color w:val="auto"/>
        </w:rPr>
        <w:t>Section 10.1</w:t>
      </w:r>
      <w:r>
        <w:rPr>
          <w:sz w:val="20"/>
          <w:szCs w:val="20"/>
          <w:color w:val="auto"/>
        </w:rPr>
        <w:tab/>
      </w:r>
      <w:r>
        <w:rPr>
          <w:rFonts w:ascii="Arial" w:cs="Arial" w:eastAsia="Arial" w:hAnsi="Arial"/>
          <w:sz w:val="19"/>
          <w:szCs w:val="19"/>
          <w:b w:val="1"/>
          <w:bCs w:val="1"/>
          <w:color w:val="auto"/>
        </w:rPr>
        <w:t>Term; Expiration.</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9"/>
          <w:szCs w:val="19"/>
          <w:color w:val="auto"/>
        </w:rPr>
        <w:t>The term of this Agreement (the “</w:t>
      </w:r>
      <w:r>
        <w:rPr>
          <w:rFonts w:ascii="Arial" w:cs="Arial" w:eastAsia="Arial" w:hAnsi="Arial"/>
          <w:sz w:val="19"/>
          <w:szCs w:val="19"/>
          <w:u w:val="single" w:color="auto"/>
          <w:color w:val="auto"/>
        </w:rPr>
        <w:t>Agreement Term</w:t>
      </w:r>
      <w:r>
        <w:rPr>
          <w:rFonts w:ascii="Arial" w:cs="Arial" w:eastAsia="Arial" w:hAnsi="Arial"/>
          <w:sz w:val="19"/>
          <w:szCs w:val="19"/>
          <w:color w:val="auto"/>
        </w:rPr>
        <w:t>”) will commence upon the Effective Date and expire on the later of</w:t>
      </w:r>
    </w:p>
    <w:p>
      <w:pPr>
        <w:spacing w:after="0" w:line="187" w:lineRule="exact"/>
        <w:rPr>
          <w:sz w:val="20"/>
          <w:szCs w:val="20"/>
          <w:color w:val="auto"/>
        </w:rPr>
      </w:pPr>
    </w:p>
    <w:p>
      <w:pPr>
        <w:ind w:left="880" w:right="440" w:firstLine="816"/>
        <w:spacing w:after="0" w:line="251" w:lineRule="auto"/>
        <w:tabs>
          <w:tab w:leader="none" w:pos="2644" w:val="left"/>
        </w:tabs>
        <w:numPr>
          <w:ilvl w:val="0"/>
          <w:numId w:val="117"/>
        </w:numPr>
        <w:rPr>
          <w:rFonts w:ascii="Arial" w:cs="Arial" w:eastAsia="Arial" w:hAnsi="Arial"/>
          <w:sz w:val="22"/>
          <w:szCs w:val="22"/>
          <w:b w:val="1"/>
          <w:bCs w:val="1"/>
          <w:color w:val="auto"/>
        </w:rPr>
      </w:pPr>
      <w:r>
        <w:rPr>
          <w:rFonts w:ascii="Arial" w:cs="Arial" w:eastAsia="Arial" w:hAnsi="Arial"/>
          <w:sz w:val="22"/>
          <w:szCs w:val="22"/>
          <w:color w:val="auto"/>
        </w:rPr>
        <w:t>the expiry of the last to expire Royalty Term, if Novartis has delivered (or is deemed pursuant to Section 3.2.2 to have delivered) a Commercial License Practice Notice to Cerulean; or</w:t>
      </w:r>
    </w:p>
    <w:p>
      <w:pPr>
        <w:spacing w:after="0" w:line="119" w:lineRule="exact"/>
        <w:rPr>
          <w:rFonts w:ascii="Arial" w:cs="Arial" w:eastAsia="Arial" w:hAnsi="Arial"/>
          <w:sz w:val="22"/>
          <w:szCs w:val="22"/>
          <w:b w:val="1"/>
          <w:bCs w:val="1"/>
          <w:color w:val="auto"/>
        </w:rPr>
      </w:pPr>
    </w:p>
    <w:p>
      <w:pPr>
        <w:ind w:left="880" w:right="40" w:firstLine="816"/>
        <w:spacing w:after="0"/>
        <w:tabs>
          <w:tab w:leader="none" w:pos="2602" w:val="left"/>
        </w:tabs>
        <w:numPr>
          <w:ilvl w:val="0"/>
          <w:numId w:val="117"/>
        </w:numPr>
        <w:rPr>
          <w:rFonts w:ascii="Arial" w:cs="Arial" w:eastAsia="Arial" w:hAnsi="Arial"/>
          <w:sz w:val="22"/>
          <w:szCs w:val="22"/>
          <w:b w:val="1"/>
          <w:bCs w:val="1"/>
          <w:color w:val="auto"/>
        </w:rPr>
      </w:pPr>
      <w:r>
        <w:rPr>
          <w:rFonts w:ascii="Arial" w:cs="Arial" w:eastAsia="Arial" w:hAnsi="Arial"/>
          <w:sz w:val="22"/>
          <w:szCs w:val="22"/>
          <w:color w:val="auto"/>
        </w:rPr>
        <w:t>the expiry of the last to expire Contingent Development Term, if Novartis does not deliver (and is not deemed pursuant to Section 3.2.2 to have delivered) a Commercial License Practice Notice with respect to any Program during any Contingent Development Term.</w:t>
      </w:r>
    </w:p>
    <w:p>
      <w:pPr>
        <w:spacing w:after="0" w:line="126" w:lineRule="exact"/>
        <w:rPr>
          <w:sz w:val="20"/>
          <w:szCs w:val="20"/>
          <w:color w:val="auto"/>
        </w:rPr>
      </w:pPr>
    </w:p>
    <w:p>
      <w:pPr>
        <w:spacing w:after="0"/>
        <w:tabs>
          <w:tab w:leader="none" w:pos="1740" w:val="left"/>
        </w:tabs>
        <w:rPr>
          <w:sz w:val="20"/>
          <w:szCs w:val="20"/>
          <w:color w:val="auto"/>
        </w:rPr>
      </w:pPr>
      <w:r>
        <w:rPr>
          <w:rFonts w:ascii="Arial" w:cs="Arial" w:eastAsia="Arial" w:hAnsi="Arial"/>
          <w:sz w:val="22"/>
          <w:szCs w:val="22"/>
          <w:b w:val="1"/>
          <w:bCs w:val="1"/>
          <w:color w:val="auto"/>
        </w:rPr>
        <w:t>Section 10.2</w:t>
      </w:r>
      <w:r>
        <w:rPr>
          <w:sz w:val="20"/>
          <w:szCs w:val="20"/>
          <w:color w:val="auto"/>
        </w:rPr>
        <w:tab/>
      </w:r>
      <w:r>
        <w:rPr>
          <w:rFonts w:ascii="Arial" w:cs="Arial" w:eastAsia="Arial" w:hAnsi="Arial"/>
          <w:sz w:val="19"/>
          <w:szCs w:val="19"/>
          <w:b w:val="1"/>
          <w:bCs w:val="1"/>
          <w:color w:val="auto"/>
        </w:rPr>
        <w:t>Termination for Cause or Insolvency.</w:t>
      </w:r>
    </w:p>
    <w:p>
      <w:pPr>
        <w:spacing w:after="0" w:line="152" w:lineRule="exact"/>
        <w:rPr>
          <w:sz w:val="20"/>
          <w:szCs w:val="20"/>
          <w:color w:val="auto"/>
        </w:rPr>
      </w:pPr>
    </w:p>
    <w:p>
      <w:pPr>
        <w:ind w:left="880"/>
        <w:spacing w:after="0"/>
        <w:tabs>
          <w:tab w:leader="none" w:pos="2060" w:val="left"/>
        </w:tabs>
        <w:rPr>
          <w:sz w:val="20"/>
          <w:szCs w:val="20"/>
          <w:color w:val="auto"/>
        </w:rPr>
      </w:pPr>
      <w:r>
        <w:rPr>
          <w:rFonts w:ascii="Arial" w:cs="Arial" w:eastAsia="Arial" w:hAnsi="Arial"/>
          <w:sz w:val="22"/>
          <w:szCs w:val="22"/>
          <w:b w:val="1"/>
          <w:bCs w:val="1"/>
          <w:color w:val="auto"/>
        </w:rPr>
        <w:t>10.2.1</w:t>
      </w:r>
      <w:r>
        <w:rPr>
          <w:sz w:val="20"/>
          <w:szCs w:val="20"/>
          <w:color w:val="auto"/>
        </w:rPr>
        <w:tab/>
      </w:r>
      <w:r>
        <w:rPr>
          <w:rFonts w:ascii="Arial" w:cs="Arial" w:eastAsia="Arial" w:hAnsi="Arial"/>
          <w:sz w:val="19"/>
          <w:szCs w:val="19"/>
          <w:b w:val="1"/>
          <w:bCs w:val="1"/>
          <w:color w:val="auto"/>
        </w:rPr>
        <w:t>Material Breach.</w:t>
      </w:r>
    </w:p>
    <w:p>
      <w:pPr>
        <w:spacing w:after="0" w:line="158" w:lineRule="exact"/>
        <w:rPr>
          <w:sz w:val="20"/>
          <w:szCs w:val="20"/>
          <w:color w:val="auto"/>
        </w:rPr>
      </w:pPr>
    </w:p>
    <w:p>
      <w:pPr>
        <w:ind w:left="2600" w:hanging="904"/>
        <w:spacing w:after="0"/>
        <w:tabs>
          <w:tab w:leader="none" w:pos="2600" w:val="left"/>
        </w:tabs>
        <w:numPr>
          <w:ilvl w:val="0"/>
          <w:numId w:val="118"/>
        </w:numPr>
        <w:rPr>
          <w:rFonts w:ascii="Arial" w:cs="Arial" w:eastAsia="Arial" w:hAnsi="Arial"/>
          <w:sz w:val="22"/>
          <w:szCs w:val="22"/>
          <w:b w:val="1"/>
          <w:bCs w:val="1"/>
          <w:color w:val="auto"/>
        </w:rPr>
      </w:pPr>
      <w:r>
        <w:rPr>
          <w:rFonts w:ascii="Arial" w:cs="Arial" w:eastAsia="Arial" w:hAnsi="Arial"/>
          <w:sz w:val="22"/>
          <w:szCs w:val="22"/>
          <w:color w:val="auto"/>
        </w:rPr>
        <w:t>If either Novartis or Cerulean is in material breach of any material obligation hereunder (a</w:t>
      </w:r>
    </w:p>
    <w:p>
      <w:pPr>
        <w:spacing w:after="0" w:line="8" w:lineRule="exact"/>
        <w:rPr>
          <w:sz w:val="20"/>
          <w:szCs w:val="20"/>
          <w:color w:val="auto"/>
        </w:rPr>
      </w:pPr>
    </w:p>
    <w:p>
      <w:pPr>
        <w:ind w:left="880" w:right="20"/>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Breaching Party</w:t>
      </w:r>
      <w:r>
        <w:rPr>
          <w:rFonts w:ascii="Arial" w:cs="Arial" w:eastAsia="Arial" w:hAnsi="Arial"/>
          <w:sz w:val="19"/>
          <w:szCs w:val="19"/>
          <w:color w:val="auto"/>
        </w:rPr>
        <w:t xml:space="preserve">”), the non-breaching Party may give written notice to the breaching Party specifying the claimed particulars of such breach, and in the event such material breach is not cured within 60 days after such notice, the non-breaching Party will have the right thereafter to terminate this Agreement immediately by giving written notice to the Breaching Party to such effect; </w:t>
      </w:r>
      <w:r>
        <w:rPr>
          <w:rFonts w:ascii="Arial" w:cs="Arial" w:eastAsia="Arial" w:hAnsi="Arial"/>
          <w:sz w:val="19"/>
          <w:szCs w:val="19"/>
          <w:i w:val="1"/>
          <w:iCs w:val="1"/>
          <w:color w:val="auto"/>
        </w:rPr>
        <w:t>provided, however</w:t>
      </w:r>
      <w:r>
        <w:rPr>
          <w:rFonts w:ascii="Arial" w:cs="Arial" w:eastAsia="Arial" w:hAnsi="Arial"/>
          <w:sz w:val="19"/>
          <w:szCs w:val="19"/>
          <w:color w:val="auto"/>
        </w:rPr>
        <w:t>, that if such breach is capable of being cured but cannot be cured within such 60 day period and the Breaching Party initiates actions to cure such breach within such period and thereafter diligently pursues such actions, the Breaching Party will have such additional period, not to exceed an additional 60 days, as is reasonable in the circumstances to cure such breach. Notwithstanding any of the foregoing, if the breach relates to the non-payment of monies owed to Cerulean pursuant to Article V, such breach shall constitute a material breach hereunder and the notice and cure period for such material breach shall be no longer than 30 days.</w:t>
      </w:r>
    </w:p>
    <w:p>
      <w:pPr>
        <w:spacing w:after="0" w:line="103" w:lineRule="exact"/>
        <w:rPr>
          <w:sz w:val="20"/>
          <w:szCs w:val="20"/>
          <w:color w:val="auto"/>
        </w:rPr>
      </w:pPr>
    </w:p>
    <w:p>
      <w:pPr>
        <w:ind w:left="880" w:right="220" w:firstLine="816"/>
        <w:spacing w:after="0"/>
        <w:tabs>
          <w:tab w:leader="none" w:pos="2602" w:val="left"/>
        </w:tabs>
        <w:numPr>
          <w:ilvl w:val="0"/>
          <w:numId w:val="119"/>
        </w:numPr>
        <w:rPr>
          <w:rFonts w:ascii="Arial" w:cs="Arial" w:eastAsia="Arial" w:hAnsi="Arial"/>
          <w:sz w:val="22"/>
          <w:szCs w:val="22"/>
          <w:b w:val="1"/>
          <w:bCs w:val="1"/>
          <w:color w:val="auto"/>
        </w:rPr>
      </w:pPr>
      <w:r>
        <w:rPr>
          <w:rFonts w:ascii="Arial" w:cs="Arial" w:eastAsia="Arial" w:hAnsi="Arial"/>
          <w:sz w:val="22"/>
          <w:szCs w:val="22"/>
          <w:color w:val="auto"/>
        </w:rPr>
        <w:t>In the event that arbitration is commenced with respect to any alleged breach hereunder pursuant to Section 9.2, no purported termination of this Agreement pursuant to this Section 10.2.1 will take effect until the resolution of such arbitration.</w:t>
      </w:r>
    </w:p>
    <w:p>
      <w:pPr>
        <w:spacing w:after="0" w:line="132" w:lineRule="exact"/>
        <w:rPr>
          <w:rFonts w:ascii="Arial" w:cs="Arial" w:eastAsia="Arial" w:hAnsi="Arial"/>
          <w:sz w:val="22"/>
          <w:szCs w:val="22"/>
          <w:b w:val="1"/>
          <w:bCs w:val="1"/>
          <w:color w:val="auto"/>
        </w:rPr>
      </w:pPr>
    </w:p>
    <w:p>
      <w:pPr>
        <w:ind w:left="880" w:right="260" w:firstLine="816"/>
        <w:spacing w:after="0" w:line="328" w:lineRule="auto"/>
        <w:tabs>
          <w:tab w:leader="none" w:pos="2578" w:val="left"/>
        </w:tabs>
        <w:numPr>
          <w:ilvl w:val="0"/>
          <w:numId w:val="119"/>
        </w:numPr>
        <w:rPr>
          <w:rFonts w:ascii="Arial" w:cs="Arial" w:eastAsia="Arial" w:hAnsi="Arial"/>
          <w:sz w:val="19"/>
          <w:szCs w:val="19"/>
          <w:b w:val="1"/>
          <w:bCs w:val="1"/>
          <w:color w:val="auto"/>
        </w:rPr>
      </w:pPr>
      <w:r>
        <w:rPr>
          <w:rFonts w:ascii="Arial" w:cs="Arial" w:eastAsia="Arial" w:hAnsi="Arial"/>
          <w:sz w:val="19"/>
          <w:szCs w:val="19"/>
          <w:color w:val="auto"/>
        </w:rPr>
        <w:t>Any termination by any Party under this Section and the effects of termination provided herein will be without prejudice to any damages or other legal or equitable remedies to which it may be entitled.</w:t>
      </w:r>
    </w:p>
    <w:p>
      <w:pPr>
        <w:spacing w:after="0" w:line="45" w:lineRule="exact"/>
        <w:rPr>
          <w:sz w:val="20"/>
          <w:szCs w:val="20"/>
          <w:color w:val="auto"/>
        </w:rPr>
      </w:pPr>
    </w:p>
    <w:p>
      <w:pPr>
        <w:ind w:right="60" w:firstLine="877"/>
        <w:spacing w:after="0" w:line="237" w:lineRule="auto"/>
        <w:rPr>
          <w:sz w:val="20"/>
          <w:szCs w:val="20"/>
          <w:color w:val="auto"/>
        </w:rPr>
      </w:pPr>
      <w:r>
        <w:rPr>
          <w:rFonts w:ascii="Arial" w:cs="Arial" w:eastAsia="Arial" w:hAnsi="Arial"/>
          <w:sz w:val="22"/>
          <w:szCs w:val="22"/>
          <w:b w:val="1"/>
          <w:bCs w:val="1"/>
          <w:color w:val="auto"/>
        </w:rPr>
        <w:t xml:space="preserve">10.2.2 Failure to Advance Programs. </w:t>
      </w:r>
      <w:r>
        <w:rPr>
          <w:rFonts w:ascii="Arial" w:cs="Arial" w:eastAsia="Arial" w:hAnsi="Arial"/>
          <w:sz w:val="22"/>
          <w:szCs w:val="22"/>
          <w:color w:val="auto"/>
        </w:rPr>
        <w:t>If Cerulean fails to achieve material obligations in one or more</w:t>
      </w:r>
      <w:r>
        <w:rPr>
          <w:rFonts w:ascii="Arial" w:cs="Arial" w:eastAsia="Arial" w:hAnsi="Arial"/>
          <w:sz w:val="22"/>
          <w:szCs w:val="22"/>
          <w:b w:val="1"/>
          <w:bCs w:val="1"/>
          <w:color w:val="auto"/>
        </w:rPr>
        <w:t xml:space="preserve"> </w:t>
      </w:r>
      <w:r>
        <w:rPr>
          <w:rFonts w:ascii="Arial" w:cs="Arial" w:eastAsia="Arial" w:hAnsi="Arial"/>
          <w:sz w:val="22"/>
          <w:szCs w:val="22"/>
          <w:color w:val="auto"/>
        </w:rPr>
        <w:t>Program(s) as a result of the loss of key Cerulean scientific personnel, then Novartis may terminate the relevant Research Terms by giving 90 days’ written notice to Cerulean, and unless Cerulean identifies and employs replacement personnel as necessary to complete the tasks assigned to Cerulean in the relevant Research Plan(s) within such 90 day period, the relevant Research Terms will expire at the end of such 90 day period.</w:t>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0" w:name="page111"/>
    <w:bookmarkEnd w:id="110"/>
    <w:p>
      <w:pPr>
        <w:ind w:left="9560"/>
        <w:spacing w:after="0"/>
        <w:rPr>
          <w:sz w:val="20"/>
          <w:szCs w:val="20"/>
          <w:color w:val="auto"/>
        </w:rPr>
      </w:pPr>
      <w:r>
        <w:rPr>
          <w:rFonts w:ascii="Arial" w:cs="Arial" w:eastAsia="Arial" w:hAnsi="Arial"/>
          <w:sz w:val="19"/>
          <w:szCs w:val="19"/>
          <w:color w:val="auto"/>
        </w:rPr>
        <w:t>EXECUTION COPY</w:t>
      </w:r>
    </w:p>
    <w:p>
      <w:pPr>
        <w:spacing w:after="0" w:line="262" w:lineRule="exact"/>
        <w:rPr>
          <w:sz w:val="20"/>
          <w:szCs w:val="20"/>
          <w:color w:val="auto"/>
        </w:rPr>
      </w:pPr>
    </w:p>
    <w:p>
      <w:pPr>
        <w:ind w:left="880"/>
        <w:spacing w:after="0"/>
        <w:tabs>
          <w:tab w:leader="none" w:pos="2060" w:val="left"/>
        </w:tabs>
        <w:rPr>
          <w:sz w:val="20"/>
          <w:szCs w:val="20"/>
          <w:color w:val="auto"/>
        </w:rPr>
      </w:pPr>
      <w:r>
        <w:rPr>
          <w:rFonts w:ascii="Arial" w:cs="Arial" w:eastAsia="Arial" w:hAnsi="Arial"/>
          <w:sz w:val="22"/>
          <w:szCs w:val="22"/>
          <w:b w:val="1"/>
          <w:bCs w:val="1"/>
          <w:color w:val="auto"/>
        </w:rPr>
        <w:t>10.2.3</w:t>
      </w:r>
      <w:r>
        <w:rPr>
          <w:sz w:val="20"/>
          <w:szCs w:val="20"/>
          <w:color w:val="auto"/>
        </w:rPr>
        <w:tab/>
      </w:r>
      <w:r>
        <w:rPr>
          <w:rFonts w:ascii="Arial" w:cs="Arial" w:eastAsia="Arial" w:hAnsi="Arial"/>
          <w:sz w:val="19"/>
          <w:szCs w:val="19"/>
          <w:b w:val="1"/>
          <w:bCs w:val="1"/>
          <w:color w:val="auto"/>
        </w:rPr>
        <w:t>Insolvency; Bankruptcy.</w:t>
      </w:r>
    </w:p>
    <w:p>
      <w:pPr>
        <w:spacing w:after="0" w:line="158" w:lineRule="exact"/>
        <w:rPr>
          <w:sz w:val="20"/>
          <w:szCs w:val="20"/>
          <w:color w:val="auto"/>
        </w:rPr>
      </w:pPr>
    </w:p>
    <w:p>
      <w:pPr>
        <w:ind w:left="880" w:right="60" w:firstLine="816"/>
        <w:spacing w:after="0" w:line="238" w:lineRule="auto"/>
        <w:tabs>
          <w:tab w:leader="none" w:pos="2590" w:val="left"/>
        </w:tabs>
        <w:numPr>
          <w:ilvl w:val="0"/>
          <w:numId w:val="120"/>
        </w:numPr>
        <w:rPr>
          <w:rFonts w:ascii="Arial" w:cs="Arial" w:eastAsia="Arial" w:hAnsi="Arial"/>
          <w:sz w:val="22"/>
          <w:szCs w:val="22"/>
          <w:b w:val="1"/>
          <w:bCs w:val="1"/>
          <w:color w:val="auto"/>
        </w:rPr>
      </w:pPr>
      <w:r>
        <w:rPr>
          <w:rFonts w:ascii="Arial" w:cs="Arial" w:eastAsia="Arial" w:hAnsi="Arial"/>
          <w:sz w:val="22"/>
          <w:szCs w:val="22"/>
          <w:color w:val="auto"/>
        </w:rPr>
        <w:t>Either Cerulean or Novartis may terminate this Agreement without notice if an Insolvency Event occurs in relation to the other Party unless, within ninety (90) days following the commencement of the Insolvency Event, such other Party elects to continue to perform all of its obligations under this Agreement and obtains any requisite court approval for such election.</w:t>
      </w:r>
    </w:p>
    <w:p>
      <w:pPr>
        <w:spacing w:after="0" w:line="131" w:lineRule="exact"/>
        <w:rPr>
          <w:rFonts w:ascii="Arial" w:cs="Arial" w:eastAsia="Arial" w:hAnsi="Arial"/>
          <w:sz w:val="22"/>
          <w:szCs w:val="22"/>
          <w:b w:val="1"/>
          <w:bCs w:val="1"/>
          <w:color w:val="auto"/>
        </w:rPr>
      </w:pPr>
    </w:p>
    <w:p>
      <w:pPr>
        <w:ind w:left="880" w:right="80" w:firstLine="816"/>
        <w:spacing w:after="0" w:line="243" w:lineRule="auto"/>
        <w:tabs>
          <w:tab w:leader="none" w:pos="2602" w:val="left"/>
        </w:tabs>
        <w:numPr>
          <w:ilvl w:val="0"/>
          <w:numId w:val="120"/>
        </w:numPr>
        <w:rPr>
          <w:rFonts w:ascii="Arial" w:cs="Arial" w:eastAsia="Arial" w:hAnsi="Arial"/>
          <w:sz w:val="21"/>
          <w:szCs w:val="21"/>
          <w:b w:val="1"/>
          <w:bCs w:val="1"/>
          <w:color w:val="auto"/>
        </w:rPr>
      </w:pPr>
      <w:r>
        <w:rPr>
          <w:rFonts w:ascii="Arial" w:cs="Arial" w:eastAsia="Arial" w:hAnsi="Arial"/>
          <w:sz w:val="21"/>
          <w:szCs w:val="21"/>
          <w:color w:val="auto"/>
        </w:rPr>
        <w:t>The Parties acknowledge that this Agreement (in particular Sections 3.1 and Section 3.2) constitutes an executory contract under Section 365 of the Bankruptcy Code for the license of “intellectual property” as defined under Section 101 of the Bankruptcy Code and constitutes a license of “intellectual property” for purposes of any similar laws in any other country. The Parties further acknowledge that Novartis, as licensee of such rights under this Agreement, will retain and may fully exercise all of its protections, rights and elections under the Bankruptcy Code, including Section 365(n) of the Bankruptcy Code, and any similar laws in any other country. The Parties intend that all payments under this Agreement constitute “royalties” within the meaning of Section 365(n) of the Bankruptcy Code, even if such amounts are described as “fees”, “Development Milestones”, “Approval Milestones”, or “Sales Milestones”. Nothing in this Agreement limits Novartis’ rights under Section 365(n) of the Bankruptcy Code or its analogue elsewhere in the world. Novartis is not in this Agreement making any election under Section 365(n) of the Bankruptcy Code, and any such election must be made with specific reference to Section 365(n) of the Bankruptcy Code (</w:t>
      </w:r>
      <w:r>
        <w:rPr>
          <w:rFonts w:ascii="Arial" w:cs="Arial" w:eastAsia="Arial" w:hAnsi="Arial"/>
          <w:sz w:val="21"/>
          <w:szCs w:val="21"/>
          <w:i w:val="1"/>
          <w:iCs w:val="1"/>
          <w:color w:val="auto"/>
        </w:rPr>
        <w:t>e.g.</w:t>
      </w:r>
      <w:r>
        <w:rPr>
          <w:rFonts w:ascii="Arial" w:cs="Arial" w:eastAsia="Arial" w:hAnsi="Arial"/>
          <w:sz w:val="21"/>
          <w:szCs w:val="21"/>
          <w:color w:val="auto"/>
        </w:rPr>
        <w:t>, no such election may be inferred from Novartis’ activities or communications to the extent they do not specifically reference Section 365(n)). In the event of the commencement of a bankruptcy proceeding by or against Cerulean under the Bankruptcy Code or any similar laws in any other country, Novartis will be entitled to [**], will be promptly delivered to it</w:t>
      </w:r>
    </w:p>
    <w:p>
      <w:pPr>
        <w:spacing w:after="0" w:line="140" w:lineRule="exact"/>
        <w:rPr>
          <w:rFonts w:ascii="Arial" w:cs="Arial" w:eastAsia="Arial" w:hAnsi="Arial"/>
          <w:sz w:val="21"/>
          <w:szCs w:val="21"/>
          <w:b w:val="1"/>
          <w:bCs w:val="1"/>
          <w:color w:val="auto"/>
        </w:rPr>
      </w:pPr>
    </w:p>
    <w:p>
      <w:pPr>
        <w:ind w:left="1760" w:right="40" w:firstLine="746"/>
        <w:spacing w:after="0"/>
        <w:tabs>
          <w:tab w:leader="none" w:pos="3409" w:val="left"/>
        </w:tabs>
        <w:numPr>
          <w:ilvl w:val="1"/>
          <w:numId w:val="120"/>
        </w:numPr>
        <w:rPr>
          <w:rFonts w:ascii="Arial" w:cs="Arial" w:eastAsia="Arial" w:hAnsi="Arial"/>
          <w:sz w:val="22"/>
          <w:szCs w:val="22"/>
          <w:b w:val="1"/>
          <w:bCs w:val="1"/>
          <w:color w:val="auto"/>
        </w:rPr>
      </w:pPr>
      <w:r>
        <w:rPr>
          <w:rFonts w:ascii="Arial" w:cs="Arial" w:eastAsia="Arial" w:hAnsi="Arial"/>
          <w:sz w:val="22"/>
          <w:szCs w:val="22"/>
          <w:color w:val="auto"/>
        </w:rPr>
        <w:t>upon any such commencement of a bankruptcy proceeding upon its written request therefor, unless Cerulean elects to continue to perform all of its obligations under this Agreement and obtains any requisite court approval for such election, or</w:t>
      </w:r>
    </w:p>
    <w:p>
      <w:pPr>
        <w:spacing w:after="0" w:line="132" w:lineRule="exact"/>
        <w:rPr>
          <w:rFonts w:ascii="Arial" w:cs="Arial" w:eastAsia="Arial" w:hAnsi="Arial"/>
          <w:sz w:val="22"/>
          <w:szCs w:val="22"/>
          <w:b w:val="1"/>
          <w:bCs w:val="1"/>
          <w:color w:val="auto"/>
        </w:rPr>
      </w:pPr>
    </w:p>
    <w:p>
      <w:pPr>
        <w:ind w:left="1760" w:right="200" w:firstLine="746"/>
        <w:spacing w:after="0" w:line="251" w:lineRule="auto"/>
        <w:tabs>
          <w:tab w:leader="none" w:pos="3469" w:val="left"/>
        </w:tabs>
        <w:numPr>
          <w:ilvl w:val="1"/>
          <w:numId w:val="120"/>
        </w:numPr>
        <w:rPr>
          <w:rFonts w:ascii="Arial" w:cs="Arial" w:eastAsia="Arial" w:hAnsi="Arial"/>
          <w:sz w:val="22"/>
          <w:szCs w:val="22"/>
          <w:b w:val="1"/>
          <w:bCs w:val="1"/>
          <w:color w:val="auto"/>
        </w:rPr>
      </w:pPr>
      <w:r>
        <w:rPr>
          <w:rFonts w:ascii="Arial" w:cs="Arial" w:eastAsia="Arial" w:hAnsi="Arial"/>
          <w:sz w:val="22"/>
          <w:szCs w:val="22"/>
          <w:color w:val="auto"/>
        </w:rPr>
        <w:t>if not delivered under clause (i) above, following the rejection of this Agreement by or on behalf of Cerulean upon written request therefor by Novartis.</w:t>
      </w:r>
    </w:p>
    <w:p>
      <w:pPr>
        <w:spacing w:after="0" w:line="119" w:lineRule="exact"/>
        <w:rPr>
          <w:rFonts w:ascii="Arial" w:cs="Arial" w:eastAsia="Arial" w:hAnsi="Arial"/>
          <w:sz w:val="22"/>
          <w:szCs w:val="22"/>
          <w:b w:val="1"/>
          <w:bCs w:val="1"/>
          <w:color w:val="auto"/>
        </w:rPr>
      </w:pPr>
    </w:p>
    <w:p>
      <w:pPr>
        <w:ind w:left="880" w:firstLine="816"/>
        <w:spacing w:after="0" w:line="249" w:lineRule="auto"/>
        <w:tabs>
          <w:tab w:leader="none" w:pos="2578" w:val="left"/>
        </w:tabs>
        <w:numPr>
          <w:ilvl w:val="0"/>
          <w:numId w:val="120"/>
        </w:numPr>
        <w:rPr>
          <w:rFonts w:ascii="Arial" w:cs="Arial" w:eastAsia="Arial" w:hAnsi="Arial"/>
          <w:sz w:val="21"/>
          <w:szCs w:val="21"/>
          <w:b w:val="1"/>
          <w:bCs w:val="1"/>
          <w:color w:val="auto"/>
        </w:rPr>
      </w:pPr>
      <w:r>
        <w:rPr>
          <w:rFonts w:ascii="Arial" w:cs="Arial" w:eastAsia="Arial" w:hAnsi="Arial"/>
          <w:sz w:val="21"/>
          <w:szCs w:val="21"/>
          <w:color w:val="auto"/>
        </w:rPr>
        <w:t>In the event of an Insolvency Event in relation to Cerulean, Novartis, in addition to the rights, power and remedies expressly provided herein, will be entitled to exercise all other such rights and powers and resort to all other such remedies as may now or hereafter exist at law or in equity (including, without limitation, under the Bankruptcy Code). The Parties intend the following Novartis rights to extend to the maximum extent permitted by Applicable Law, including, without limitation, for purposes of the Bankruptcy Code:</w:t>
      </w:r>
    </w:p>
    <w:p>
      <w:pPr>
        <w:spacing w:after="0" w:line="125" w:lineRule="exact"/>
        <w:rPr>
          <w:sz w:val="20"/>
          <w:szCs w:val="20"/>
          <w:color w:val="auto"/>
        </w:rPr>
      </w:pPr>
    </w:p>
    <w:p>
      <w:pPr>
        <w:ind w:left="2500"/>
        <w:spacing w:after="0"/>
        <w:rPr>
          <w:sz w:val="20"/>
          <w:szCs w:val="20"/>
          <w:color w:val="auto"/>
        </w:rPr>
      </w:pPr>
      <w:r>
        <w:rPr>
          <w:rFonts w:ascii="Arial" w:cs="Arial" w:eastAsia="Arial" w:hAnsi="Arial"/>
          <w:sz w:val="22"/>
          <w:szCs w:val="22"/>
          <w:color w:val="auto"/>
        </w:rPr>
        <w: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2891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1" w:name="page112"/>
    <w:bookmarkEnd w:id="111"/>
    <w:p>
      <w:pPr>
        <w:ind w:left="9560"/>
        <w:spacing w:after="0"/>
        <w:rPr>
          <w:sz w:val="20"/>
          <w:szCs w:val="20"/>
          <w:color w:val="auto"/>
        </w:rPr>
      </w:pPr>
      <w:r>
        <w:rPr>
          <w:rFonts w:ascii="Arial" w:cs="Arial" w:eastAsia="Arial" w:hAnsi="Arial"/>
          <w:sz w:val="19"/>
          <w:szCs w:val="19"/>
          <w:color w:val="auto"/>
        </w:rPr>
        <w:t>EXECUTION COPY</w:t>
      </w:r>
    </w:p>
    <w:p>
      <w:pPr>
        <w:spacing w:after="0" w:line="268" w:lineRule="exact"/>
        <w:rPr>
          <w:sz w:val="20"/>
          <w:szCs w:val="20"/>
          <w:color w:val="auto"/>
        </w:rPr>
      </w:pPr>
    </w:p>
    <w:p>
      <w:pPr>
        <w:ind w:left="880" w:right="520" w:firstLine="816"/>
        <w:spacing w:after="0" w:line="251" w:lineRule="auto"/>
        <w:tabs>
          <w:tab w:leader="none" w:pos="2602" w:val="left"/>
        </w:tabs>
        <w:numPr>
          <w:ilvl w:val="0"/>
          <w:numId w:val="121"/>
        </w:numPr>
        <w:rPr>
          <w:rFonts w:ascii="Arial" w:cs="Arial" w:eastAsia="Arial" w:hAnsi="Arial"/>
          <w:sz w:val="22"/>
          <w:szCs w:val="22"/>
          <w:b w:val="1"/>
          <w:bCs w:val="1"/>
          <w:color w:val="auto"/>
        </w:rPr>
      </w:pPr>
      <w:r>
        <w:rPr>
          <w:rFonts w:ascii="Arial" w:cs="Arial" w:eastAsia="Arial" w:hAnsi="Arial"/>
          <w:sz w:val="22"/>
          <w:szCs w:val="22"/>
          <w:color w:val="auto"/>
        </w:rPr>
        <w:t>In addition to the rights described in this Section 10.2.3(c), to the maximum extent permitted by Applicable Law, if an Insolvency Event occurs in relation to Cerulean:</w:t>
      </w:r>
    </w:p>
    <w:p>
      <w:pPr>
        <w:spacing w:after="0" w:line="113" w:lineRule="exact"/>
        <w:rPr>
          <w:sz w:val="20"/>
          <w:szCs w:val="20"/>
          <w:color w:val="auto"/>
        </w:rPr>
      </w:pPr>
    </w:p>
    <w:p>
      <w:pPr>
        <w:ind w:left="250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152" w:lineRule="exact"/>
        <w:rPr>
          <w:sz w:val="20"/>
          <w:szCs w:val="20"/>
          <w:color w:val="auto"/>
        </w:rPr>
      </w:pPr>
    </w:p>
    <w:p>
      <w:pPr>
        <w:spacing w:after="0"/>
        <w:tabs>
          <w:tab w:leader="none" w:pos="1740" w:val="left"/>
        </w:tabs>
        <w:rPr>
          <w:sz w:val="20"/>
          <w:szCs w:val="20"/>
          <w:color w:val="auto"/>
        </w:rPr>
      </w:pPr>
      <w:r>
        <w:rPr>
          <w:rFonts w:ascii="Arial" w:cs="Arial" w:eastAsia="Arial" w:hAnsi="Arial"/>
          <w:sz w:val="22"/>
          <w:szCs w:val="22"/>
          <w:b w:val="1"/>
          <w:bCs w:val="1"/>
          <w:color w:val="auto"/>
        </w:rPr>
        <w:t>Section 10.3</w:t>
      </w:r>
      <w:r>
        <w:rPr>
          <w:sz w:val="20"/>
          <w:szCs w:val="20"/>
          <w:color w:val="auto"/>
        </w:rPr>
        <w:tab/>
      </w:r>
      <w:r>
        <w:rPr>
          <w:rFonts w:ascii="Arial" w:cs="Arial" w:eastAsia="Arial" w:hAnsi="Arial"/>
          <w:sz w:val="19"/>
          <w:szCs w:val="19"/>
          <w:b w:val="1"/>
          <w:bCs w:val="1"/>
          <w:color w:val="auto"/>
        </w:rPr>
        <w:t>Termination by Novartis Without Cause; Change of Control.</w:t>
      </w:r>
    </w:p>
    <w:p>
      <w:pPr>
        <w:spacing w:after="0" w:line="152" w:lineRule="exact"/>
        <w:rPr>
          <w:sz w:val="20"/>
          <w:szCs w:val="20"/>
          <w:color w:val="auto"/>
        </w:rPr>
      </w:pPr>
    </w:p>
    <w:p>
      <w:pPr>
        <w:ind w:right="220" w:firstLine="877"/>
        <w:spacing w:after="0" w:line="256" w:lineRule="auto"/>
        <w:rPr>
          <w:sz w:val="20"/>
          <w:szCs w:val="20"/>
          <w:color w:val="auto"/>
        </w:rPr>
      </w:pPr>
      <w:r>
        <w:rPr>
          <w:rFonts w:ascii="Arial" w:cs="Arial" w:eastAsia="Arial" w:hAnsi="Arial"/>
          <w:sz w:val="22"/>
          <w:szCs w:val="22"/>
          <w:b w:val="1"/>
          <w:bCs w:val="1"/>
          <w:color w:val="auto"/>
        </w:rPr>
        <w:t xml:space="preserve">10.3.1 Termination by Novartis Without Cause. </w:t>
      </w:r>
      <w:r>
        <w:rPr>
          <w:rFonts w:ascii="Arial" w:cs="Arial" w:eastAsia="Arial" w:hAnsi="Arial"/>
          <w:sz w:val="22"/>
          <w:szCs w:val="22"/>
          <w:color w:val="auto"/>
        </w:rPr>
        <w:t>Novartis shall have the right to terminate, without cause,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w:t>
      </w:r>
    </w:p>
    <w:p>
      <w:pPr>
        <w:spacing w:after="0" w:line="115" w:lineRule="exact"/>
        <w:rPr>
          <w:sz w:val="20"/>
          <w:szCs w:val="20"/>
          <w:color w:val="auto"/>
        </w:rPr>
      </w:pPr>
    </w:p>
    <w:p>
      <w:pPr>
        <w:ind w:left="880" w:right="480" w:firstLine="816"/>
        <w:spacing w:after="0" w:line="328" w:lineRule="auto"/>
        <w:tabs>
          <w:tab w:leader="none" w:pos="2644" w:val="left"/>
        </w:tabs>
        <w:numPr>
          <w:ilvl w:val="0"/>
          <w:numId w:val="122"/>
        </w:numPr>
        <w:rPr>
          <w:rFonts w:ascii="Arial" w:cs="Arial" w:eastAsia="Arial" w:hAnsi="Arial"/>
          <w:sz w:val="19"/>
          <w:szCs w:val="19"/>
          <w:b w:val="1"/>
          <w:bCs w:val="1"/>
          <w:color w:val="auto"/>
        </w:rPr>
      </w:pPr>
      <w:r>
        <w:rPr>
          <w:rFonts w:ascii="Arial" w:cs="Arial" w:eastAsia="Arial" w:hAnsi="Arial"/>
          <w:sz w:val="19"/>
          <w:szCs w:val="19"/>
          <w:color w:val="auto"/>
        </w:rPr>
        <w:t xml:space="preserve">in its entirety or on a Program by Program basis on 90 days’ notice (during the Research Term); </w:t>
      </w:r>
      <w:r>
        <w:rPr>
          <w:rFonts w:ascii="Arial" w:cs="Arial" w:eastAsia="Arial" w:hAnsi="Arial"/>
          <w:sz w:val="19"/>
          <w:szCs w:val="19"/>
          <w:i w:val="1"/>
          <w:iCs w:val="1"/>
          <w:color w:val="auto"/>
        </w:rPr>
        <w:t>provided, however</w:t>
      </w:r>
      <w:r>
        <w:rPr>
          <w:rFonts w:ascii="Arial" w:cs="Arial" w:eastAsia="Arial" w:hAnsi="Arial"/>
          <w:sz w:val="19"/>
          <w:szCs w:val="19"/>
          <w:color w:val="auto"/>
        </w:rPr>
        <w:t>, that no such termination will be effective prior to the first anniversary of the Effective Date;</w:t>
      </w:r>
    </w:p>
    <w:p>
      <w:pPr>
        <w:spacing w:after="0" w:line="51" w:lineRule="exact"/>
        <w:rPr>
          <w:rFonts w:ascii="Arial" w:cs="Arial" w:eastAsia="Arial" w:hAnsi="Arial"/>
          <w:sz w:val="19"/>
          <w:szCs w:val="19"/>
          <w:b w:val="1"/>
          <w:bCs w:val="1"/>
          <w:color w:val="auto"/>
        </w:rPr>
      </w:pPr>
    </w:p>
    <w:p>
      <w:pPr>
        <w:ind w:left="880" w:right="440" w:firstLine="816"/>
        <w:spacing w:after="0" w:line="251" w:lineRule="auto"/>
        <w:tabs>
          <w:tab w:leader="none" w:pos="2656" w:val="left"/>
        </w:tabs>
        <w:numPr>
          <w:ilvl w:val="0"/>
          <w:numId w:val="122"/>
        </w:numPr>
        <w:rPr>
          <w:rFonts w:ascii="Arial" w:cs="Arial" w:eastAsia="Arial" w:hAnsi="Arial"/>
          <w:sz w:val="22"/>
          <w:szCs w:val="22"/>
          <w:b w:val="1"/>
          <w:bCs w:val="1"/>
          <w:color w:val="auto"/>
        </w:rPr>
      </w:pPr>
      <w:r>
        <w:rPr>
          <w:rFonts w:ascii="Arial" w:cs="Arial" w:eastAsia="Arial" w:hAnsi="Arial"/>
          <w:sz w:val="22"/>
          <w:szCs w:val="22"/>
          <w:color w:val="auto"/>
        </w:rPr>
        <w:t>in its entirety or on a Program by Program basis on 60 days’ notice (after the Research Term but during the Contingent Development Term), and</w:t>
      </w:r>
    </w:p>
    <w:p>
      <w:pPr>
        <w:spacing w:after="0" w:line="119" w:lineRule="exact"/>
        <w:rPr>
          <w:rFonts w:ascii="Arial" w:cs="Arial" w:eastAsia="Arial" w:hAnsi="Arial"/>
          <w:sz w:val="22"/>
          <w:szCs w:val="22"/>
          <w:b w:val="1"/>
          <w:bCs w:val="1"/>
          <w:color w:val="auto"/>
        </w:rPr>
      </w:pPr>
    </w:p>
    <w:p>
      <w:pPr>
        <w:jc w:val="both"/>
        <w:ind w:left="880" w:right="660" w:firstLine="816"/>
        <w:spacing w:after="0" w:line="328" w:lineRule="auto"/>
        <w:tabs>
          <w:tab w:leader="none" w:pos="2632" w:val="left"/>
        </w:tabs>
        <w:numPr>
          <w:ilvl w:val="0"/>
          <w:numId w:val="122"/>
        </w:numPr>
        <w:rPr>
          <w:rFonts w:ascii="Arial" w:cs="Arial" w:eastAsia="Arial" w:hAnsi="Arial"/>
          <w:sz w:val="19"/>
          <w:szCs w:val="19"/>
          <w:b w:val="1"/>
          <w:bCs w:val="1"/>
          <w:color w:val="auto"/>
        </w:rPr>
      </w:pPr>
      <w:r>
        <w:rPr>
          <w:rFonts w:ascii="Arial" w:cs="Arial" w:eastAsia="Arial" w:hAnsi="Arial"/>
          <w:sz w:val="19"/>
          <w:szCs w:val="19"/>
          <w:color w:val="auto"/>
        </w:rPr>
        <w:t>if the Commercial License Practice Notice is delivered (or deemed to be delivered pursuant to Section 3.2.2), in its entirety, or a Program by Program basis, or on a country by country basis, on 30 days’ notice.</w:t>
      </w:r>
    </w:p>
    <w:p>
      <w:pPr>
        <w:spacing w:after="0" w:line="45" w:lineRule="exact"/>
        <w:rPr>
          <w:sz w:val="20"/>
          <w:szCs w:val="20"/>
          <w:color w:val="auto"/>
        </w:rPr>
      </w:pPr>
    </w:p>
    <w:p>
      <w:pPr>
        <w:ind w:firstLine="877"/>
        <w:spacing w:after="0" w:line="235" w:lineRule="auto"/>
        <w:rPr>
          <w:sz w:val="20"/>
          <w:szCs w:val="20"/>
          <w:color w:val="auto"/>
        </w:rPr>
      </w:pPr>
      <w:r>
        <w:rPr>
          <w:rFonts w:ascii="Arial" w:cs="Arial" w:eastAsia="Arial" w:hAnsi="Arial"/>
          <w:sz w:val="22"/>
          <w:szCs w:val="22"/>
          <w:b w:val="1"/>
          <w:bCs w:val="1"/>
          <w:color w:val="auto"/>
        </w:rPr>
        <w:t>10.3.2 Termination for Change of Control; Confirmation of Continued Work</w:t>
      </w:r>
      <w:r>
        <w:rPr>
          <w:rFonts w:ascii="Arial" w:cs="Arial" w:eastAsia="Arial" w:hAnsi="Arial"/>
          <w:sz w:val="22"/>
          <w:szCs w:val="22"/>
          <w:color w:val="auto"/>
        </w:rPr>
        <w:t>. Within ninety (90) days of</w:t>
      </w:r>
      <w:r>
        <w:rPr>
          <w:rFonts w:ascii="Arial" w:cs="Arial" w:eastAsia="Arial" w:hAnsi="Arial"/>
          <w:sz w:val="22"/>
          <w:szCs w:val="22"/>
          <w:b w:val="1"/>
          <w:bCs w:val="1"/>
          <w:color w:val="auto"/>
        </w:rPr>
        <w:t xml:space="preserve"> </w:t>
      </w:r>
      <w:r>
        <w:rPr>
          <w:rFonts w:ascii="Arial" w:cs="Arial" w:eastAsia="Arial" w:hAnsi="Arial"/>
          <w:sz w:val="22"/>
          <w:szCs w:val="22"/>
          <w:color w:val="auto"/>
        </w:rPr>
        <w:t>Novartis’ receipt of notice of a Change of Control of Cerulean, Novartis may terminate the Research Term and one or more Programs (and any associated FTE payments) by written notice to Cerulean. Novartis will alternatively have the right to condition continued Collaboration activities on the receipt of assurances (which must be acceptable to Novartis in its sole discretion) of the maintenance of confidentiality and non-use of its Proprietary Information and information arising from the Collaboration. Cerulean confirms that no Change of Control will otherwise alter or amend Novartis’ rights to Intellectual Property Rights created, conceived of, and/or reduced to practice in the Collaboration.</w:t>
      </w:r>
    </w:p>
    <w:p>
      <w:pPr>
        <w:spacing w:after="0" w:line="130" w:lineRule="exact"/>
        <w:rPr>
          <w:sz w:val="20"/>
          <w:szCs w:val="20"/>
          <w:color w:val="auto"/>
        </w:rPr>
      </w:pPr>
    </w:p>
    <w:p>
      <w:pPr>
        <w:spacing w:after="0"/>
        <w:tabs>
          <w:tab w:leader="none" w:pos="1740" w:val="left"/>
        </w:tabs>
        <w:rPr>
          <w:sz w:val="20"/>
          <w:szCs w:val="20"/>
          <w:color w:val="auto"/>
        </w:rPr>
      </w:pPr>
      <w:r>
        <w:rPr>
          <w:rFonts w:ascii="Arial" w:cs="Arial" w:eastAsia="Arial" w:hAnsi="Arial"/>
          <w:sz w:val="22"/>
          <w:szCs w:val="22"/>
          <w:b w:val="1"/>
          <w:bCs w:val="1"/>
          <w:color w:val="auto"/>
        </w:rPr>
        <w:t>Section 10.4</w:t>
      </w:r>
      <w:r>
        <w:rPr>
          <w:sz w:val="20"/>
          <w:szCs w:val="20"/>
          <w:color w:val="auto"/>
        </w:rPr>
        <w:tab/>
      </w:r>
      <w:r>
        <w:rPr>
          <w:rFonts w:ascii="Arial" w:cs="Arial" w:eastAsia="Arial" w:hAnsi="Arial"/>
          <w:sz w:val="19"/>
          <w:szCs w:val="19"/>
          <w:b w:val="1"/>
          <w:bCs w:val="1"/>
          <w:color w:val="auto"/>
        </w:rPr>
        <w:t>Effect of Expiration or Termination.</w:t>
      </w:r>
    </w:p>
    <w:p>
      <w:pPr>
        <w:spacing w:after="0" w:line="152" w:lineRule="exact"/>
        <w:rPr>
          <w:sz w:val="20"/>
          <w:szCs w:val="20"/>
          <w:color w:val="auto"/>
        </w:rPr>
      </w:pPr>
    </w:p>
    <w:p>
      <w:pPr>
        <w:ind w:right="40" w:firstLine="877"/>
        <w:spacing w:after="0" w:line="278" w:lineRule="auto"/>
        <w:rPr>
          <w:sz w:val="20"/>
          <w:szCs w:val="20"/>
          <w:color w:val="auto"/>
        </w:rPr>
      </w:pPr>
      <w:r>
        <w:rPr>
          <w:rFonts w:ascii="Arial" w:cs="Arial" w:eastAsia="Arial" w:hAnsi="Arial"/>
          <w:sz w:val="19"/>
          <w:szCs w:val="19"/>
          <w:b w:val="1"/>
          <w:bCs w:val="1"/>
          <w:color w:val="auto"/>
        </w:rPr>
        <w:t xml:space="preserve">10.4.1 Expiry of the Agreement by its Terms. </w:t>
      </w:r>
      <w:r>
        <w:rPr>
          <w:rFonts w:ascii="Arial" w:cs="Arial" w:eastAsia="Arial" w:hAnsi="Arial"/>
          <w:sz w:val="19"/>
          <w:szCs w:val="19"/>
          <w:color w:val="auto"/>
        </w:rPr>
        <w:t>If this Agreement expires pursuant to Section 10.1, the provisions</w:t>
      </w:r>
      <w:r>
        <w:rPr>
          <w:rFonts w:ascii="Arial" w:cs="Arial" w:eastAsia="Arial" w:hAnsi="Arial"/>
          <w:sz w:val="19"/>
          <w:szCs w:val="19"/>
          <w:b w:val="1"/>
          <w:bCs w:val="1"/>
          <w:color w:val="auto"/>
        </w:rPr>
        <w:t xml:space="preserve"> </w:t>
      </w:r>
      <w:r>
        <w:rPr>
          <w:rFonts w:ascii="Arial" w:cs="Arial" w:eastAsia="Arial" w:hAnsi="Arial"/>
          <w:sz w:val="19"/>
          <w:szCs w:val="19"/>
          <w:color w:val="auto"/>
        </w:rPr>
        <w:t>of Sections 1, 2.5, 2.7, 3.1, 3.3, 3.5, and Articles IV, V, VII, VIII, IX, X, and XI will survive such expiration indefinitely, and the provisions of Article VI (Confidentiality) will survive such expiration for a period of [**] years for Proprietary Information other than trade secrets and will survive indefinitely with respect to trade secrets. Following the expiration of the Royalty Term as to a Licensed Product in a country (but not following an earlier termination), on a Licensed Product-by-Licensed Product and country-by-country basis, Novartis’ licenses under this Agreement with respect to such Licensed Product will continue in effect, but become fully paid-up, royalty-free, transferable, perpetual and irrevocable.</w:t>
      </w:r>
    </w:p>
    <w:p>
      <w:pPr>
        <w:spacing w:after="0" w:line="92" w:lineRule="exact"/>
        <w:rPr>
          <w:sz w:val="20"/>
          <w:szCs w:val="20"/>
          <w:color w:val="auto"/>
        </w:rPr>
      </w:pPr>
    </w:p>
    <w:p>
      <w:pPr>
        <w:ind w:right="680" w:firstLine="877"/>
        <w:spacing w:after="0" w:line="256" w:lineRule="auto"/>
        <w:rPr>
          <w:sz w:val="20"/>
          <w:szCs w:val="20"/>
          <w:color w:val="auto"/>
        </w:rPr>
      </w:pPr>
      <w:r>
        <w:rPr>
          <w:rFonts w:ascii="Arial" w:cs="Arial" w:eastAsia="Arial" w:hAnsi="Arial"/>
          <w:sz w:val="22"/>
          <w:szCs w:val="22"/>
          <w:b w:val="1"/>
          <w:bCs w:val="1"/>
          <w:color w:val="auto"/>
        </w:rPr>
        <w:t xml:space="preserve">10.4.2 Effects of Termination by Novartis for Cause or Termination Due to Change of Control. </w:t>
      </w:r>
      <w:r>
        <w:rPr>
          <w:rFonts w:ascii="Arial" w:cs="Arial" w:eastAsia="Arial" w:hAnsi="Arial"/>
          <w:sz w:val="22"/>
          <w:szCs w:val="22"/>
          <w:color w:val="auto"/>
        </w:rPr>
        <w:t>Upon</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termination of this Agreement by Novartis pursuant to Section 10.2.1, Section 10.2.2, or Section 10.3.2:</w:t>
      </w:r>
    </w:p>
    <w:p>
      <w:pPr>
        <w:spacing w:after="0" w:line="115" w:lineRule="exact"/>
        <w:rPr>
          <w:sz w:val="20"/>
          <w:szCs w:val="20"/>
          <w:color w:val="auto"/>
        </w:rPr>
      </w:pPr>
    </w:p>
    <w:p>
      <w:pPr>
        <w:ind w:left="2600" w:hanging="904"/>
        <w:spacing w:after="0"/>
        <w:tabs>
          <w:tab w:leader="none" w:pos="2600" w:val="left"/>
        </w:tabs>
        <w:numPr>
          <w:ilvl w:val="0"/>
          <w:numId w:val="123"/>
        </w:numPr>
        <w:rPr>
          <w:rFonts w:ascii="Arial" w:cs="Arial" w:eastAsia="Arial" w:hAnsi="Arial"/>
          <w:sz w:val="22"/>
          <w:szCs w:val="22"/>
          <w:b w:val="1"/>
          <w:bCs w:val="1"/>
          <w:color w:val="auto"/>
        </w:rPr>
      </w:pPr>
      <w:r>
        <w:rPr>
          <w:rFonts w:ascii="Arial" w:cs="Arial" w:eastAsia="Arial" w:hAnsi="Arial"/>
          <w:sz w:val="22"/>
          <w:szCs w:val="22"/>
          <w:color w:val="auto"/>
        </w:rPr>
        <w:t>the Research Term will be deemed to have expired;</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2891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2" w:name="page113"/>
    <w:bookmarkEnd w:id="112"/>
    <w:p>
      <w:pPr>
        <w:ind w:left="9560"/>
        <w:spacing w:after="0"/>
        <w:rPr>
          <w:sz w:val="20"/>
          <w:szCs w:val="20"/>
          <w:color w:val="auto"/>
        </w:rPr>
      </w:pPr>
      <w:r>
        <w:rPr>
          <w:rFonts w:ascii="Arial" w:cs="Arial" w:eastAsia="Arial" w:hAnsi="Arial"/>
          <w:sz w:val="19"/>
          <w:szCs w:val="19"/>
          <w:color w:val="auto"/>
        </w:rPr>
        <w:t>EXECUTION COPY</w:t>
      </w:r>
    </w:p>
    <w:p>
      <w:pPr>
        <w:spacing w:after="0" w:line="268" w:lineRule="exact"/>
        <w:rPr>
          <w:sz w:val="20"/>
          <w:szCs w:val="20"/>
          <w:color w:val="auto"/>
        </w:rPr>
      </w:pPr>
    </w:p>
    <w:p>
      <w:pPr>
        <w:ind w:left="2660" w:hanging="964"/>
        <w:spacing w:after="0"/>
        <w:tabs>
          <w:tab w:leader="none" w:pos="2660" w:val="left"/>
        </w:tabs>
        <w:numPr>
          <w:ilvl w:val="0"/>
          <w:numId w:val="124"/>
        </w:numPr>
        <w:rPr>
          <w:rFonts w:ascii="Arial" w:cs="Arial" w:eastAsia="Arial" w:hAnsi="Arial"/>
          <w:sz w:val="22"/>
          <w:szCs w:val="22"/>
          <w:b w:val="1"/>
          <w:bCs w:val="1"/>
          <w:color w:val="auto"/>
        </w:rPr>
      </w:pPr>
      <w:r>
        <w:rPr>
          <w:rFonts w:ascii="Arial" w:cs="Arial" w:eastAsia="Arial" w:hAnsi="Arial"/>
          <w:sz w:val="22"/>
          <w:szCs w:val="22"/>
          <w:color w:val="auto"/>
        </w:rPr>
        <w:t>Section 3.1.2(a), Section 3.2, and Section 3.4 shall continue in full force and effect;</w:t>
      </w:r>
    </w:p>
    <w:p>
      <w:pPr>
        <w:spacing w:after="0" w:line="152" w:lineRule="exact"/>
        <w:rPr>
          <w:rFonts w:ascii="Arial" w:cs="Arial" w:eastAsia="Arial" w:hAnsi="Arial"/>
          <w:sz w:val="22"/>
          <w:szCs w:val="22"/>
          <w:b w:val="1"/>
          <w:bCs w:val="1"/>
          <w:color w:val="auto"/>
        </w:rPr>
      </w:pPr>
    </w:p>
    <w:p>
      <w:pPr>
        <w:ind w:left="880" w:right="480" w:firstLine="816"/>
        <w:spacing w:after="0" w:line="251" w:lineRule="auto"/>
        <w:tabs>
          <w:tab w:leader="none" w:pos="2578" w:val="left"/>
        </w:tabs>
        <w:numPr>
          <w:ilvl w:val="0"/>
          <w:numId w:val="124"/>
        </w:numPr>
        <w:rPr>
          <w:rFonts w:ascii="Arial" w:cs="Arial" w:eastAsia="Arial" w:hAnsi="Arial"/>
          <w:sz w:val="22"/>
          <w:szCs w:val="22"/>
          <w:b w:val="1"/>
          <w:bCs w:val="1"/>
          <w:color w:val="auto"/>
        </w:rPr>
      </w:pPr>
      <w:r>
        <w:rPr>
          <w:rFonts w:ascii="Arial" w:cs="Arial" w:eastAsia="Arial" w:hAnsi="Arial"/>
          <w:sz w:val="22"/>
          <w:szCs w:val="22"/>
          <w:color w:val="auto"/>
        </w:rPr>
        <w:t>Novartis’ payment obligations pursuant to Article V will survive with respect to the Commercial Rights Fee, Annual Maintenance Fee, Milestones, Sales Milestones and Royalties; and</w:t>
      </w:r>
    </w:p>
    <w:p>
      <w:pPr>
        <w:spacing w:after="0" w:line="113" w:lineRule="exact"/>
        <w:rPr>
          <w:sz w:val="20"/>
          <w:szCs w:val="20"/>
          <w:color w:val="auto"/>
        </w:rPr>
      </w:pPr>
    </w:p>
    <w:p>
      <w:pPr>
        <w:ind w:left="1540"/>
        <w:spacing w:after="0"/>
        <w:rPr>
          <w:sz w:val="20"/>
          <w:szCs w:val="20"/>
          <w:color w:val="auto"/>
        </w:rPr>
      </w:pPr>
      <w:r>
        <w:rPr>
          <w:rFonts w:ascii="Arial" w:cs="Arial" w:eastAsia="Arial" w:hAnsi="Arial"/>
          <w:sz w:val="22"/>
          <w:szCs w:val="22"/>
          <w:b w:val="1"/>
          <w:bCs w:val="1"/>
          <w:color w:val="auto"/>
        </w:rPr>
        <w:t>(d)</w:t>
      </w:r>
      <w:r>
        <w:rPr>
          <w:rFonts w:ascii="Arial" w:cs="Arial" w:eastAsia="Arial" w:hAnsi="Arial"/>
          <w:sz w:val="22"/>
          <w:szCs w:val="22"/>
          <w:color w:val="auto"/>
        </w:rPr>
        <w:t>the license to Cerulean pursuant to Section 3.1.2(b) shall terminate.</w:t>
      </w:r>
    </w:p>
    <w:p>
      <w:pPr>
        <w:spacing w:after="0" w:line="152" w:lineRule="exact"/>
        <w:rPr>
          <w:sz w:val="20"/>
          <w:szCs w:val="20"/>
          <w:color w:val="auto"/>
        </w:rPr>
      </w:pPr>
    </w:p>
    <w:p>
      <w:pPr>
        <w:ind w:left="880"/>
        <w:spacing w:after="0"/>
        <w:tabs>
          <w:tab w:leader="none" w:pos="2060" w:val="left"/>
        </w:tabs>
        <w:rPr>
          <w:sz w:val="20"/>
          <w:szCs w:val="20"/>
          <w:color w:val="auto"/>
        </w:rPr>
      </w:pPr>
      <w:r>
        <w:rPr>
          <w:rFonts w:ascii="Arial" w:cs="Arial" w:eastAsia="Arial" w:hAnsi="Arial"/>
          <w:sz w:val="22"/>
          <w:szCs w:val="22"/>
          <w:b w:val="1"/>
          <w:bCs w:val="1"/>
          <w:color w:val="auto"/>
        </w:rPr>
        <w:t>10.4.3</w:t>
      </w:r>
      <w:r>
        <w:rPr>
          <w:sz w:val="20"/>
          <w:szCs w:val="20"/>
          <w:color w:val="auto"/>
        </w:rPr>
        <w:tab/>
      </w:r>
      <w:r>
        <w:rPr>
          <w:rFonts w:ascii="Arial" w:cs="Arial" w:eastAsia="Arial" w:hAnsi="Arial"/>
          <w:sz w:val="19"/>
          <w:szCs w:val="19"/>
          <w:b w:val="1"/>
          <w:bCs w:val="1"/>
          <w:color w:val="auto"/>
        </w:rPr>
        <w:t xml:space="preserve">Effects of Termination by Cerulean for Cause or by Novartis Without Cause. </w:t>
      </w:r>
      <w:r>
        <w:rPr>
          <w:rFonts w:ascii="Arial" w:cs="Arial" w:eastAsia="Arial" w:hAnsi="Arial"/>
          <w:sz w:val="19"/>
          <w:szCs w:val="19"/>
          <w:color w:val="auto"/>
        </w:rPr>
        <w:t>Upon termination of this</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Agreement by Cerulean pursuant to Section 10.2.1 or by Novartis pursuant to Section 10.3.1, then:</w:t>
      </w:r>
    </w:p>
    <w:p>
      <w:pPr>
        <w:spacing w:after="0" w:line="134" w:lineRule="exact"/>
        <w:rPr>
          <w:sz w:val="20"/>
          <w:szCs w:val="20"/>
          <w:color w:val="auto"/>
        </w:rPr>
      </w:pPr>
    </w:p>
    <w:p>
      <w:pPr>
        <w:ind w:left="880" w:right="340" w:firstLine="816"/>
        <w:spacing w:after="0" w:line="297" w:lineRule="auto"/>
        <w:tabs>
          <w:tab w:leader="none" w:pos="2644" w:val="left"/>
        </w:tabs>
        <w:numPr>
          <w:ilvl w:val="0"/>
          <w:numId w:val="125"/>
        </w:numPr>
        <w:rPr>
          <w:rFonts w:ascii="Arial" w:cs="Arial" w:eastAsia="Arial" w:hAnsi="Arial"/>
          <w:sz w:val="19"/>
          <w:szCs w:val="19"/>
          <w:b w:val="1"/>
          <w:bCs w:val="1"/>
          <w:color w:val="auto"/>
        </w:rPr>
      </w:pPr>
      <w:r>
        <w:rPr>
          <w:rFonts w:ascii="Arial" w:cs="Arial" w:eastAsia="Arial" w:hAnsi="Arial"/>
          <w:sz w:val="19"/>
          <w:szCs w:val="19"/>
          <w:color w:val="auto"/>
        </w:rPr>
        <w:t xml:space="preserve">Section 3.1.2, Section 3.2, and Section 3.4 shall terminate; </w:t>
      </w:r>
      <w:r>
        <w:rPr>
          <w:rFonts w:ascii="Arial" w:cs="Arial" w:eastAsia="Arial" w:hAnsi="Arial"/>
          <w:sz w:val="19"/>
          <w:szCs w:val="19"/>
          <w:i w:val="1"/>
          <w:iCs w:val="1"/>
          <w:color w:val="auto"/>
        </w:rPr>
        <w:t>provided, however</w:t>
      </w:r>
      <w:r>
        <w:rPr>
          <w:rFonts w:ascii="Arial" w:cs="Arial" w:eastAsia="Arial" w:hAnsi="Arial"/>
          <w:sz w:val="19"/>
          <w:szCs w:val="19"/>
          <w:color w:val="auto"/>
        </w:rPr>
        <w:t>, that if Novartis terminates this Agreement pursuant to Section 10.3.1 on a Program-by-Program basis, only the licenses under Section 3.1.2 and Section 3.2 and the restrictions in Section 3.4 relevant to the terminated Program shall terminate; and</w:t>
      </w:r>
    </w:p>
    <w:p>
      <w:pPr>
        <w:spacing w:after="0" w:line="80" w:lineRule="exact"/>
        <w:rPr>
          <w:rFonts w:ascii="Arial" w:cs="Arial" w:eastAsia="Arial" w:hAnsi="Arial"/>
          <w:sz w:val="19"/>
          <w:szCs w:val="19"/>
          <w:b w:val="1"/>
          <w:bCs w:val="1"/>
          <w:color w:val="auto"/>
        </w:rPr>
      </w:pPr>
    </w:p>
    <w:p>
      <w:pPr>
        <w:ind w:left="880" w:right="80" w:firstLine="816"/>
        <w:spacing w:after="0" w:line="238" w:lineRule="auto"/>
        <w:tabs>
          <w:tab w:leader="none" w:pos="2602" w:val="left"/>
        </w:tabs>
        <w:numPr>
          <w:ilvl w:val="0"/>
          <w:numId w:val="125"/>
        </w:numPr>
        <w:rPr>
          <w:rFonts w:ascii="Arial" w:cs="Arial" w:eastAsia="Arial" w:hAnsi="Arial"/>
          <w:sz w:val="22"/>
          <w:szCs w:val="22"/>
          <w:b w:val="1"/>
          <w:bCs w:val="1"/>
          <w:color w:val="auto"/>
        </w:rPr>
      </w:pPr>
      <w:r>
        <w:rPr>
          <w:rFonts w:ascii="Arial" w:cs="Arial" w:eastAsia="Arial" w:hAnsi="Arial"/>
          <w:sz w:val="22"/>
          <w:szCs w:val="22"/>
          <w:color w:val="auto"/>
        </w:rPr>
        <w:t>on a Program-by-Program basis, Novartis will grant a worldwide, fully paid, perpetual and royalty-free, non-exclusive license to any Patent Rights included in the Novartis Sole Collaboration Intellectual Property that are generated in the relevant Program(s) during the relevant Research Terms. For the avoidance of doubt, this license will not extend to any Patent Rights claiming Novartis API (or its use).</w:t>
      </w:r>
    </w:p>
    <w:p>
      <w:pPr>
        <w:spacing w:after="0" w:line="125" w:lineRule="exact"/>
        <w:rPr>
          <w:sz w:val="20"/>
          <w:szCs w:val="20"/>
          <w:color w:val="auto"/>
        </w:rPr>
      </w:pPr>
    </w:p>
    <w:p>
      <w:pPr>
        <w:spacing w:after="0"/>
        <w:tabs>
          <w:tab w:leader="none" w:pos="1740" w:val="left"/>
        </w:tabs>
        <w:rPr>
          <w:sz w:val="20"/>
          <w:szCs w:val="20"/>
          <w:color w:val="auto"/>
        </w:rPr>
      </w:pPr>
      <w:r>
        <w:rPr>
          <w:rFonts w:ascii="Arial" w:cs="Arial" w:eastAsia="Arial" w:hAnsi="Arial"/>
          <w:sz w:val="22"/>
          <w:szCs w:val="22"/>
          <w:b w:val="1"/>
          <w:bCs w:val="1"/>
          <w:color w:val="auto"/>
        </w:rPr>
        <w:t>Section 10.5</w:t>
      </w:r>
      <w:r>
        <w:rPr>
          <w:sz w:val="20"/>
          <w:szCs w:val="20"/>
          <w:color w:val="auto"/>
        </w:rPr>
        <w:tab/>
      </w:r>
      <w:r>
        <w:rPr>
          <w:rFonts w:ascii="Arial" w:cs="Arial" w:eastAsia="Arial" w:hAnsi="Arial"/>
          <w:sz w:val="19"/>
          <w:szCs w:val="19"/>
          <w:b w:val="1"/>
          <w:bCs w:val="1"/>
          <w:color w:val="auto"/>
        </w:rPr>
        <w:t>Survival of Accrued Obligations.</w:t>
      </w:r>
    </w:p>
    <w:p>
      <w:pPr>
        <w:spacing w:after="0" w:line="158" w:lineRule="exact"/>
        <w:rPr>
          <w:sz w:val="20"/>
          <w:szCs w:val="20"/>
          <w:color w:val="auto"/>
        </w:rPr>
      </w:pPr>
    </w:p>
    <w:p>
      <w:pPr>
        <w:ind w:right="800" w:firstLine="877"/>
        <w:spacing w:after="0" w:line="251" w:lineRule="auto"/>
        <w:rPr>
          <w:sz w:val="20"/>
          <w:szCs w:val="20"/>
          <w:color w:val="auto"/>
        </w:rPr>
      </w:pPr>
      <w:r>
        <w:rPr>
          <w:rFonts w:ascii="Arial" w:cs="Arial" w:eastAsia="Arial" w:hAnsi="Arial"/>
          <w:sz w:val="22"/>
          <w:szCs w:val="22"/>
          <w:color w:val="auto"/>
        </w:rPr>
        <w:t>For the avoidance of doubt, termination or expiry of this Agreement will not relieve the Parties of any obligation accruing prior to such expiration or termination.</w:t>
      </w:r>
    </w:p>
    <w:p>
      <w:pPr>
        <w:spacing w:after="0" w:line="113" w:lineRule="exact"/>
        <w:rPr>
          <w:sz w:val="20"/>
          <w:szCs w:val="20"/>
          <w:color w:val="auto"/>
        </w:rPr>
      </w:pPr>
    </w:p>
    <w:p>
      <w:pPr>
        <w:spacing w:after="0"/>
        <w:tabs>
          <w:tab w:leader="none" w:pos="1740" w:val="left"/>
        </w:tabs>
        <w:rPr>
          <w:sz w:val="20"/>
          <w:szCs w:val="20"/>
          <w:color w:val="auto"/>
        </w:rPr>
      </w:pPr>
      <w:r>
        <w:rPr>
          <w:rFonts w:ascii="Arial" w:cs="Arial" w:eastAsia="Arial" w:hAnsi="Arial"/>
          <w:sz w:val="22"/>
          <w:szCs w:val="22"/>
          <w:b w:val="1"/>
          <w:bCs w:val="1"/>
          <w:color w:val="auto"/>
        </w:rPr>
        <w:t>Section 10.6</w:t>
      </w:r>
      <w:r>
        <w:rPr>
          <w:sz w:val="20"/>
          <w:szCs w:val="20"/>
          <w:color w:val="auto"/>
        </w:rPr>
        <w:tab/>
      </w:r>
      <w:r>
        <w:rPr>
          <w:rFonts w:ascii="Arial" w:cs="Arial" w:eastAsia="Arial" w:hAnsi="Arial"/>
          <w:sz w:val="19"/>
          <w:szCs w:val="19"/>
          <w:b w:val="1"/>
          <w:bCs w:val="1"/>
          <w:color w:val="auto"/>
        </w:rPr>
        <w:t>Termination Not Sole Remedy.</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9"/>
          <w:szCs w:val="19"/>
          <w:color w:val="auto"/>
        </w:rPr>
        <w:t>Termination is not the sole remedy under this Agreement and, whether or not termination is effected and notwithstanding</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anything contained in this Agreement to the contrary, all other remedies will remain available except as agreed to otherwise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herein. All rights, powers and remedies of the Parties provided for in this Article X are in addition to and not in substitution for any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and all other rights, powers and remedies now or hereafter existing at law or in equity (including, without limitation, under the</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Bankruptcy Code and any similar laws in any other country).</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GENERAL PROVISIONS</w:t>
      </w:r>
    </w:p>
    <w:p>
      <w:pPr>
        <w:spacing w:after="0" w:line="128" w:lineRule="exact"/>
        <w:rPr>
          <w:sz w:val="20"/>
          <w:szCs w:val="20"/>
          <w:color w:val="auto"/>
        </w:rPr>
      </w:pPr>
    </w:p>
    <w:p>
      <w:pPr>
        <w:spacing w:after="0"/>
        <w:tabs>
          <w:tab w:leader="none" w:pos="1720" w:val="left"/>
        </w:tabs>
        <w:rPr>
          <w:sz w:val="20"/>
          <w:szCs w:val="20"/>
          <w:color w:val="auto"/>
        </w:rPr>
      </w:pPr>
      <w:r>
        <w:rPr>
          <w:rFonts w:ascii="Arial" w:cs="Arial" w:eastAsia="Arial" w:hAnsi="Arial"/>
          <w:sz w:val="22"/>
          <w:szCs w:val="22"/>
          <w:b w:val="1"/>
          <w:bCs w:val="1"/>
          <w:color w:val="auto"/>
        </w:rPr>
        <w:t>Section 11.1</w:t>
      </w:r>
      <w:r>
        <w:rPr>
          <w:sz w:val="20"/>
          <w:szCs w:val="20"/>
          <w:color w:val="auto"/>
        </w:rPr>
        <w:tab/>
      </w:r>
      <w:r>
        <w:rPr>
          <w:rFonts w:ascii="Arial" w:cs="Arial" w:eastAsia="Arial" w:hAnsi="Arial"/>
          <w:sz w:val="18"/>
          <w:szCs w:val="18"/>
          <w:b w:val="1"/>
          <w:bCs w:val="1"/>
          <w:color w:val="auto"/>
        </w:rPr>
        <w:t>Assignment.</w:t>
      </w:r>
    </w:p>
    <w:p>
      <w:pPr>
        <w:spacing w:after="0" w:line="158" w:lineRule="exact"/>
        <w:rPr>
          <w:sz w:val="20"/>
          <w:szCs w:val="20"/>
          <w:color w:val="auto"/>
        </w:rPr>
      </w:pPr>
    </w:p>
    <w:p>
      <w:pPr>
        <w:ind w:right="160" w:firstLine="877"/>
        <w:spacing w:after="0" w:line="251" w:lineRule="auto"/>
        <w:rPr>
          <w:sz w:val="20"/>
          <w:szCs w:val="20"/>
          <w:color w:val="auto"/>
        </w:rPr>
      </w:pPr>
      <w:r>
        <w:rPr>
          <w:rFonts w:ascii="Arial" w:cs="Arial" w:eastAsia="Arial" w:hAnsi="Arial"/>
          <w:sz w:val="22"/>
          <w:szCs w:val="22"/>
          <w:color w:val="auto"/>
        </w:rPr>
        <w:t>Neither Party may assign its rights and obligations under this Agreement without the other Party’s prior written consent, except that</w:t>
      </w:r>
    </w:p>
    <w:p>
      <w:pPr>
        <w:spacing w:after="0" w:line="119" w:lineRule="exact"/>
        <w:rPr>
          <w:sz w:val="20"/>
          <w:szCs w:val="20"/>
          <w:color w:val="auto"/>
        </w:rPr>
      </w:pPr>
    </w:p>
    <w:p>
      <w:pPr>
        <w:ind w:left="2600" w:hanging="904"/>
        <w:spacing w:after="0"/>
        <w:tabs>
          <w:tab w:leader="none" w:pos="2600" w:val="left"/>
        </w:tabs>
        <w:numPr>
          <w:ilvl w:val="0"/>
          <w:numId w:val="126"/>
        </w:numPr>
        <w:rPr>
          <w:rFonts w:ascii="Arial" w:cs="Arial" w:eastAsia="Arial" w:hAnsi="Arial"/>
          <w:sz w:val="19"/>
          <w:szCs w:val="19"/>
          <w:b w:val="1"/>
          <w:bCs w:val="1"/>
          <w:color w:val="auto"/>
        </w:rPr>
      </w:pPr>
      <w:r>
        <w:rPr>
          <w:rFonts w:ascii="Arial" w:cs="Arial" w:eastAsia="Arial" w:hAnsi="Arial"/>
          <w:sz w:val="19"/>
          <w:szCs w:val="19"/>
          <w:color w:val="auto"/>
        </w:rPr>
        <w:t>Novartis may assign its rights and obligations under this Agreement or any part hereof to one or more</w:t>
      </w:r>
    </w:p>
    <w:p>
      <w:pPr>
        <w:spacing w:after="0" w:line="42" w:lineRule="exact"/>
        <w:rPr>
          <w:rFonts w:ascii="Arial" w:cs="Arial" w:eastAsia="Arial" w:hAnsi="Arial"/>
          <w:sz w:val="19"/>
          <w:szCs w:val="19"/>
          <w:b w:val="1"/>
          <w:bCs w:val="1"/>
          <w:color w:val="auto"/>
        </w:rPr>
      </w:pPr>
    </w:p>
    <w:p>
      <w:pPr>
        <w:ind w:left="880"/>
        <w:spacing w:after="0"/>
        <w:rPr>
          <w:rFonts w:ascii="Arial" w:cs="Arial" w:eastAsia="Arial" w:hAnsi="Arial"/>
          <w:sz w:val="19"/>
          <w:szCs w:val="19"/>
          <w:b w:val="1"/>
          <w:bCs w:val="1"/>
          <w:color w:val="auto"/>
        </w:rPr>
      </w:pPr>
      <w:r>
        <w:rPr>
          <w:rFonts w:ascii="Arial" w:cs="Arial" w:eastAsia="Arial" w:hAnsi="Arial"/>
          <w:sz w:val="22"/>
          <w:szCs w:val="22"/>
          <w:color w:val="auto"/>
        </w:rPr>
        <w:t>of its Affiliates; or</w:t>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2891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3" w:name="page114"/>
    <w:bookmarkEnd w:id="113"/>
    <w:p>
      <w:pPr>
        <w:ind w:left="9560"/>
        <w:spacing w:after="0"/>
        <w:rPr>
          <w:sz w:val="20"/>
          <w:szCs w:val="20"/>
          <w:color w:val="auto"/>
        </w:rPr>
      </w:pPr>
      <w:r>
        <w:rPr>
          <w:rFonts w:ascii="Arial" w:cs="Arial" w:eastAsia="Arial" w:hAnsi="Arial"/>
          <w:sz w:val="19"/>
          <w:szCs w:val="19"/>
          <w:color w:val="auto"/>
        </w:rPr>
        <w:t>EXECUTION COPY</w:t>
      </w:r>
    </w:p>
    <w:p>
      <w:pPr>
        <w:spacing w:after="0" w:line="268" w:lineRule="exact"/>
        <w:rPr>
          <w:sz w:val="20"/>
          <w:szCs w:val="20"/>
          <w:color w:val="auto"/>
        </w:rPr>
      </w:pPr>
    </w:p>
    <w:p>
      <w:pPr>
        <w:ind w:left="880" w:right="280" w:firstLine="816"/>
        <w:spacing w:after="0" w:line="251" w:lineRule="auto"/>
        <w:tabs>
          <w:tab w:leader="none" w:pos="2656" w:val="left"/>
        </w:tabs>
        <w:numPr>
          <w:ilvl w:val="0"/>
          <w:numId w:val="127"/>
        </w:numPr>
        <w:rPr>
          <w:rFonts w:ascii="Arial" w:cs="Arial" w:eastAsia="Arial" w:hAnsi="Arial"/>
          <w:sz w:val="22"/>
          <w:szCs w:val="22"/>
          <w:b w:val="1"/>
          <w:bCs w:val="1"/>
          <w:color w:val="auto"/>
        </w:rPr>
      </w:pPr>
      <w:r>
        <w:rPr>
          <w:rFonts w:ascii="Arial" w:cs="Arial" w:eastAsia="Arial" w:hAnsi="Arial"/>
          <w:sz w:val="22"/>
          <w:szCs w:val="22"/>
          <w:color w:val="auto"/>
        </w:rPr>
        <w:t>either Party may assign this Agreement in its entirety to a successor to all or substantially all of its business or assets to which this Agreement relates;</w:t>
      </w:r>
    </w:p>
    <w:p>
      <w:pPr>
        <w:spacing w:after="0" w:line="119" w:lineRule="exact"/>
        <w:rPr>
          <w:rFonts w:ascii="Arial" w:cs="Arial" w:eastAsia="Arial" w:hAnsi="Arial"/>
          <w:sz w:val="22"/>
          <w:szCs w:val="22"/>
          <w:b w:val="1"/>
          <w:bCs w:val="1"/>
          <w:color w:val="auto"/>
        </w:rPr>
      </w:pPr>
    </w:p>
    <w:p>
      <w:pPr>
        <w:ind w:left="880" w:right="820" w:firstLine="816"/>
        <w:spacing w:after="0" w:line="251" w:lineRule="auto"/>
        <w:tabs>
          <w:tab w:leader="none" w:pos="2578" w:val="left"/>
        </w:tabs>
        <w:numPr>
          <w:ilvl w:val="0"/>
          <w:numId w:val="127"/>
        </w:numPr>
        <w:rPr>
          <w:rFonts w:ascii="Arial" w:cs="Arial" w:eastAsia="Arial" w:hAnsi="Arial"/>
          <w:sz w:val="22"/>
          <w:szCs w:val="22"/>
          <w:b w:val="1"/>
          <w:bCs w:val="1"/>
          <w:color w:val="auto"/>
        </w:rPr>
      </w:pPr>
      <w:r>
        <w:rPr>
          <w:rFonts w:ascii="Arial" w:cs="Arial" w:eastAsia="Arial" w:hAnsi="Arial"/>
          <w:sz w:val="22"/>
          <w:szCs w:val="22"/>
          <w:color w:val="auto"/>
        </w:rPr>
        <w:t>prior to the payment of the Commercial Rights Fee, Novartis may assign its rights under this Agreement with Cerulean’s consent, which will not be unreasonably withheld; and</w:t>
      </w:r>
    </w:p>
    <w:p>
      <w:pPr>
        <w:spacing w:after="0" w:line="119" w:lineRule="exact"/>
        <w:rPr>
          <w:rFonts w:ascii="Arial" w:cs="Arial" w:eastAsia="Arial" w:hAnsi="Arial"/>
          <w:sz w:val="22"/>
          <w:szCs w:val="22"/>
          <w:b w:val="1"/>
          <w:bCs w:val="1"/>
          <w:color w:val="auto"/>
        </w:rPr>
      </w:pPr>
    </w:p>
    <w:p>
      <w:pPr>
        <w:ind w:left="880" w:right="40" w:firstLine="816"/>
        <w:spacing w:after="0" w:line="297" w:lineRule="auto"/>
        <w:tabs>
          <w:tab w:leader="none" w:pos="2602" w:val="left"/>
        </w:tabs>
        <w:numPr>
          <w:ilvl w:val="0"/>
          <w:numId w:val="127"/>
        </w:numPr>
        <w:rPr>
          <w:rFonts w:ascii="Arial" w:cs="Arial" w:eastAsia="Arial" w:hAnsi="Arial"/>
          <w:sz w:val="19"/>
          <w:szCs w:val="19"/>
          <w:b w:val="1"/>
          <w:bCs w:val="1"/>
          <w:color w:val="auto"/>
        </w:rPr>
      </w:pPr>
      <w:r>
        <w:rPr>
          <w:rFonts w:ascii="Arial" w:cs="Arial" w:eastAsia="Arial" w:hAnsi="Arial"/>
          <w:sz w:val="19"/>
          <w:szCs w:val="19"/>
          <w:color w:val="auto"/>
        </w:rPr>
        <w:t>after payment of the Commercial Rights Fee, Novartis will have the right to assign its rights relating to the relevant Program to a Qualified Commercial Entity without Cerulean’s consent or to another Third Party that is not a Qualified Commercial Entity with Cerulean’s consent, not to be unreasonably withheld or delayed.</w:t>
      </w:r>
    </w:p>
    <w:p>
      <w:pPr>
        <w:spacing w:after="0" w:line="80" w:lineRule="exact"/>
        <w:rPr>
          <w:sz w:val="20"/>
          <w:szCs w:val="20"/>
          <w:color w:val="auto"/>
        </w:rPr>
      </w:pPr>
    </w:p>
    <w:p>
      <w:pPr>
        <w:ind w:right="200"/>
        <w:spacing w:after="0" w:line="238" w:lineRule="auto"/>
        <w:rPr>
          <w:sz w:val="20"/>
          <w:szCs w:val="20"/>
          <w:color w:val="auto"/>
        </w:rPr>
      </w:pPr>
      <w:r>
        <w:rPr>
          <w:rFonts w:ascii="Arial" w:cs="Arial" w:eastAsia="Arial" w:hAnsi="Arial"/>
          <w:sz w:val="22"/>
          <w:szCs w:val="22"/>
          <w:color w:val="auto"/>
        </w:rPr>
        <w:t>Any permitted assignee will assume all obligations of its assignor under this Agreement (or related to the assigned portion in case of a partial assignment). Any attempted assignment in contravention of the foregoing will be void. Subject to the terms of this Agreement, this Agreement will be binding upon and inure to the benefit of the Parties and their respective successors and permitted assigns.</w:t>
      </w:r>
    </w:p>
    <w:p>
      <w:pPr>
        <w:spacing w:after="0" w:line="125" w:lineRule="exact"/>
        <w:rPr>
          <w:sz w:val="20"/>
          <w:szCs w:val="20"/>
          <w:color w:val="auto"/>
        </w:rPr>
      </w:pPr>
    </w:p>
    <w:p>
      <w:pPr>
        <w:spacing w:after="0"/>
        <w:tabs>
          <w:tab w:leader="none" w:pos="1720" w:val="left"/>
        </w:tabs>
        <w:rPr>
          <w:sz w:val="20"/>
          <w:szCs w:val="20"/>
          <w:color w:val="auto"/>
        </w:rPr>
      </w:pPr>
      <w:r>
        <w:rPr>
          <w:rFonts w:ascii="Arial" w:cs="Arial" w:eastAsia="Arial" w:hAnsi="Arial"/>
          <w:sz w:val="22"/>
          <w:szCs w:val="22"/>
          <w:b w:val="1"/>
          <w:bCs w:val="1"/>
          <w:color w:val="auto"/>
        </w:rPr>
        <w:t>Section 11.2</w:t>
      </w:r>
      <w:r>
        <w:rPr>
          <w:sz w:val="20"/>
          <w:szCs w:val="20"/>
          <w:color w:val="auto"/>
        </w:rPr>
        <w:tab/>
      </w:r>
      <w:r>
        <w:rPr>
          <w:rFonts w:ascii="Arial" w:cs="Arial" w:eastAsia="Arial" w:hAnsi="Arial"/>
          <w:sz w:val="19"/>
          <w:szCs w:val="19"/>
          <w:b w:val="1"/>
          <w:bCs w:val="1"/>
          <w:color w:val="auto"/>
        </w:rPr>
        <w:t>Extension to Affiliates.</w:t>
      </w:r>
    </w:p>
    <w:p>
      <w:pPr>
        <w:spacing w:after="0" w:line="158" w:lineRule="exact"/>
        <w:rPr>
          <w:sz w:val="20"/>
          <w:szCs w:val="20"/>
          <w:color w:val="auto"/>
        </w:rPr>
      </w:pPr>
    </w:p>
    <w:p>
      <w:pPr>
        <w:ind w:right="120" w:firstLine="877"/>
        <w:spacing w:after="0" w:line="238" w:lineRule="auto"/>
        <w:rPr>
          <w:sz w:val="20"/>
          <w:szCs w:val="20"/>
          <w:color w:val="auto"/>
        </w:rPr>
      </w:pPr>
      <w:r>
        <w:rPr>
          <w:rFonts w:ascii="Arial" w:cs="Arial" w:eastAsia="Arial" w:hAnsi="Arial"/>
          <w:sz w:val="22"/>
          <w:szCs w:val="22"/>
          <w:color w:val="auto"/>
        </w:rPr>
        <w:t>Novartis will have the right to extend the rights, immunities and obligations granted in this Agreement to one or more of its Affiliates. All applicable terms and provisions of this Agreement will apply to any such Affiliate to which this Agreement has been extended to the same extent as such terms and provisions apply to Novartis. Novartis will remain liable for any acts or omissions of its Affiliates.</w:t>
      </w:r>
    </w:p>
    <w:p>
      <w:pPr>
        <w:spacing w:after="0" w:line="125" w:lineRule="exact"/>
        <w:rPr>
          <w:sz w:val="20"/>
          <w:szCs w:val="20"/>
          <w:color w:val="auto"/>
        </w:rPr>
      </w:pPr>
    </w:p>
    <w:p>
      <w:pPr>
        <w:spacing w:after="0"/>
        <w:tabs>
          <w:tab w:leader="none" w:pos="1720" w:val="left"/>
        </w:tabs>
        <w:rPr>
          <w:sz w:val="20"/>
          <w:szCs w:val="20"/>
          <w:color w:val="auto"/>
        </w:rPr>
      </w:pPr>
      <w:r>
        <w:rPr>
          <w:rFonts w:ascii="Arial" w:cs="Arial" w:eastAsia="Arial" w:hAnsi="Arial"/>
          <w:sz w:val="22"/>
          <w:szCs w:val="22"/>
          <w:b w:val="1"/>
          <w:bCs w:val="1"/>
          <w:color w:val="auto"/>
        </w:rPr>
        <w:t>Section 11.3</w:t>
      </w:r>
      <w:r>
        <w:rPr>
          <w:sz w:val="20"/>
          <w:szCs w:val="20"/>
          <w:color w:val="auto"/>
        </w:rPr>
        <w:tab/>
      </w:r>
      <w:r>
        <w:rPr>
          <w:rFonts w:ascii="Arial" w:cs="Arial" w:eastAsia="Arial" w:hAnsi="Arial"/>
          <w:sz w:val="19"/>
          <w:szCs w:val="19"/>
          <w:b w:val="1"/>
          <w:bCs w:val="1"/>
          <w:color w:val="auto"/>
        </w:rPr>
        <w:t>Severability.</w:t>
      </w:r>
    </w:p>
    <w:p>
      <w:pPr>
        <w:spacing w:after="0" w:line="158" w:lineRule="exact"/>
        <w:rPr>
          <w:sz w:val="20"/>
          <w:szCs w:val="20"/>
          <w:color w:val="auto"/>
        </w:rPr>
      </w:pPr>
    </w:p>
    <w:p>
      <w:pPr>
        <w:ind w:right="420" w:firstLine="877"/>
        <w:spacing w:after="0" w:line="287" w:lineRule="auto"/>
        <w:rPr>
          <w:sz w:val="20"/>
          <w:szCs w:val="20"/>
          <w:color w:val="auto"/>
        </w:rPr>
      </w:pPr>
      <w:r>
        <w:rPr>
          <w:rFonts w:ascii="Arial" w:cs="Arial" w:eastAsia="Arial" w:hAnsi="Arial"/>
          <w:sz w:val="19"/>
          <w:szCs w:val="19"/>
          <w:color w:val="auto"/>
        </w:rPr>
        <w:t>Should one or more of the provisions of this Agreement become void or unenforceable as a matter of law, then this Agreement will be construed as if such provision were not contained herein and the remainder of this Agreement will be in full force and effect, and the Parties will use their commercially reasonable efforts to substitute for the invalid or unenforceable provision a valid and enforceable provision which conforms as nearly as possible with the original intent of the Parties.</w:t>
      </w:r>
    </w:p>
    <w:p>
      <w:pPr>
        <w:spacing w:after="0" w:line="83" w:lineRule="exact"/>
        <w:rPr>
          <w:sz w:val="20"/>
          <w:szCs w:val="20"/>
          <w:color w:val="auto"/>
        </w:rPr>
      </w:pPr>
    </w:p>
    <w:p>
      <w:pPr>
        <w:spacing w:after="0"/>
        <w:tabs>
          <w:tab w:leader="none" w:pos="1720" w:val="left"/>
        </w:tabs>
        <w:rPr>
          <w:sz w:val="20"/>
          <w:szCs w:val="20"/>
          <w:color w:val="auto"/>
        </w:rPr>
      </w:pPr>
      <w:r>
        <w:rPr>
          <w:rFonts w:ascii="Arial" w:cs="Arial" w:eastAsia="Arial" w:hAnsi="Arial"/>
          <w:sz w:val="22"/>
          <w:szCs w:val="22"/>
          <w:b w:val="1"/>
          <w:bCs w:val="1"/>
          <w:color w:val="auto"/>
        </w:rPr>
        <w:t>Section 11.4</w:t>
      </w:r>
      <w:r>
        <w:rPr>
          <w:sz w:val="20"/>
          <w:szCs w:val="20"/>
          <w:color w:val="auto"/>
        </w:rPr>
        <w:tab/>
      </w:r>
      <w:r>
        <w:rPr>
          <w:rFonts w:ascii="Arial" w:cs="Arial" w:eastAsia="Arial" w:hAnsi="Arial"/>
          <w:sz w:val="19"/>
          <w:szCs w:val="19"/>
          <w:b w:val="1"/>
          <w:bCs w:val="1"/>
          <w:color w:val="auto"/>
        </w:rPr>
        <w:t>Governing Law and Jurisdiction.</w:t>
      </w:r>
    </w:p>
    <w:p>
      <w:pPr>
        <w:spacing w:after="0" w:line="158" w:lineRule="exact"/>
        <w:rPr>
          <w:sz w:val="20"/>
          <w:szCs w:val="20"/>
          <w:color w:val="auto"/>
        </w:rPr>
      </w:pPr>
    </w:p>
    <w:p>
      <w:pPr>
        <w:jc w:val="both"/>
        <w:ind w:right="180" w:firstLine="877"/>
        <w:spacing w:after="0"/>
        <w:rPr>
          <w:sz w:val="20"/>
          <w:szCs w:val="20"/>
          <w:color w:val="auto"/>
        </w:rPr>
      </w:pPr>
      <w:r>
        <w:rPr>
          <w:rFonts w:ascii="Arial" w:cs="Arial" w:eastAsia="Arial" w:hAnsi="Arial"/>
          <w:sz w:val="22"/>
          <w:szCs w:val="22"/>
          <w:color w:val="auto"/>
        </w:rPr>
        <w:t>This Agreement will be governed by and construed under the laws of the State of New York, United States of America, without giving effect to the conflicts of laws provision thereof. The United Nations Convention on Contracts for the International Sale of Goods (1980) will not apply to the interpretation of this Agreement.</w:t>
      </w:r>
    </w:p>
    <w:p>
      <w:pPr>
        <w:spacing w:after="0" w:line="126" w:lineRule="exact"/>
        <w:rPr>
          <w:sz w:val="20"/>
          <w:szCs w:val="20"/>
          <w:color w:val="auto"/>
        </w:rPr>
      </w:pPr>
    </w:p>
    <w:p>
      <w:pPr>
        <w:spacing w:after="0"/>
        <w:tabs>
          <w:tab w:leader="none" w:pos="1720" w:val="left"/>
        </w:tabs>
        <w:rPr>
          <w:sz w:val="20"/>
          <w:szCs w:val="20"/>
          <w:color w:val="auto"/>
        </w:rPr>
      </w:pPr>
      <w:r>
        <w:rPr>
          <w:rFonts w:ascii="Arial" w:cs="Arial" w:eastAsia="Arial" w:hAnsi="Arial"/>
          <w:sz w:val="22"/>
          <w:szCs w:val="22"/>
          <w:b w:val="1"/>
          <w:bCs w:val="1"/>
          <w:color w:val="auto"/>
        </w:rPr>
        <w:t>Section 11.5</w:t>
      </w:r>
      <w:r>
        <w:rPr>
          <w:sz w:val="20"/>
          <w:szCs w:val="20"/>
          <w:color w:val="auto"/>
        </w:rPr>
        <w:tab/>
      </w:r>
      <w:r>
        <w:rPr>
          <w:rFonts w:ascii="Arial" w:cs="Arial" w:eastAsia="Arial" w:hAnsi="Arial"/>
          <w:sz w:val="19"/>
          <w:szCs w:val="19"/>
          <w:b w:val="1"/>
          <w:bCs w:val="1"/>
          <w:color w:val="auto"/>
        </w:rPr>
        <w:t>Waivers and Amendments.</w:t>
      </w:r>
    </w:p>
    <w:p>
      <w:pPr>
        <w:spacing w:after="0" w:line="158" w:lineRule="exact"/>
        <w:rPr>
          <w:sz w:val="20"/>
          <w:szCs w:val="20"/>
          <w:color w:val="auto"/>
        </w:rPr>
      </w:pPr>
    </w:p>
    <w:p>
      <w:pPr>
        <w:ind w:right="40" w:firstLine="877"/>
        <w:spacing w:after="0" w:line="236" w:lineRule="auto"/>
        <w:rPr>
          <w:sz w:val="20"/>
          <w:szCs w:val="20"/>
          <w:color w:val="auto"/>
        </w:rPr>
      </w:pPr>
      <w:r>
        <w:rPr>
          <w:rFonts w:ascii="Arial" w:cs="Arial" w:eastAsia="Arial" w:hAnsi="Arial"/>
          <w:sz w:val="22"/>
          <w:szCs w:val="22"/>
          <w:color w:val="auto"/>
        </w:rPr>
        <w:t>The failure of any Party to assert a right hereunder or to insist upon compliance with any term or condition of this Agreement will not constitute a waiver of that right or excuse a similar subsequent failure to perform any such term or condition by the other Party. No waiver will be effective unless it has been given in writing and signed by the Party giving such waiver. No provision of this Agreement may be amended or modified other than by a written document signed by authorized representatives of each Party.</w:t>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4" w:name="page115"/>
    <w:bookmarkEnd w:id="114"/>
    <w:p>
      <w:pPr>
        <w:ind w:left="9560"/>
        <w:spacing w:after="0"/>
        <w:rPr>
          <w:sz w:val="20"/>
          <w:szCs w:val="20"/>
          <w:color w:val="auto"/>
        </w:rPr>
      </w:pPr>
      <w:r>
        <w:rPr>
          <w:rFonts w:ascii="Arial" w:cs="Arial" w:eastAsia="Arial" w:hAnsi="Arial"/>
          <w:sz w:val="19"/>
          <w:szCs w:val="19"/>
          <w:color w:val="auto"/>
        </w:rPr>
        <w:t>EXECUTION COPY</w:t>
      </w:r>
    </w:p>
    <w:p>
      <w:pPr>
        <w:spacing w:after="0" w:line="262" w:lineRule="exact"/>
        <w:rPr>
          <w:sz w:val="20"/>
          <w:szCs w:val="20"/>
          <w:color w:val="auto"/>
        </w:rPr>
      </w:pPr>
    </w:p>
    <w:p>
      <w:pPr>
        <w:spacing w:after="0"/>
        <w:tabs>
          <w:tab w:leader="none" w:pos="1720" w:val="left"/>
        </w:tabs>
        <w:rPr>
          <w:sz w:val="20"/>
          <w:szCs w:val="20"/>
          <w:color w:val="auto"/>
        </w:rPr>
      </w:pPr>
      <w:r>
        <w:rPr>
          <w:rFonts w:ascii="Arial" w:cs="Arial" w:eastAsia="Arial" w:hAnsi="Arial"/>
          <w:sz w:val="22"/>
          <w:szCs w:val="22"/>
          <w:b w:val="1"/>
          <w:bCs w:val="1"/>
          <w:color w:val="auto"/>
        </w:rPr>
        <w:t>Section 11.6</w:t>
      </w:r>
      <w:r>
        <w:rPr>
          <w:sz w:val="20"/>
          <w:szCs w:val="20"/>
          <w:color w:val="auto"/>
        </w:rPr>
        <w:tab/>
      </w:r>
      <w:r>
        <w:rPr>
          <w:rFonts w:ascii="Arial" w:cs="Arial" w:eastAsia="Arial" w:hAnsi="Arial"/>
          <w:sz w:val="19"/>
          <w:szCs w:val="19"/>
          <w:b w:val="1"/>
          <w:bCs w:val="1"/>
          <w:color w:val="auto"/>
        </w:rPr>
        <w:t>Relationship of the Parties; Fair Market Value.</w:t>
      </w:r>
    </w:p>
    <w:p>
      <w:pPr>
        <w:spacing w:after="0" w:line="158" w:lineRule="exact"/>
        <w:rPr>
          <w:sz w:val="20"/>
          <w:szCs w:val="20"/>
          <w:color w:val="auto"/>
        </w:rPr>
      </w:pPr>
    </w:p>
    <w:p>
      <w:pPr>
        <w:ind w:right="40" w:firstLine="877"/>
        <w:spacing w:after="0" w:line="234" w:lineRule="auto"/>
        <w:rPr>
          <w:sz w:val="20"/>
          <w:szCs w:val="20"/>
          <w:color w:val="auto"/>
        </w:rPr>
      </w:pPr>
      <w:r>
        <w:rPr>
          <w:rFonts w:ascii="Arial" w:cs="Arial" w:eastAsia="Arial" w:hAnsi="Arial"/>
          <w:sz w:val="22"/>
          <w:szCs w:val="22"/>
          <w:color w:val="auto"/>
        </w:rPr>
        <w:t>Nothing contained in this Agreement will be deemed to constitute a partnership, joint venture, or legal entity of any type between Cerulean and Novartis, or to constitute one as the agent of the other. Moreover, each Party will not construe this Agreement, or any of the transactions contemplated hereby, as a partnership for any tax purposes. Each Party will act solely as an independent contractor, and nothing in this Agreement will be construed to give any Party the power or authority to act for, bind, or commit the other. The Parties acknowledge that, as of the Effective Date, the payments contemplated by this Agreement were negotiated on an arm’s-length basis and constitute a fair market valuation of the relevant Intellectual Property Rights, and the various Milestones, Sales Milestones, Royalties, and Annual Maintenance Fees were determined through an arm’s-length negotiation.</w:t>
      </w:r>
    </w:p>
    <w:p>
      <w:pPr>
        <w:spacing w:after="0" w:line="128" w:lineRule="exact"/>
        <w:rPr>
          <w:sz w:val="20"/>
          <w:szCs w:val="20"/>
          <w:color w:val="auto"/>
        </w:rPr>
      </w:pPr>
    </w:p>
    <w:p>
      <w:pPr>
        <w:spacing w:after="0"/>
        <w:tabs>
          <w:tab w:leader="none" w:pos="1720" w:val="left"/>
        </w:tabs>
        <w:rPr>
          <w:sz w:val="20"/>
          <w:szCs w:val="20"/>
          <w:color w:val="auto"/>
        </w:rPr>
      </w:pPr>
      <w:r>
        <w:rPr>
          <w:rFonts w:ascii="Arial" w:cs="Arial" w:eastAsia="Arial" w:hAnsi="Arial"/>
          <w:sz w:val="22"/>
          <w:szCs w:val="22"/>
          <w:b w:val="1"/>
          <w:bCs w:val="1"/>
          <w:color w:val="auto"/>
        </w:rPr>
        <w:t>Section 11.7</w:t>
      </w:r>
      <w:r>
        <w:rPr>
          <w:sz w:val="20"/>
          <w:szCs w:val="20"/>
          <w:color w:val="auto"/>
        </w:rPr>
        <w:tab/>
      </w:r>
      <w:r>
        <w:rPr>
          <w:rFonts w:ascii="Arial" w:cs="Arial" w:eastAsia="Arial" w:hAnsi="Arial"/>
          <w:sz w:val="19"/>
          <w:szCs w:val="19"/>
          <w:b w:val="1"/>
          <w:bCs w:val="1"/>
          <w:color w:val="auto"/>
        </w:rPr>
        <w:t>Notices.</w:t>
      </w:r>
    </w:p>
    <w:p>
      <w:pPr>
        <w:spacing w:after="0" w:line="158" w:lineRule="exact"/>
        <w:rPr>
          <w:sz w:val="20"/>
          <w:szCs w:val="20"/>
          <w:color w:val="auto"/>
        </w:rPr>
      </w:pPr>
    </w:p>
    <w:p>
      <w:pPr>
        <w:ind w:right="40" w:firstLine="877"/>
        <w:spacing w:after="0" w:line="252" w:lineRule="auto"/>
        <w:rPr>
          <w:sz w:val="20"/>
          <w:szCs w:val="20"/>
          <w:color w:val="auto"/>
        </w:rPr>
      </w:pPr>
      <w:r>
        <w:rPr>
          <w:rFonts w:ascii="Arial" w:cs="Arial" w:eastAsia="Arial" w:hAnsi="Arial"/>
          <w:sz w:val="21"/>
          <w:szCs w:val="21"/>
          <w:color w:val="auto"/>
        </w:rPr>
        <w:t>All notices, consents, waivers, and other communications under this Agreement must be in writing and will be deemed to have been duly given when: delivered by hand (with written confirmation of receipt), or when received by the addressee, if sent by an internationally recognized overnight delivery service (receipt requested), in each case to the appropriate addresses set forth below (or to such other addresses and fax numbers as a Party may designate by notice):</w:t>
      </w:r>
    </w:p>
    <w:p>
      <w:pPr>
        <w:spacing w:after="0" w:line="12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If to Cerulean:</w:t>
      </w:r>
    </w:p>
    <w:p>
      <w:pPr>
        <w:spacing w:after="0" w:line="152" w:lineRule="exact"/>
        <w:rPr>
          <w:sz w:val="20"/>
          <w:szCs w:val="20"/>
          <w:color w:val="auto"/>
        </w:rPr>
      </w:pPr>
    </w:p>
    <w:p>
      <w:pPr>
        <w:ind w:left="1540"/>
        <w:spacing w:after="0"/>
        <w:rPr>
          <w:sz w:val="20"/>
          <w:szCs w:val="20"/>
          <w:color w:val="auto"/>
        </w:rPr>
      </w:pPr>
      <w:r>
        <w:rPr>
          <w:rFonts w:ascii="Arial" w:cs="Arial" w:eastAsia="Arial" w:hAnsi="Arial"/>
          <w:sz w:val="22"/>
          <w:szCs w:val="22"/>
          <w:color w:val="auto"/>
        </w:rPr>
        <w:t>Cerulean Pharma Inc.</w:t>
      </w:r>
    </w:p>
    <w:p>
      <w:pPr>
        <w:ind w:left="1540"/>
        <w:spacing w:after="0" w:line="238" w:lineRule="auto"/>
        <w:rPr>
          <w:sz w:val="20"/>
          <w:szCs w:val="20"/>
          <w:color w:val="auto"/>
        </w:rPr>
      </w:pPr>
      <w:r>
        <w:rPr>
          <w:rFonts w:ascii="Arial" w:cs="Arial" w:eastAsia="Arial" w:hAnsi="Arial"/>
          <w:sz w:val="22"/>
          <w:szCs w:val="22"/>
          <w:color w:val="auto"/>
        </w:rPr>
        <w:t>35 Gatehouse Drive</w:t>
      </w:r>
    </w:p>
    <w:p>
      <w:pPr>
        <w:ind w:left="1540"/>
        <w:spacing w:after="0" w:line="230" w:lineRule="auto"/>
        <w:rPr>
          <w:sz w:val="20"/>
          <w:szCs w:val="20"/>
          <w:color w:val="auto"/>
        </w:rPr>
      </w:pPr>
      <w:r>
        <w:rPr>
          <w:rFonts w:ascii="Arial" w:cs="Arial" w:eastAsia="Arial" w:hAnsi="Arial"/>
          <w:sz w:val="22"/>
          <w:szCs w:val="22"/>
          <w:color w:val="auto"/>
        </w:rPr>
        <w:t>Waltham, MA 02451 USA</w:t>
      </w:r>
    </w:p>
    <w:p>
      <w:pPr>
        <w:spacing w:after="0" w:line="1" w:lineRule="exact"/>
        <w:rPr>
          <w:sz w:val="20"/>
          <w:szCs w:val="20"/>
          <w:color w:val="auto"/>
        </w:rPr>
      </w:pPr>
    </w:p>
    <w:p>
      <w:pPr>
        <w:ind w:left="1540"/>
        <w:spacing w:after="0"/>
        <w:rPr>
          <w:sz w:val="20"/>
          <w:szCs w:val="20"/>
          <w:color w:val="auto"/>
        </w:rPr>
      </w:pPr>
      <w:r>
        <w:rPr>
          <w:rFonts w:ascii="Arial" w:cs="Arial" w:eastAsia="Arial" w:hAnsi="Arial"/>
          <w:sz w:val="22"/>
          <w:szCs w:val="22"/>
          <w:color w:val="auto"/>
        </w:rPr>
        <w:t>Attn: Chief Executive Officer</w:t>
      </w:r>
    </w:p>
    <w:p>
      <w:pPr>
        <w:spacing w:after="0" w:line="21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With a copy to: General Counsel</w:t>
      </w:r>
    </w:p>
    <w:p>
      <w:pPr>
        <w:spacing w:after="0" w:line="23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If to Novartis:</w:t>
      </w:r>
    </w:p>
    <w:p>
      <w:pPr>
        <w:spacing w:after="0" w:line="152" w:lineRule="exact"/>
        <w:rPr>
          <w:sz w:val="20"/>
          <w:szCs w:val="20"/>
          <w:color w:val="auto"/>
        </w:rPr>
      </w:pPr>
    </w:p>
    <w:p>
      <w:pPr>
        <w:ind w:left="1540"/>
        <w:spacing w:after="0"/>
        <w:rPr>
          <w:sz w:val="20"/>
          <w:szCs w:val="20"/>
          <w:color w:val="auto"/>
        </w:rPr>
      </w:pPr>
      <w:r>
        <w:rPr>
          <w:rFonts w:ascii="Arial" w:cs="Arial" w:eastAsia="Arial" w:hAnsi="Arial"/>
          <w:sz w:val="22"/>
          <w:szCs w:val="22"/>
          <w:color w:val="auto"/>
        </w:rPr>
        <w:t>Novartis Institutes for BioMedical Research, Inc.</w:t>
      </w:r>
    </w:p>
    <w:p>
      <w:pPr>
        <w:ind w:left="1540"/>
        <w:spacing w:after="0" w:line="238" w:lineRule="auto"/>
        <w:rPr>
          <w:sz w:val="20"/>
          <w:szCs w:val="20"/>
          <w:color w:val="auto"/>
        </w:rPr>
      </w:pPr>
      <w:r>
        <w:rPr>
          <w:rFonts w:ascii="Arial" w:cs="Arial" w:eastAsia="Arial" w:hAnsi="Arial"/>
          <w:sz w:val="22"/>
          <w:szCs w:val="22"/>
          <w:color w:val="auto"/>
        </w:rPr>
        <w:t>250 Massachusetts Avenue</w:t>
      </w:r>
    </w:p>
    <w:p>
      <w:pPr>
        <w:ind w:left="1540"/>
        <w:spacing w:after="0" w:line="230" w:lineRule="auto"/>
        <w:rPr>
          <w:sz w:val="20"/>
          <w:szCs w:val="20"/>
          <w:color w:val="auto"/>
        </w:rPr>
      </w:pPr>
      <w:r>
        <w:rPr>
          <w:rFonts w:ascii="Arial" w:cs="Arial" w:eastAsia="Arial" w:hAnsi="Arial"/>
          <w:sz w:val="22"/>
          <w:szCs w:val="22"/>
          <w:color w:val="auto"/>
        </w:rPr>
        <w:t>Cambridge, MA 02139 USA</w:t>
      </w:r>
    </w:p>
    <w:p>
      <w:pPr>
        <w:spacing w:after="0" w:line="1" w:lineRule="exact"/>
        <w:rPr>
          <w:sz w:val="20"/>
          <w:szCs w:val="20"/>
          <w:color w:val="auto"/>
        </w:rPr>
      </w:pPr>
    </w:p>
    <w:p>
      <w:pPr>
        <w:ind w:left="1540"/>
        <w:spacing w:after="0"/>
        <w:rPr>
          <w:sz w:val="20"/>
          <w:szCs w:val="20"/>
          <w:color w:val="auto"/>
        </w:rPr>
      </w:pPr>
      <w:r>
        <w:rPr>
          <w:rFonts w:ascii="Arial" w:cs="Arial" w:eastAsia="Arial" w:hAnsi="Arial"/>
          <w:sz w:val="22"/>
          <w:szCs w:val="22"/>
          <w:color w:val="auto"/>
        </w:rPr>
        <w:t>Attn: General Counsel</w:t>
      </w:r>
    </w:p>
    <w:p>
      <w:pPr>
        <w:spacing w:after="0" w:line="128" w:lineRule="exact"/>
        <w:rPr>
          <w:sz w:val="20"/>
          <w:szCs w:val="20"/>
          <w:color w:val="auto"/>
        </w:rPr>
      </w:pPr>
    </w:p>
    <w:p>
      <w:pPr>
        <w:spacing w:after="0"/>
        <w:tabs>
          <w:tab w:leader="none" w:pos="1720" w:val="left"/>
        </w:tabs>
        <w:rPr>
          <w:sz w:val="20"/>
          <w:szCs w:val="20"/>
          <w:color w:val="auto"/>
        </w:rPr>
      </w:pPr>
      <w:r>
        <w:rPr>
          <w:rFonts w:ascii="Arial" w:cs="Arial" w:eastAsia="Arial" w:hAnsi="Arial"/>
          <w:sz w:val="22"/>
          <w:szCs w:val="22"/>
          <w:b w:val="1"/>
          <w:bCs w:val="1"/>
          <w:color w:val="auto"/>
        </w:rPr>
        <w:t>Section 11.8</w:t>
      </w:r>
      <w:r>
        <w:rPr>
          <w:sz w:val="20"/>
          <w:szCs w:val="20"/>
          <w:color w:val="auto"/>
        </w:rPr>
        <w:tab/>
      </w:r>
      <w:r>
        <w:rPr>
          <w:rFonts w:ascii="Arial" w:cs="Arial" w:eastAsia="Arial" w:hAnsi="Arial"/>
          <w:sz w:val="19"/>
          <w:szCs w:val="19"/>
          <w:b w:val="1"/>
          <w:bCs w:val="1"/>
          <w:color w:val="auto"/>
        </w:rPr>
        <w:t>Further Assurances.</w:t>
      </w:r>
    </w:p>
    <w:p>
      <w:pPr>
        <w:spacing w:after="0" w:line="158" w:lineRule="exact"/>
        <w:rPr>
          <w:sz w:val="20"/>
          <w:szCs w:val="20"/>
          <w:color w:val="auto"/>
        </w:rPr>
      </w:pPr>
    </w:p>
    <w:p>
      <w:pPr>
        <w:ind w:right="180" w:firstLine="877"/>
        <w:spacing w:after="0" w:line="251" w:lineRule="auto"/>
        <w:rPr>
          <w:sz w:val="20"/>
          <w:szCs w:val="20"/>
          <w:color w:val="auto"/>
        </w:rPr>
      </w:pPr>
      <w:r>
        <w:rPr>
          <w:rFonts w:ascii="Arial" w:cs="Arial" w:eastAsia="Arial" w:hAnsi="Arial"/>
          <w:sz w:val="22"/>
          <w:szCs w:val="22"/>
          <w:color w:val="auto"/>
        </w:rPr>
        <w:t>Novartis and Cerulean will execute, acknowledge and deliver any and all such other documents and take any such other action as may be reasonably necessary to carry out the intent and purposes of this Agreement.</w:t>
      </w:r>
    </w:p>
    <w:p>
      <w:pPr>
        <w:spacing w:after="0" w:line="113" w:lineRule="exact"/>
        <w:rPr>
          <w:sz w:val="20"/>
          <w:szCs w:val="20"/>
          <w:color w:val="auto"/>
        </w:rPr>
      </w:pPr>
    </w:p>
    <w:p>
      <w:pPr>
        <w:spacing w:after="0"/>
        <w:tabs>
          <w:tab w:leader="none" w:pos="1720" w:val="left"/>
        </w:tabs>
        <w:rPr>
          <w:sz w:val="20"/>
          <w:szCs w:val="20"/>
          <w:color w:val="auto"/>
        </w:rPr>
      </w:pPr>
      <w:r>
        <w:rPr>
          <w:rFonts w:ascii="Arial" w:cs="Arial" w:eastAsia="Arial" w:hAnsi="Arial"/>
          <w:sz w:val="22"/>
          <w:szCs w:val="22"/>
          <w:b w:val="1"/>
          <w:bCs w:val="1"/>
          <w:color w:val="auto"/>
        </w:rPr>
        <w:t>Section 11.9</w:t>
      </w:r>
      <w:r>
        <w:rPr>
          <w:sz w:val="20"/>
          <w:szCs w:val="20"/>
          <w:color w:val="auto"/>
        </w:rPr>
        <w:tab/>
      </w:r>
      <w:r>
        <w:rPr>
          <w:rFonts w:ascii="Arial" w:cs="Arial" w:eastAsia="Arial" w:hAnsi="Arial"/>
          <w:sz w:val="19"/>
          <w:szCs w:val="19"/>
          <w:b w:val="1"/>
          <w:bCs w:val="1"/>
          <w:color w:val="auto"/>
        </w:rPr>
        <w:t>Compliance with Law.</w:t>
      </w:r>
    </w:p>
    <w:p>
      <w:pPr>
        <w:spacing w:after="0" w:line="158" w:lineRule="exact"/>
        <w:rPr>
          <w:sz w:val="20"/>
          <w:szCs w:val="20"/>
          <w:color w:val="auto"/>
        </w:rPr>
      </w:pPr>
    </w:p>
    <w:p>
      <w:pPr>
        <w:jc w:val="both"/>
        <w:ind w:right="100" w:firstLine="877"/>
        <w:spacing w:after="0"/>
        <w:rPr>
          <w:sz w:val="20"/>
          <w:szCs w:val="20"/>
          <w:color w:val="auto"/>
        </w:rPr>
      </w:pPr>
      <w:r>
        <w:rPr>
          <w:rFonts w:ascii="Arial" w:cs="Arial" w:eastAsia="Arial" w:hAnsi="Arial"/>
          <w:sz w:val="22"/>
          <w:szCs w:val="22"/>
          <w:color w:val="auto"/>
        </w:rPr>
        <w:t>Each Party will perform its obligations under this Agreement in accordance with all Applicable Laws. No Party will, or will be required to, undertake any activity under or in connection with this Agreement which violates, or which it believes, in good faith, may violate, any Applicable Law.</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2891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22"/>
          <w:szCs w:val="22"/>
          <w:color w:val="auto"/>
        </w:rPr>
        <w:t>EXECUTION COPY</w:t>
      </w:r>
    </w:p>
    <w:p>
      <w:pPr>
        <w:spacing w:after="0" w:line="228" w:lineRule="exact"/>
        <w:rPr>
          <w:sz w:val="20"/>
          <w:szCs w:val="20"/>
          <w:color w:val="auto"/>
        </w:rPr>
      </w:pPr>
    </w:p>
    <w:p>
      <w:pPr>
        <w:spacing w:after="0"/>
        <w:tabs>
          <w:tab w:leader="none" w:pos="1840" w:val="left"/>
        </w:tabs>
        <w:rPr>
          <w:sz w:val="20"/>
          <w:szCs w:val="20"/>
          <w:color w:val="auto"/>
        </w:rPr>
      </w:pPr>
      <w:r>
        <w:rPr>
          <w:rFonts w:ascii="Arial" w:cs="Arial" w:eastAsia="Arial" w:hAnsi="Arial"/>
          <w:sz w:val="22"/>
          <w:szCs w:val="22"/>
          <w:b w:val="1"/>
          <w:bCs w:val="1"/>
          <w:color w:val="auto"/>
        </w:rPr>
        <w:t>Section 11.10</w:t>
      </w:r>
      <w:r>
        <w:rPr>
          <w:sz w:val="20"/>
          <w:szCs w:val="20"/>
          <w:color w:val="auto"/>
        </w:rPr>
        <w:tab/>
      </w:r>
      <w:r>
        <w:rPr>
          <w:rFonts w:ascii="Arial" w:cs="Arial" w:eastAsia="Arial" w:hAnsi="Arial"/>
          <w:sz w:val="19"/>
          <w:szCs w:val="19"/>
          <w:b w:val="1"/>
          <w:bCs w:val="1"/>
          <w:color w:val="auto"/>
        </w:rPr>
        <w:t>No Third Party Beneficiary Rights.</w:t>
      </w:r>
    </w:p>
    <w:p>
      <w:pPr>
        <w:spacing w:after="0" w:line="158" w:lineRule="exact"/>
        <w:rPr>
          <w:sz w:val="20"/>
          <w:szCs w:val="20"/>
          <w:color w:val="auto"/>
        </w:rPr>
      </w:pPr>
    </w:p>
    <w:p>
      <w:pPr>
        <w:ind w:right="300" w:firstLine="877"/>
        <w:spacing w:after="0" w:line="328" w:lineRule="auto"/>
        <w:rPr>
          <w:sz w:val="20"/>
          <w:szCs w:val="20"/>
          <w:color w:val="auto"/>
        </w:rPr>
      </w:pPr>
      <w:r>
        <w:rPr>
          <w:rFonts w:ascii="Arial" w:cs="Arial" w:eastAsia="Arial" w:hAnsi="Arial"/>
          <w:sz w:val="19"/>
          <w:szCs w:val="19"/>
          <w:color w:val="auto"/>
        </w:rPr>
        <w:t>The provisions of this Agreement are for the sole benefit of the Parties and their successors and permitted assigns, and they will not be construed as conferring any rights to any Third Party (including any third party beneficiary rights).</w:t>
      </w:r>
    </w:p>
    <w:p>
      <w:pPr>
        <w:spacing w:after="0" w:line="45" w:lineRule="exact"/>
        <w:rPr>
          <w:sz w:val="20"/>
          <w:szCs w:val="20"/>
          <w:color w:val="auto"/>
        </w:rPr>
      </w:pPr>
    </w:p>
    <w:p>
      <w:pPr>
        <w:spacing w:after="0"/>
        <w:tabs>
          <w:tab w:leader="none" w:pos="1820" w:val="left"/>
        </w:tabs>
        <w:rPr>
          <w:sz w:val="20"/>
          <w:szCs w:val="20"/>
          <w:color w:val="auto"/>
        </w:rPr>
      </w:pPr>
      <w:r>
        <w:rPr>
          <w:rFonts w:ascii="Arial" w:cs="Arial" w:eastAsia="Arial" w:hAnsi="Arial"/>
          <w:sz w:val="22"/>
          <w:szCs w:val="22"/>
          <w:b w:val="1"/>
          <w:bCs w:val="1"/>
          <w:color w:val="auto"/>
        </w:rPr>
        <w:t>Section 11.11</w:t>
      </w:r>
      <w:r>
        <w:rPr>
          <w:sz w:val="20"/>
          <w:szCs w:val="20"/>
          <w:color w:val="auto"/>
        </w:rPr>
        <w:tab/>
      </w:r>
      <w:r>
        <w:rPr>
          <w:rFonts w:ascii="Arial" w:cs="Arial" w:eastAsia="Arial" w:hAnsi="Arial"/>
          <w:sz w:val="18"/>
          <w:szCs w:val="18"/>
          <w:b w:val="1"/>
          <w:bCs w:val="1"/>
          <w:color w:val="auto"/>
        </w:rPr>
        <w:t>Expenses.</w:t>
      </w:r>
    </w:p>
    <w:p>
      <w:pPr>
        <w:spacing w:after="0" w:line="158" w:lineRule="exact"/>
        <w:rPr>
          <w:sz w:val="20"/>
          <w:szCs w:val="20"/>
          <w:color w:val="auto"/>
        </w:rPr>
      </w:pPr>
    </w:p>
    <w:p>
      <w:pPr>
        <w:ind w:right="400" w:firstLine="877"/>
        <w:spacing w:after="0"/>
        <w:rPr>
          <w:sz w:val="20"/>
          <w:szCs w:val="20"/>
          <w:color w:val="auto"/>
        </w:rPr>
      </w:pPr>
      <w:r>
        <w:rPr>
          <w:rFonts w:ascii="Arial" w:cs="Arial" w:eastAsia="Arial" w:hAnsi="Arial"/>
          <w:sz w:val="22"/>
          <w:szCs w:val="22"/>
          <w:color w:val="auto"/>
        </w:rPr>
        <w:t>Except as otherwise expressly provided in this Agreement, each Party will pay the fees and expenses of its respective lawyers and other experts and all other expenses and costs incurred by such Party incidental to the negotiation, preparation, execution and delivery of this Agreement.</w:t>
      </w:r>
    </w:p>
    <w:p>
      <w:pPr>
        <w:spacing w:after="0" w:line="126" w:lineRule="exact"/>
        <w:rPr>
          <w:sz w:val="20"/>
          <w:szCs w:val="20"/>
          <w:color w:val="auto"/>
        </w:rPr>
      </w:pPr>
    </w:p>
    <w:p>
      <w:pPr>
        <w:spacing w:after="0"/>
        <w:tabs>
          <w:tab w:leader="none" w:pos="1840" w:val="left"/>
        </w:tabs>
        <w:rPr>
          <w:sz w:val="20"/>
          <w:szCs w:val="20"/>
          <w:color w:val="auto"/>
        </w:rPr>
      </w:pPr>
      <w:r>
        <w:rPr>
          <w:rFonts w:ascii="Arial" w:cs="Arial" w:eastAsia="Arial" w:hAnsi="Arial"/>
          <w:sz w:val="22"/>
          <w:szCs w:val="22"/>
          <w:b w:val="1"/>
          <w:bCs w:val="1"/>
          <w:color w:val="auto"/>
        </w:rPr>
        <w:t>Section 11.12</w:t>
      </w:r>
      <w:r>
        <w:rPr>
          <w:sz w:val="20"/>
          <w:szCs w:val="20"/>
          <w:color w:val="auto"/>
        </w:rPr>
        <w:tab/>
      </w:r>
      <w:r>
        <w:rPr>
          <w:rFonts w:ascii="Arial" w:cs="Arial" w:eastAsia="Arial" w:hAnsi="Arial"/>
          <w:sz w:val="19"/>
          <w:szCs w:val="19"/>
          <w:b w:val="1"/>
          <w:bCs w:val="1"/>
          <w:color w:val="auto"/>
        </w:rPr>
        <w:t>Entire Agreement.</w:t>
      </w:r>
    </w:p>
    <w:p>
      <w:pPr>
        <w:spacing w:after="0" w:line="158" w:lineRule="exact"/>
        <w:rPr>
          <w:sz w:val="20"/>
          <w:szCs w:val="20"/>
          <w:color w:val="auto"/>
        </w:rPr>
      </w:pPr>
    </w:p>
    <w:p>
      <w:pPr>
        <w:jc w:val="both"/>
        <w:ind w:right="420" w:firstLine="877"/>
        <w:spacing w:after="0" w:line="252" w:lineRule="auto"/>
        <w:rPr>
          <w:sz w:val="20"/>
          <w:szCs w:val="20"/>
          <w:color w:val="auto"/>
        </w:rPr>
      </w:pPr>
      <w:r>
        <w:rPr>
          <w:rFonts w:ascii="Arial" w:cs="Arial" w:eastAsia="Arial" w:hAnsi="Arial"/>
          <w:sz w:val="21"/>
          <w:szCs w:val="21"/>
          <w:color w:val="auto"/>
        </w:rPr>
        <w:t>This Agreement, together with its Exhibits, sets forth the entire agreement and understanding of the Parties as to the subject matter hereof and supersedes all proposals, oral or written, and all other prior communications between the Parties with respect to such subject matter. In the event of any conflict between a substantive provision of this Agreement and any Exhibit hereto, the substantive provisions of this Agreement will prevail.</w:t>
      </w:r>
    </w:p>
    <w:p>
      <w:pPr>
        <w:spacing w:after="0" w:line="114" w:lineRule="exact"/>
        <w:rPr>
          <w:sz w:val="20"/>
          <w:szCs w:val="20"/>
          <w:color w:val="auto"/>
        </w:rPr>
      </w:pPr>
    </w:p>
    <w:p>
      <w:pPr>
        <w:spacing w:after="0"/>
        <w:tabs>
          <w:tab w:leader="none" w:pos="1840" w:val="left"/>
        </w:tabs>
        <w:rPr>
          <w:sz w:val="20"/>
          <w:szCs w:val="20"/>
          <w:color w:val="auto"/>
        </w:rPr>
      </w:pPr>
      <w:r>
        <w:rPr>
          <w:rFonts w:ascii="Arial" w:cs="Arial" w:eastAsia="Arial" w:hAnsi="Arial"/>
          <w:sz w:val="22"/>
          <w:szCs w:val="22"/>
          <w:b w:val="1"/>
          <w:bCs w:val="1"/>
          <w:color w:val="auto"/>
        </w:rPr>
        <w:t>Section 11.13</w:t>
      </w:r>
      <w:r>
        <w:rPr>
          <w:sz w:val="20"/>
          <w:szCs w:val="20"/>
          <w:color w:val="auto"/>
        </w:rPr>
        <w:tab/>
      </w:r>
      <w:r>
        <w:rPr>
          <w:rFonts w:ascii="Arial" w:cs="Arial" w:eastAsia="Arial" w:hAnsi="Arial"/>
          <w:sz w:val="19"/>
          <w:szCs w:val="19"/>
          <w:b w:val="1"/>
          <w:bCs w:val="1"/>
          <w:color w:val="auto"/>
        </w:rPr>
        <w:t>Counterparts.</w:t>
      </w:r>
    </w:p>
    <w:p>
      <w:pPr>
        <w:spacing w:after="0" w:line="158" w:lineRule="exact"/>
        <w:rPr>
          <w:sz w:val="20"/>
          <w:szCs w:val="20"/>
          <w:color w:val="auto"/>
        </w:rPr>
      </w:pPr>
    </w:p>
    <w:p>
      <w:pPr>
        <w:ind w:right="20" w:firstLine="877"/>
        <w:spacing w:after="0" w:line="251" w:lineRule="auto"/>
        <w:rPr>
          <w:sz w:val="20"/>
          <w:szCs w:val="20"/>
          <w:color w:val="auto"/>
        </w:rPr>
      </w:pPr>
      <w:r>
        <w:rPr>
          <w:rFonts w:ascii="Arial" w:cs="Arial" w:eastAsia="Arial" w:hAnsi="Arial"/>
          <w:sz w:val="22"/>
          <w:szCs w:val="22"/>
          <w:color w:val="auto"/>
        </w:rPr>
        <w:t>This Agreement may be executed in two or more counterparts, each of which will be deemed an original, but all of which together will constitute one and the same instrument.</w:t>
      </w:r>
    </w:p>
    <w:p>
      <w:pPr>
        <w:spacing w:after="0" w:line="113" w:lineRule="exact"/>
        <w:rPr>
          <w:sz w:val="20"/>
          <w:szCs w:val="20"/>
          <w:color w:val="auto"/>
        </w:rPr>
      </w:pPr>
    </w:p>
    <w:p>
      <w:pPr>
        <w:spacing w:after="0"/>
        <w:tabs>
          <w:tab w:leader="none" w:pos="1840" w:val="left"/>
        </w:tabs>
        <w:rPr>
          <w:sz w:val="20"/>
          <w:szCs w:val="20"/>
          <w:color w:val="auto"/>
        </w:rPr>
      </w:pPr>
      <w:r>
        <w:rPr>
          <w:rFonts w:ascii="Arial" w:cs="Arial" w:eastAsia="Arial" w:hAnsi="Arial"/>
          <w:sz w:val="22"/>
          <w:szCs w:val="22"/>
          <w:b w:val="1"/>
          <w:bCs w:val="1"/>
          <w:color w:val="auto"/>
        </w:rPr>
        <w:t>Section 11.14</w:t>
      </w:r>
      <w:r>
        <w:rPr>
          <w:sz w:val="20"/>
          <w:szCs w:val="20"/>
          <w:color w:val="auto"/>
        </w:rPr>
        <w:tab/>
      </w:r>
      <w:r>
        <w:rPr>
          <w:rFonts w:ascii="Arial" w:cs="Arial" w:eastAsia="Arial" w:hAnsi="Arial"/>
          <w:sz w:val="19"/>
          <w:szCs w:val="19"/>
          <w:b w:val="1"/>
          <w:bCs w:val="1"/>
          <w:color w:val="auto"/>
        </w:rPr>
        <w:t>Cumulative Remedies.</w:t>
      </w:r>
    </w:p>
    <w:p>
      <w:pPr>
        <w:spacing w:after="0" w:line="158" w:lineRule="exact"/>
        <w:rPr>
          <w:sz w:val="20"/>
          <w:szCs w:val="20"/>
          <w:color w:val="auto"/>
        </w:rPr>
      </w:pPr>
    </w:p>
    <w:p>
      <w:pPr>
        <w:ind w:right="220" w:firstLine="877"/>
        <w:spacing w:after="0" w:line="251" w:lineRule="auto"/>
        <w:rPr>
          <w:sz w:val="20"/>
          <w:szCs w:val="20"/>
          <w:color w:val="auto"/>
        </w:rPr>
      </w:pPr>
      <w:r>
        <w:rPr>
          <w:rFonts w:ascii="Arial" w:cs="Arial" w:eastAsia="Arial" w:hAnsi="Arial"/>
          <w:sz w:val="22"/>
          <w:szCs w:val="22"/>
          <w:color w:val="auto"/>
        </w:rPr>
        <w:t>No remedy referred to in this Agreement is intended to be exclusive, but each will be cumulative and in addition to any other remedy referred to in this Agreement or otherwise available under Applicable Law.</w:t>
      </w:r>
    </w:p>
    <w:p>
      <w:pPr>
        <w:spacing w:after="0" w:line="200" w:lineRule="exact"/>
        <w:rPr>
          <w:sz w:val="20"/>
          <w:szCs w:val="20"/>
          <w:color w:val="auto"/>
        </w:rPr>
      </w:pPr>
    </w:p>
    <w:p>
      <w:pPr>
        <w:spacing w:after="0" w:line="399" w:lineRule="exact"/>
        <w:rPr>
          <w:sz w:val="20"/>
          <w:szCs w:val="20"/>
          <w:color w:val="auto"/>
        </w:rPr>
      </w:pPr>
    </w:p>
    <w:p>
      <w:pPr>
        <w:ind w:left="11220"/>
        <w:spacing w:after="0"/>
        <w:rPr>
          <w:sz w:val="20"/>
          <w:szCs w:val="20"/>
          <w:color w:val="auto"/>
        </w:rPr>
      </w:pPr>
      <w:r>
        <w:rPr>
          <w:rFonts w:ascii="Arial" w:cs="Arial" w:eastAsia="Arial" w:hAnsi="Arial"/>
          <w:sz w:val="17"/>
          <w:szCs w:val="17"/>
          <w:color w:val="auto"/>
        </w:rPr>
        <w:t>52</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61595</wp:posOffset>
            </wp:positionV>
            <wp:extent cx="72720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6" w:name="page117"/>
    <w:bookmarkEnd w:id="116"/>
    <w:p>
      <w:pPr>
        <w:jc w:val="right"/>
        <w:ind w:right="20"/>
        <w:spacing w:after="0"/>
        <w:rPr>
          <w:sz w:val="20"/>
          <w:szCs w:val="20"/>
          <w:color w:val="auto"/>
        </w:rPr>
      </w:pPr>
      <w:r>
        <w:rPr>
          <w:rFonts w:ascii="Arial" w:cs="Arial" w:eastAsia="Arial" w:hAnsi="Arial"/>
          <w:sz w:val="22"/>
          <w:szCs w:val="22"/>
          <w:color w:val="auto"/>
        </w:rPr>
        <w:t>EXECUTION COPY</w:t>
      </w:r>
    </w:p>
    <w:p>
      <w:pPr>
        <w:spacing w:after="0" w:line="234" w:lineRule="exact"/>
        <w:rPr>
          <w:sz w:val="20"/>
          <w:szCs w:val="20"/>
          <w:color w:val="auto"/>
        </w:rPr>
      </w:pPr>
    </w:p>
    <w:p>
      <w:pPr>
        <w:ind w:left="10040"/>
        <w:spacing w:after="0"/>
        <w:rPr>
          <w:sz w:val="20"/>
          <w:szCs w:val="20"/>
          <w:color w:val="auto"/>
        </w:rPr>
      </w:pPr>
      <w:r>
        <w:rPr>
          <w:rFonts w:ascii="Arial" w:cs="Arial" w:eastAsia="Arial" w:hAnsi="Arial"/>
          <w:sz w:val="18"/>
          <w:szCs w:val="18"/>
          <w:b w:val="1"/>
          <w:bCs w:val="1"/>
          <w:i w:val="1"/>
          <w:iCs w:val="1"/>
          <w:color w:val="auto"/>
        </w:rPr>
        <w:t>Signature Page</w:t>
      </w:r>
    </w:p>
    <w:p>
      <w:pPr>
        <w:spacing w:after="0" w:line="279" w:lineRule="exact"/>
        <w:rPr>
          <w:sz w:val="20"/>
          <w:szCs w:val="20"/>
          <w:color w:val="auto"/>
        </w:rPr>
      </w:pPr>
    </w:p>
    <w:p>
      <w:pPr>
        <w:jc w:val="both"/>
        <w:ind w:left="20" w:right="40" w:firstLine="875"/>
        <w:spacing w:after="0" w:line="251" w:lineRule="auto"/>
        <w:rPr>
          <w:sz w:val="20"/>
          <w:szCs w:val="20"/>
          <w:color w:val="auto"/>
        </w:rPr>
      </w:pPr>
      <w:r>
        <w:rPr>
          <w:rFonts w:ascii="Arial" w:cs="Arial" w:eastAsia="Arial" w:hAnsi="Arial"/>
          <w:sz w:val="22"/>
          <w:szCs w:val="22"/>
          <w:color w:val="auto"/>
        </w:rPr>
        <w:t>IN WITNESS WHEREOF, the parties hereto have caused this Research Collaboration Agreement to be executed by their respective duly authorized representatives as of the Effective Date.</w:t>
      </w:r>
    </w:p>
    <w:p>
      <w:pPr>
        <w:spacing w:after="0" w:line="185" w:lineRule="exact"/>
        <w:rPr>
          <w:sz w:val="20"/>
          <w:szCs w:val="20"/>
          <w:color w:val="auto"/>
        </w:rPr>
      </w:pPr>
    </w:p>
    <w:p>
      <w:pPr>
        <w:ind w:left="20"/>
        <w:spacing w:after="0"/>
        <w:tabs>
          <w:tab w:leader="none" w:pos="4560" w:val="left"/>
        </w:tabs>
        <w:rPr>
          <w:sz w:val="20"/>
          <w:szCs w:val="20"/>
          <w:color w:val="auto"/>
        </w:rPr>
      </w:pPr>
      <w:r>
        <w:rPr>
          <w:rFonts w:ascii="Arial" w:cs="Arial" w:eastAsia="Arial" w:hAnsi="Arial"/>
          <w:sz w:val="20"/>
          <w:szCs w:val="20"/>
          <w:b w:val="1"/>
          <w:bCs w:val="1"/>
          <w:color w:val="auto"/>
        </w:rPr>
        <w:t>N</w:t>
      </w:r>
      <w:r>
        <w:rPr>
          <w:rFonts w:ascii="Arial" w:cs="Arial" w:eastAsia="Arial" w:hAnsi="Arial"/>
          <w:sz w:val="13"/>
          <w:szCs w:val="13"/>
          <w:b w:val="1"/>
          <w:bCs w:val="1"/>
          <w:color w:val="auto"/>
        </w:rPr>
        <w:t>OVARTIS</w:t>
      </w:r>
      <w:r>
        <w:rPr>
          <w:rFonts w:ascii="Arial" w:cs="Arial" w:eastAsia="Arial" w:hAnsi="Arial"/>
          <w:sz w:val="20"/>
          <w:szCs w:val="20"/>
          <w:b w:val="1"/>
          <w:bCs w:val="1"/>
          <w:color w:val="auto"/>
        </w:rPr>
        <w:t xml:space="preserve"> I</w:t>
      </w:r>
      <w:r>
        <w:rPr>
          <w:rFonts w:ascii="Arial" w:cs="Arial" w:eastAsia="Arial" w:hAnsi="Arial"/>
          <w:sz w:val="13"/>
          <w:szCs w:val="13"/>
          <w:b w:val="1"/>
          <w:bCs w:val="1"/>
          <w:color w:val="auto"/>
        </w:rPr>
        <w:t>NSTITUTES</w:t>
      </w:r>
      <w:r>
        <w:rPr>
          <w:sz w:val="20"/>
          <w:szCs w:val="20"/>
          <w:color w:val="auto"/>
        </w:rPr>
        <w:tab/>
      </w:r>
      <w:r>
        <w:rPr>
          <w:rFonts w:ascii="Arial" w:cs="Arial" w:eastAsia="Arial" w:hAnsi="Arial"/>
          <w:sz w:val="20"/>
          <w:szCs w:val="20"/>
          <w:b w:val="1"/>
          <w:bCs w:val="1"/>
          <w:color w:val="auto"/>
        </w:rPr>
        <w:t>C</w:t>
      </w:r>
      <w:r>
        <w:rPr>
          <w:rFonts w:ascii="Arial" w:cs="Arial" w:eastAsia="Arial" w:hAnsi="Arial"/>
          <w:sz w:val="13"/>
          <w:szCs w:val="13"/>
          <w:b w:val="1"/>
          <w:bCs w:val="1"/>
          <w:color w:val="auto"/>
        </w:rPr>
        <w:t>ERULEAN</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HARMA</w:t>
      </w:r>
      <w:r>
        <w:rPr>
          <w:rFonts w:ascii="Arial" w:cs="Arial" w:eastAsia="Arial" w:hAnsi="Arial"/>
          <w:sz w:val="20"/>
          <w:szCs w:val="20"/>
          <w:b w:val="1"/>
          <w:bCs w:val="1"/>
          <w:color w:val="auto"/>
        </w:rPr>
        <w:t xml:space="preserve"> I</w:t>
      </w:r>
      <w:r>
        <w:rPr>
          <w:rFonts w:ascii="Arial" w:cs="Arial" w:eastAsia="Arial" w:hAnsi="Arial"/>
          <w:sz w:val="13"/>
          <w:szCs w:val="13"/>
          <w:b w:val="1"/>
          <w:bCs w:val="1"/>
          <w:color w:val="auto"/>
        </w:rPr>
        <w:t>NC</w:t>
      </w:r>
      <w:r>
        <w:rPr>
          <w:rFonts w:ascii="Arial" w:cs="Arial" w:eastAsia="Arial" w:hAnsi="Arial"/>
          <w:sz w:val="20"/>
          <w:szCs w:val="20"/>
          <w:b w:val="1"/>
          <w:bCs w:val="1"/>
          <w:color w:val="auto"/>
        </w:rPr>
        <w:t>.</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 xml:space="preserve">FOR </w:t>
      </w:r>
      <w:r>
        <w:rPr>
          <w:rFonts w:ascii="Arial" w:cs="Arial" w:eastAsia="Arial" w:hAnsi="Arial"/>
          <w:sz w:val="19"/>
          <w:szCs w:val="19"/>
          <w:b w:val="1"/>
          <w:bCs w:val="1"/>
          <w:color w:val="auto"/>
        </w:rPr>
        <w:t>B</w:t>
      </w:r>
      <w:r>
        <w:rPr>
          <w:rFonts w:ascii="Arial" w:cs="Arial" w:eastAsia="Arial" w:hAnsi="Arial"/>
          <w:sz w:val="14"/>
          <w:szCs w:val="14"/>
          <w:b w:val="1"/>
          <w:bCs w:val="1"/>
          <w:color w:val="auto"/>
        </w:rPr>
        <w:t>IO</w:t>
      </w:r>
      <w:r>
        <w:rPr>
          <w:rFonts w:ascii="Arial" w:cs="Arial" w:eastAsia="Arial" w:hAnsi="Arial"/>
          <w:sz w:val="19"/>
          <w:szCs w:val="19"/>
          <w:b w:val="1"/>
          <w:bCs w:val="1"/>
          <w:color w:val="auto"/>
        </w:rPr>
        <w:t>M</w:t>
      </w:r>
      <w:r>
        <w:rPr>
          <w:rFonts w:ascii="Arial" w:cs="Arial" w:eastAsia="Arial" w:hAnsi="Arial"/>
          <w:sz w:val="14"/>
          <w:szCs w:val="14"/>
          <w:b w:val="1"/>
          <w:bCs w:val="1"/>
          <w:color w:val="auto"/>
        </w:rPr>
        <w:t xml:space="preserve">EDICAL </w:t>
      </w:r>
      <w:r>
        <w:rPr>
          <w:rFonts w:ascii="Arial" w:cs="Arial" w:eastAsia="Arial" w:hAnsi="Arial"/>
          <w:sz w:val="19"/>
          <w:szCs w:val="19"/>
          <w:b w:val="1"/>
          <w:bCs w:val="1"/>
          <w:color w:val="auto"/>
        </w:rPr>
        <w:t>R</w:t>
      </w:r>
      <w:r>
        <w:rPr>
          <w:rFonts w:ascii="Arial" w:cs="Arial" w:eastAsia="Arial" w:hAnsi="Arial"/>
          <w:sz w:val="14"/>
          <w:szCs w:val="14"/>
          <w:b w:val="1"/>
          <w:bCs w:val="1"/>
          <w:color w:val="auto"/>
        </w:rPr>
        <w:t>ESEARCH</w:t>
      </w:r>
      <w:r>
        <w:rPr>
          <w:rFonts w:ascii="Arial" w:cs="Arial" w:eastAsia="Arial" w:hAnsi="Arial"/>
          <w:sz w:val="19"/>
          <w:szCs w:val="19"/>
          <w:b w:val="1"/>
          <w:bCs w:val="1"/>
          <w:color w:val="auto"/>
        </w:rPr>
        <w:t>, I</w:t>
      </w:r>
      <w:r>
        <w:rPr>
          <w:rFonts w:ascii="Arial" w:cs="Arial" w:eastAsia="Arial" w:hAnsi="Arial"/>
          <w:sz w:val="14"/>
          <w:szCs w:val="14"/>
          <w:b w:val="1"/>
          <w:bCs w:val="1"/>
          <w:color w:val="auto"/>
        </w:rPr>
        <w:t>NC</w:t>
      </w:r>
      <w:r>
        <w:rPr>
          <w:rFonts w:ascii="Arial" w:cs="Arial" w:eastAsia="Arial" w:hAnsi="Arial"/>
          <w:sz w:val="19"/>
          <w:szCs w:val="19"/>
          <w:b w:val="1"/>
          <w:bCs w:val="1"/>
          <w:color w:val="auto"/>
        </w:rPr>
        <w:t>.</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Arial" w:cs="Arial" w:eastAsia="Arial" w:hAnsi="Arial"/>
          <w:sz w:val="20"/>
          <w:szCs w:val="20"/>
          <w:color w:val="auto"/>
        </w:rPr>
        <w:t>/s/ Christian Klee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10160</wp:posOffset>
            </wp:positionV>
            <wp:extent cx="252984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ind w:left="20"/>
        <w:spacing w:after="0"/>
        <w:rPr>
          <w:sz w:val="20"/>
          <w:szCs w:val="20"/>
          <w:color w:val="auto"/>
        </w:rPr>
      </w:pPr>
      <w:r>
        <w:rPr>
          <w:rFonts w:ascii="Arial" w:cs="Arial" w:eastAsia="Arial" w:hAnsi="Arial"/>
          <w:sz w:val="20"/>
          <w:szCs w:val="20"/>
          <w:i w:val="1"/>
          <w:iCs w:val="1"/>
          <w:color w:val="auto"/>
        </w:rPr>
        <w:t>Signature</w:t>
      </w:r>
    </w:p>
    <w:p>
      <w:pPr>
        <w:spacing w:after="0" w:line="222" w:lineRule="exact"/>
        <w:rPr>
          <w:sz w:val="20"/>
          <w:szCs w:val="20"/>
          <w:color w:val="auto"/>
        </w:rPr>
      </w:pPr>
    </w:p>
    <w:p>
      <w:pPr>
        <w:ind w:left="260"/>
        <w:spacing w:after="0"/>
        <w:rPr>
          <w:sz w:val="20"/>
          <w:szCs w:val="20"/>
          <w:color w:val="auto"/>
        </w:rPr>
      </w:pPr>
      <w:r>
        <w:rPr>
          <w:rFonts w:ascii="Arial" w:cs="Arial" w:eastAsia="Arial" w:hAnsi="Arial"/>
          <w:sz w:val="20"/>
          <w:szCs w:val="20"/>
          <w:color w:val="auto"/>
        </w:rPr>
        <w:t>Christian Klee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10160</wp:posOffset>
            </wp:positionV>
            <wp:extent cx="252984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ind w:left="20"/>
        <w:spacing w:after="0"/>
        <w:rPr>
          <w:sz w:val="20"/>
          <w:szCs w:val="20"/>
          <w:color w:val="auto"/>
        </w:rPr>
      </w:pPr>
      <w:r>
        <w:rPr>
          <w:rFonts w:ascii="Arial" w:cs="Arial" w:eastAsia="Arial" w:hAnsi="Arial"/>
          <w:sz w:val="20"/>
          <w:szCs w:val="20"/>
          <w:i w:val="1"/>
          <w:iCs w:val="1"/>
          <w:color w:val="auto"/>
        </w:rPr>
        <w:t>Printed Name</w:t>
      </w:r>
    </w:p>
    <w:p>
      <w:pPr>
        <w:spacing w:after="0" w:line="222" w:lineRule="exact"/>
        <w:rPr>
          <w:sz w:val="20"/>
          <w:szCs w:val="20"/>
          <w:color w:val="auto"/>
        </w:rPr>
      </w:pPr>
    </w:p>
    <w:p>
      <w:pPr>
        <w:ind w:left="20" w:right="340" w:firstLine="247"/>
        <w:spacing w:after="0" w:line="275" w:lineRule="auto"/>
        <w:rPr>
          <w:sz w:val="20"/>
          <w:szCs w:val="20"/>
          <w:color w:val="auto"/>
        </w:rPr>
      </w:pPr>
      <w:r>
        <w:rPr>
          <w:rFonts w:ascii="Arial" w:cs="Arial" w:eastAsia="Arial" w:hAnsi="Arial"/>
          <w:sz w:val="20"/>
          <w:szCs w:val="20"/>
          <w:color w:val="auto"/>
        </w:rPr>
        <w:t xml:space="preserve">Vice President &amp; Chief Financial Officer </w:t>
      </w:r>
      <w:r>
        <w:rPr>
          <w:rFonts w:ascii="Arial" w:cs="Arial" w:eastAsia="Arial" w:hAnsi="Arial"/>
          <w:sz w:val="20"/>
          <w:szCs w:val="20"/>
          <w:i w:val="1"/>
          <w:i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-177800</wp:posOffset>
            </wp:positionV>
            <wp:extent cx="252984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/s/ Christopher D. T. Guiffre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252158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i w:val="1"/>
          <w:iCs w:val="1"/>
          <w:color w:val="auto"/>
        </w:rPr>
        <w:t>Signature</w:t>
      </w:r>
    </w:p>
    <w:p>
      <w:pPr>
        <w:spacing w:after="0" w:line="222" w:lineRule="exact"/>
        <w:rPr>
          <w:sz w:val="20"/>
          <w:szCs w:val="20"/>
          <w:color w:val="auto"/>
        </w:rPr>
      </w:pPr>
    </w:p>
    <w:p>
      <w:pPr>
        <w:ind w:left="240"/>
        <w:spacing w:after="0"/>
        <w:rPr>
          <w:sz w:val="20"/>
          <w:szCs w:val="20"/>
          <w:color w:val="auto"/>
        </w:rPr>
      </w:pPr>
      <w:r>
        <w:rPr>
          <w:rFonts w:ascii="Arial" w:cs="Arial" w:eastAsia="Arial" w:hAnsi="Arial"/>
          <w:sz w:val="20"/>
          <w:szCs w:val="20"/>
          <w:color w:val="auto"/>
        </w:rPr>
        <w:t>Christopher D. T. Guiffre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252158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i w:val="1"/>
          <w:iCs w:val="1"/>
          <w:color w:val="auto"/>
        </w:rPr>
        <w:t>Printed Name</w:t>
      </w:r>
    </w:p>
    <w:p>
      <w:pPr>
        <w:spacing w:after="0" w:line="22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President &amp;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24765</wp:posOffset>
            </wp:positionV>
            <wp:extent cx="252158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Title</w:t>
      </w:r>
    </w:p>
    <w:p>
      <w:pPr>
        <w:spacing w:after="0" w:line="246" w:lineRule="exact"/>
        <w:rPr>
          <w:sz w:val="20"/>
          <w:szCs w:val="20"/>
          <w:color w:val="auto"/>
        </w:rPr>
      </w:pPr>
    </w:p>
    <w:p>
      <w:pPr>
        <w:sectPr>
          <w:pgSz w:w="11900" w:h="16838" w:orient="portrait"/>
          <w:cols w:equalWidth="0" w:num="2">
            <w:col w:w="3860" w:space="720"/>
            <w:col w:w="6840"/>
          </w:cols>
          <w:pgMar w:left="240" w:top="118" w:right="239" w:bottom="1440" w:gutter="0" w:footer="0" w:header="0"/>
          <w:type w:val="continuous"/>
        </w:sect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2891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17" w:name="page118"/>
    <w:bookmarkEnd w:id="117"/>
    <w:tbl>
      <w:tblPr>
        <w:tblLayout w:type="fixed"/>
        <w:tblInd w:w="30" w:type="dxa"/>
        <w:tblCellMar>
          <w:top w:w="0" w:type="dxa"/>
          <w:left w:w="0" w:type="dxa"/>
          <w:bottom w:w="0" w:type="dxa"/>
          <w:right w:w="0" w:type="dxa"/>
        </w:tblCellMar>
      </w:tblPr>
      <w:tr>
        <w:trPr>
          <w:trHeight w:val="275"/>
        </w:trPr>
        <w:tc>
          <w:tcPr>
            <w:tcW w:w="38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3760" w:type="dxa"/>
            <w:vAlign w:val="bottom"/>
          </w:tcPr>
          <w:p>
            <w:pPr>
              <w:jc w:val="right"/>
              <w:spacing w:after="0"/>
              <w:rPr>
                <w:sz w:val="20"/>
                <w:szCs w:val="20"/>
                <w:color w:val="auto"/>
              </w:rPr>
            </w:pPr>
            <w:r>
              <w:rPr>
                <w:rFonts w:ascii="Arial" w:cs="Arial" w:eastAsia="Arial" w:hAnsi="Arial"/>
                <w:sz w:val="22"/>
                <w:szCs w:val="22"/>
                <w:color w:val="auto"/>
              </w:rPr>
              <w:t>EXECUTION COPY</w:t>
            </w:r>
          </w:p>
        </w:tc>
      </w:tr>
      <w:tr>
        <w:trPr>
          <w:trHeight w:val="486"/>
        </w:trPr>
        <w:tc>
          <w:tcPr>
            <w:tcW w:w="3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760" w:type="dxa"/>
            <w:vAlign w:val="bottom"/>
          </w:tcPr>
          <w:p>
            <w:pPr>
              <w:jc w:val="right"/>
              <w:spacing w:after="0"/>
              <w:rPr>
                <w:sz w:val="20"/>
                <w:szCs w:val="20"/>
                <w:color w:val="auto"/>
              </w:rPr>
            </w:pPr>
            <w:r>
              <w:rPr>
                <w:rFonts w:ascii="Arial" w:cs="Arial" w:eastAsia="Arial" w:hAnsi="Arial"/>
                <w:sz w:val="22"/>
                <w:szCs w:val="22"/>
                <w:b w:val="1"/>
                <w:bCs w:val="1"/>
                <w:i w:val="1"/>
                <w:iCs w:val="1"/>
                <w:color w:val="auto"/>
              </w:rPr>
              <w:t>Exhibit A - 1</w:t>
            </w:r>
          </w:p>
        </w:tc>
      </w:tr>
      <w:tr>
        <w:trPr>
          <w:trHeight w:val="399"/>
        </w:trPr>
        <w:tc>
          <w:tcPr>
            <w:tcW w:w="3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80" w:type="dxa"/>
            <w:vAlign w:val="bottom"/>
          </w:tcPr>
          <w:p>
            <w:pPr>
              <w:jc w:val="center"/>
              <w:ind w:right="441"/>
              <w:spacing w:after="0"/>
              <w:rPr>
                <w:sz w:val="20"/>
                <w:szCs w:val="20"/>
                <w:color w:val="auto"/>
              </w:rPr>
            </w:pPr>
            <w:r>
              <w:rPr>
                <w:rFonts w:ascii="Arial" w:cs="Arial" w:eastAsia="Arial" w:hAnsi="Arial"/>
                <w:sz w:val="20"/>
                <w:szCs w:val="20"/>
                <w:i w:val="1"/>
                <w:iCs w:val="1"/>
                <w:color w:val="auto"/>
                <w:w w:val="95"/>
              </w:rPr>
              <w:t>[Form of Invoice]</w:t>
            </w:r>
          </w:p>
        </w:tc>
        <w:tc>
          <w:tcPr>
            <w:tcW w:w="3760" w:type="dxa"/>
            <w:vAlign w:val="bottom"/>
          </w:tcPr>
          <w:p>
            <w:pPr>
              <w:spacing w:after="0"/>
              <w:rPr>
                <w:sz w:val="24"/>
                <w:szCs w:val="24"/>
                <w:color w:val="auto"/>
              </w:rPr>
            </w:pPr>
          </w:p>
        </w:tc>
      </w:tr>
      <w:tr>
        <w:trPr>
          <w:trHeight w:val="459"/>
        </w:trPr>
        <w:tc>
          <w:tcPr>
            <w:tcW w:w="3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80" w:type="dxa"/>
            <w:vAlign w:val="bottom"/>
          </w:tcPr>
          <w:p>
            <w:pPr>
              <w:jc w:val="center"/>
              <w:ind w:right="421"/>
              <w:spacing w:after="0"/>
              <w:rPr>
                <w:sz w:val="20"/>
                <w:szCs w:val="20"/>
                <w:color w:val="auto"/>
              </w:rPr>
            </w:pPr>
            <w:r>
              <w:rPr>
                <w:rFonts w:ascii="Arial" w:cs="Arial" w:eastAsia="Arial" w:hAnsi="Arial"/>
                <w:sz w:val="20"/>
                <w:szCs w:val="20"/>
                <w:b w:val="1"/>
                <w:bCs w:val="1"/>
                <w:color w:val="auto"/>
                <w:w w:val="89"/>
              </w:rPr>
              <w:t>Sample Invoice to Novartis</w:t>
            </w:r>
          </w:p>
        </w:tc>
        <w:tc>
          <w:tcPr>
            <w:tcW w:w="3760" w:type="dxa"/>
            <w:vAlign w:val="bottom"/>
          </w:tcPr>
          <w:p>
            <w:pPr>
              <w:spacing w:after="0"/>
              <w:rPr>
                <w:sz w:val="24"/>
                <w:szCs w:val="24"/>
                <w:color w:val="auto"/>
              </w:rPr>
            </w:pPr>
          </w:p>
        </w:tc>
      </w:tr>
      <w:tr>
        <w:trPr>
          <w:trHeight w:val="455"/>
        </w:trPr>
        <w:tc>
          <w:tcPr>
            <w:tcW w:w="38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r>
      <w:tr>
        <w:trPr>
          <w:trHeight w:val="200"/>
        </w:trPr>
        <w:tc>
          <w:tcPr>
            <w:tcW w:w="3860" w:type="dxa"/>
            <w:vAlign w:val="bottom"/>
            <w:tcBorders>
              <w:left w:val="single" w:sz="8" w:color="auto"/>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3480" w:type="dxa"/>
            <w:vAlign w:val="bottom"/>
            <w:tcBorders>
              <w:right w:val="single" w:sz="8" w:color="auto"/>
            </w:tcBorders>
          </w:tcPr>
          <w:p>
            <w:pPr>
              <w:jc w:val="center"/>
              <w:ind w:right="301"/>
              <w:spacing w:after="0" w:line="200" w:lineRule="exact"/>
              <w:rPr>
                <w:sz w:val="20"/>
                <w:szCs w:val="20"/>
                <w:color w:val="auto"/>
              </w:rPr>
            </w:pPr>
            <w:r>
              <w:rPr>
                <w:rFonts w:ascii="Arial" w:cs="Arial" w:eastAsia="Arial" w:hAnsi="Arial"/>
                <w:sz w:val="20"/>
                <w:szCs w:val="20"/>
                <w:b w:val="1"/>
                <w:bCs w:val="1"/>
                <w:color w:val="auto"/>
                <w:w w:val="86"/>
              </w:rPr>
              <w:t>contact person</w:t>
            </w:r>
          </w:p>
        </w:tc>
        <w:tc>
          <w:tcPr>
            <w:tcW w:w="3760" w:type="dxa"/>
            <w:vAlign w:val="bottom"/>
            <w:tcBorders>
              <w:right w:val="single" w:sz="8" w:color="auto"/>
            </w:tcBorders>
          </w:tcPr>
          <w:p>
            <w:pPr>
              <w:jc w:val="center"/>
              <w:spacing w:after="0" w:line="200" w:lineRule="exact"/>
              <w:rPr>
                <w:sz w:val="20"/>
                <w:szCs w:val="20"/>
                <w:color w:val="auto"/>
              </w:rPr>
            </w:pPr>
            <w:r>
              <w:rPr>
                <w:rFonts w:ascii="Arial" w:cs="Arial" w:eastAsia="Arial" w:hAnsi="Arial"/>
                <w:sz w:val="20"/>
                <w:szCs w:val="20"/>
                <w:b w:val="1"/>
                <w:bCs w:val="1"/>
                <w:color w:val="auto"/>
                <w:w w:val="91"/>
              </w:rPr>
              <w:t>[Company] name</w:t>
            </w:r>
          </w:p>
        </w:tc>
      </w:tr>
      <w:tr>
        <w:trPr>
          <w:trHeight w:val="256"/>
        </w:trPr>
        <w:tc>
          <w:tcPr>
            <w:tcW w:w="3860" w:type="dxa"/>
            <w:vAlign w:val="bottom"/>
            <w:tcBorders>
              <w:left w:val="single" w:sz="8" w:color="auto"/>
              <w:right w:val="single" w:sz="8" w:color="auto"/>
            </w:tcBorders>
          </w:tcPr>
          <w:p>
            <w:pPr>
              <w:ind w:left="1020"/>
              <w:spacing w:after="0"/>
              <w:rPr>
                <w:sz w:val="20"/>
                <w:szCs w:val="20"/>
                <w:color w:val="auto"/>
              </w:rPr>
            </w:pPr>
            <w:r>
              <w:rPr>
                <w:rFonts w:ascii="Arial" w:cs="Arial" w:eastAsia="Arial" w:hAnsi="Arial"/>
                <w:sz w:val="20"/>
                <w:szCs w:val="20"/>
                <w:b w:val="1"/>
                <w:bCs w:val="1"/>
                <w:color w:val="auto"/>
              </w:rPr>
              <w:t>[COMPANY] LOGO</w:t>
            </w:r>
          </w:p>
        </w:tc>
        <w:tc>
          <w:tcPr>
            <w:tcW w:w="360" w:type="dxa"/>
            <w:vAlign w:val="bottom"/>
          </w:tcPr>
          <w:p>
            <w:pPr>
              <w:spacing w:after="0"/>
              <w:rPr>
                <w:sz w:val="22"/>
                <w:szCs w:val="22"/>
                <w:color w:val="auto"/>
              </w:rPr>
            </w:pPr>
          </w:p>
        </w:tc>
        <w:tc>
          <w:tcPr>
            <w:tcW w:w="3480" w:type="dxa"/>
            <w:vAlign w:val="bottom"/>
            <w:tcBorders>
              <w:right w:val="single" w:sz="8" w:color="auto"/>
            </w:tcBorders>
          </w:tcPr>
          <w:p>
            <w:pPr>
              <w:jc w:val="center"/>
              <w:ind w:right="301"/>
              <w:spacing w:after="0"/>
              <w:rPr>
                <w:sz w:val="20"/>
                <w:szCs w:val="20"/>
                <w:color w:val="auto"/>
              </w:rPr>
            </w:pPr>
            <w:r>
              <w:rPr>
                <w:rFonts w:ascii="Arial" w:cs="Arial" w:eastAsia="Arial" w:hAnsi="Arial"/>
                <w:sz w:val="20"/>
                <w:szCs w:val="20"/>
                <w:color w:val="auto"/>
                <w:w w:val="92"/>
              </w:rPr>
              <w:t>position</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3"/>
              </w:rPr>
              <w:t>address</w:t>
            </w:r>
          </w:p>
        </w:tc>
      </w:tr>
      <w:tr>
        <w:trPr>
          <w:trHeight w:val="438"/>
        </w:trPr>
        <w:tc>
          <w:tcPr>
            <w:tcW w:w="3860" w:type="dxa"/>
            <w:vAlign w:val="bottom"/>
            <w:tcBorders>
              <w:left w:val="single" w:sz="8" w:color="auto"/>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480" w:type="dxa"/>
            <w:vAlign w:val="bottom"/>
            <w:tcBorders>
              <w:right w:val="single" w:sz="8" w:color="auto"/>
            </w:tcBorders>
          </w:tcPr>
          <w:p>
            <w:pPr>
              <w:spacing w:after="0"/>
              <w:rPr>
                <w:sz w:val="24"/>
                <w:szCs w:val="24"/>
                <w:color w:val="auto"/>
              </w:rPr>
            </w:pP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Tel +1xxxx</w:t>
            </w:r>
          </w:p>
        </w:tc>
      </w:tr>
      <w:tr>
        <w:trPr>
          <w:trHeight w:val="230"/>
        </w:trPr>
        <w:tc>
          <w:tcPr>
            <w:tcW w:w="3860" w:type="dxa"/>
            <w:vAlign w:val="bottom"/>
            <w:tcBorders>
              <w:left w:val="single" w:sz="8" w:color="auto"/>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480" w:type="dxa"/>
            <w:vAlign w:val="bottom"/>
            <w:tcBorders>
              <w:right w:val="single" w:sz="8" w:color="auto"/>
            </w:tcBorders>
          </w:tcPr>
          <w:p>
            <w:pPr>
              <w:spacing w:after="0"/>
              <w:rPr>
                <w:sz w:val="19"/>
                <w:szCs w:val="19"/>
                <w:color w:val="auto"/>
              </w:rPr>
            </w:pP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4"/>
              </w:rPr>
              <w:t>Fax +1xxxx</w:t>
            </w:r>
          </w:p>
        </w:tc>
      </w:tr>
      <w:tr>
        <w:trPr>
          <w:trHeight w:val="246"/>
        </w:trPr>
        <w:tc>
          <w:tcPr>
            <w:tcW w:w="3860" w:type="dxa"/>
            <w:vAlign w:val="bottom"/>
            <w:tcBorders>
              <w:left w:val="single" w:sz="8" w:color="auto"/>
              <w:bottom w:val="single" w:sz="8" w:color="auto"/>
              <w:right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spacing w:after="0"/>
              <w:rPr>
                <w:sz w:val="21"/>
                <w:szCs w:val="21"/>
                <w:color w:val="auto"/>
              </w:rPr>
            </w:pP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6"/>
              </w:rPr>
              <w:t>E-mail: xxxx</w:t>
            </w:r>
          </w:p>
        </w:tc>
      </w:tr>
      <w:tr>
        <w:trPr>
          <w:trHeight w:val="436"/>
        </w:trPr>
        <w:tc>
          <w:tcPr>
            <w:tcW w:w="4220" w:type="dxa"/>
            <w:vAlign w:val="bottom"/>
            <w:gridSpan w:val="2"/>
          </w:tcPr>
          <w:p>
            <w:pPr>
              <w:spacing w:after="0"/>
              <w:rPr>
                <w:sz w:val="20"/>
                <w:szCs w:val="20"/>
                <w:color w:val="auto"/>
              </w:rPr>
            </w:pPr>
            <w:r>
              <w:rPr>
                <w:rFonts w:ascii="Arial" w:cs="Arial" w:eastAsia="Arial" w:hAnsi="Arial"/>
                <w:sz w:val="20"/>
                <w:szCs w:val="20"/>
                <w:color w:val="auto"/>
                <w:w w:val="98"/>
              </w:rPr>
              <w:t>Novartis Institutes for BioMedical Research, Inc.</w:t>
            </w:r>
          </w:p>
        </w:tc>
        <w:tc>
          <w:tcPr>
            <w:tcW w:w="3480" w:type="dxa"/>
            <w:vAlign w:val="bottom"/>
          </w:tcPr>
          <w:p>
            <w:pPr>
              <w:ind w:left="1080"/>
              <w:spacing w:after="0"/>
              <w:rPr>
                <w:sz w:val="20"/>
                <w:szCs w:val="20"/>
                <w:color w:val="auto"/>
              </w:rPr>
            </w:pPr>
            <w:r>
              <w:rPr>
                <w:rFonts w:ascii="Arial" w:cs="Arial" w:eastAsia="Arial" w:hAnsi="Arial"/>
                <w:sz w:val="20"/>
                <w:szCs w:val="20"/>
                <w:b w:val="1"/>
                <w:bCs w:val="1"/>
                <w:color w:val="auto"/>
              </w:rPr>
              <w:t>INVOICE</w:t>
            </w:r>
          </w:p>
        </w:tc>
        <w:tc>
          <w:tcPr>
            <w:tcW w:w="3760" w:type="dxa"/>
            <w:vAlign w:val="bottom"/>
          </w:tcPr>
          <w:p>
            <w:pPr>
              <w:spacing w:after="0"/>
              <w:rPr>
                <w:sz w:val="24"/>
                <w:szCs w:val="24"/>
                <w:color w:val="auto"/>
              </w:rPr>
            </w:pPr>
          </w:p>
        </w:tc>
      </w:tr>
      <w:tr>
        <w:trPr>
          <w:trHeight w:val="230"/>
        </w:trPr>
        <w:tc>
          <w:tcPr>
            <w:tcW w:w="4220" w:type="dxa"/>
            <w:vAlign w:val="bottom"/>
            <w:gridSpan w:val="2"/>
          </w:tcPr>
          <w:p>
            <w:pPr>
              <w:spacing w:after="0"/>
              <w:rPr>
                <w:sz w:val="20"/>
                <w:szCs w:val="20"/>
                <w:color w:val="auto"/>
              </w:rPr>
            </w:pPr>
            <w:r>
              <w:rPr>
                <w:rFonts w:ascii="Arial" w:cs="Arial" w:eastAsia="Arial" w:hAnsi="Arial"/>
                <w:sz w:val="20"/>
                <w:szCs w:val="20"/>
                <w:color w:val="auto"/>
              </w:rPr>
              <w:t>Accounts Payable</w:t>
            </w:r>
          </w:p>
        </w:tc>
        <w:tc>
          <w:tcPr>
            <w:tcW w:w="3480" w:type="dxa"/>
            <w:vAlign w:val="bottom"/>
          </w:tcPr>
          <w:p>
            <w:pPr>
              <w:spacing w:after="0"/>
              <w:rPr>
                <w:sz w:val="19"/>
                <w:szCs w:val="19"/>
                <w:color w:val="auto"/>
              </w:rPr>
            </w:pPr>
          </w:p>
        </w:tc>
        <w:tc>
          <w:tcPr>
            <w:tcW w:w="3760" w:type="dxa"/>
            <w:vAlign w:val="bottom"/>
          </w:tcPr>
          <w:p>
            <w:pPr>
              <w:spacing w:after="0"/>
              <w:rPr>
                <w:sz w:val="19"/>
                <w:szCs w:val="19"/>
                <w:color w:val="auto"/>
              </w:rPr>
            </w:pPr>
          </w:p>
        </w:tc>
      </w:tr>
      <w:tr>
        <w:trPr>
          <w:trHeight w:val="230"/>
        </w:trPr>
        <w:tc>
          <w:tcPr>
            <w:tcW w:w="4220" w:type="dxa"/>
            <w:vAlign w:val="bottom"/>
            <w:gridSpan w:val="2"/>
          </w:tcPr>
          <w:p>
            <w:pPr>
              <w:spacing w:after="0"/>
              <w:rPr>
                <w:sz w:val="20"/>
                <w:szCs w:val="20"/>
                <w:color w:val="auto"/>
              </w:rPr>
            </w:pPr>
            <w:r>
              <w:rPr>
                <w:rFonts w:ascii="Arial" w:cs="Arial" w:eastAsia="Arial" w:hAnsi="Arial"/>
                <w:sz w:val="20"/>
                <w:szCs w:val="20"/>
                <w:color w:val="auto"/>
              </w:rPr>
              <w:t>Attn: Head of Operations, [DA/FA]</w:t>
            </w:r>
          </w:p>
        </w:tc>
        <w:tc>
          <w:tcPr>
            <w:tcW w:w="3480" w:type="dxa"/>
            <w:vAlign w:val="bottom"/>
          </w:tcPr>
          <w:p>
            <w:pPr>
              <w:ind w:left="1080"/>
              <w:spacing w:after="0"/>
              <w:rPr>
                <w:sz w:val="20"/>
                <w:szCs w:val="20"/>
                <w:color w:val="auto"/>
              </w:rPr>
            </w:pPr>
            <w:r>
              <w:rPr>
                <w:rFonts w:ascii="Arial" w:cs="Arial" w:eastAsia="Arial" w:hAnsi="Arial"/>
                <w:sz w:val="20"/>
                <w:szCs w:val="20"/>
                <w:color w:val="auto"/>
              </w:rPr>
              <w:t xml:space="preserve">Invoice number: </w:t>
            </w:r>
            <w:r>
              <w:rPr>
                <w:rFonts w:ascii="Arial" w:cs="Arial" w:eastAsia="Arial" w:hAnsi="Arial"/>
                <w:sz w:val="20"/>
                <w:szCs w:val="20"/>
                <w:i w:val="1"/>
                <w:iCs w:val="1"/>
                <w:color w:val="auto"/>
              </w:rPr>
              <w:t>XX</w:t>
            </w:r>
          </w:p>
        </w:tc>
        <w:tc>
          <w:tcPr>
            <w:tcW w:w="3760" w:type="dxa"/>
            <w:vAlign w:val="bottom"/>
          </w:tcPr>
          <w:p>
            <w:pPr>
              <w:spacing w:after="0"/>
              <w:rPr>
                <w:sz w:val="19"/>
                <w:szCs w:val="19"/>
                <w:color w:val="auto"/>
              </w:rPr>
            </w:pPr>
          </w:p>
        </w:tc>
      </w:tr>
      <w:tr>
        <w:trPr>
          <w:trHeight w:val="230"/>
        </w:trPr>
        <w:tc>
          <w:tcPr>
            <w:tcW w:w="4220" w:type="dxa"/>
            <w:vAlign w:val="bottom"/>
            <w:gridSpan w:val="2"/>
          </w:tcPr>
          <w:p>
            <w:pPr>
              <w:spacing w:after="0"/>
              <w:rPr>
                <w:sz w:val="20"/>
                <w:szCs w:val="20"/>
                <w:color w:val="auto"/>
              </w:rPr>
            </w:pPr>
            <w:r>
              <w:rPr>
                <w:rFonts w:ascii="Arial" w:cs="Arial" w:eastAsia="Arial" w:hAnsi="Arial"/>
                <w:sz w:val="20"/>
                <w:szCs w:val="20"/>
                <w:color w:val="auto"/>
              </w:rPr>
              <w:t>PO Box 5990</w:t>
            </w:r>
          </w:p>
        </w:tc>
        <w:tc>
          <w:tcPr>
            <w:tcW w:w="3480" w:type="dxa"/>
            <w:vAlign w:val="bottom"/>
          </w:tcPr>
          <w:p>
            <w:pPr>
              <w:spacing w:after="0"/>
              <w:rPr>
                <w:sz w:val="19"/>
                <w:szCs w:val="19"/>
                <w:color w:val="auto"/>
              </w:rPr>
            </w:pPr>
          </w:p>
        </w:tc>
        <w:tc>
          <w:tcPr>
            <w:tcW w:w="3760" w:type="dxa"/>
            <w:vAlign w:val="bottom"/>
          </w:tcPr>
          <w:p>
            <w:pPr>
              <w:spacing w:after="0"/>
              <w:rPr>
                <w:sz w:val="19"/>
                <w:szCs w:val="19"/>
                <w:color w:val="auto"/>
              </w:rPr>
            </w:pPr>
          </w:p>
        </w:tc>
      </w:tr>
      <w:tr>
        <w:trPr>
          <w:trHeight w:val="250"/>
        </w:trPr>
        <w:tc>
          <w:tcPr>
            <w:tcW w:w="4220" w:type="dxa"/>
            <w:vAlign w:val="bottom"/>
            <w:gridSpan w:val="2"/>
          </w:tcPr>
          <w:p>
            <w:pPr>
              <w:spacing w:after="0"/>
              <w:rPr>
                <w:sz w:val="20"/>
                <w:szCs w:val="20"/>
                <w:color w:val="auto"/>
              </w:rPr>
            </w:pPr>
            <w:r>
              <w:rPr>
                <w:rFonts w:ascii="Arial" w:cs="Arial" w:eastAsia="Arial" w:hAnsi="Arial"/>
                <w:sz w:val="20"/>
                <w:szCs w:val="20"/>
                <w:color w:val="auto"/>
              </w:rPr>
              <w:t>Portland, OR 97228-5990</w:t>
            </w:r>
          </w:p>
        </w:tc>
        <w:tc>
          <w:tcPr>
            <w:tcW w:w="3480" w:type="dxa"/>
            <w:vAlign w:val="bottom"/>
          </w:tcPr>
          <w:p>
            <w:pPr>
              <w:spacing w:after="0"/>
              <w:rPr>
                <w:sz w:val="21"/>
                <w:szCs w:val="21"/>
                <w:color w:val="auto"/>
              </w:rPr>
            </w:pPr>
          </w:p>
        </w:tc>
        <w:tc>
          <w:tcPr>
            <w:tcW w:w="3760" w:type="dxa"/>
            <w:vAlign w:val="bottom"/>
          </w:tcPr>
          <w:p>
            <w:pPr>
              <w:spacing w:after="0"/>
              <w:rPr>
                <w:sz w:val="21"/>
                <w:szCs w:val="21"/>
                <w:color w:val="auto"/>
              </w:rPr>
            </w:pPr>
          </w:p>
        </w:tc>
      </w:tr>
      <w:tr>
        <w:trPr>
          <w:trHeight w:val="351"/>
        </w:trPr>
        <w:tc>
          <w:tcPr>
            <w:tcW w:w="4220" w:type="dxa"/>
            <w:vAlign w:val="bottom"/>
            <w:gridSpan w:val="2"/>
          </w:tcPr>
          <w:p>
            <w:pPr>
              <w:spacing w:after="0"/>
              <w:rPr>
                <w:sz w:val="20"/>
                <w:szCs w:val="20"/>
                <w:color w:val="auto"/>
              </w:rPr>
            </w:pPr>
            <w:r>
              <w:rPr>
                <w:rFonts w:ascii="Arial" w:cs="Arial" w:eastAsia="Arial" w:hAnsi="Arial"/>
                <w:sz w:val="20"/>
                <w:szCs w:val="20"/>
                <w:b w:val="1"/>
                <w:bCs w:val="1"/>
                <w:i w:val="1"/>
                <w:iCs w:val="1"/>
                <w:color w:val="auto"/>
              </w:rPr>
              <w:t xml:space="preserve">Or: </w:t>
            </w:r>
            <w:r>
              <w:rPr>
                <w:rFonts w:ascii="Arial" w:cs="Arial" w:eastAsia="Arial" w:hAnsi="Arial"/>
                <w:sz w:val="20"/>
                <w:szCs w:val="20"/>
                <w:color w:val="auto"/>
              </w:rPr>
              <w:t>email: [**]</w:t>
            </w:r>
          </w:p>
        </w:tc>
        <w:tc>
          <w:tcPr>
            <w:tcW w:w="348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459"/>
        </w:trPr>
        <w:tc>
          <w:tcPr>
            <w:tcW w:w="4220" w:type="dxa"/>
            <w:vAlign w:val="bottom"/>
            <w:gridSpan w:val="2"/>
          </w:tcPr>
          <w:p>
            <w:pPr>
              <w:spacing w:after="0"/>
              <w:rPr>
                <w:sz w:val="20"/>
                <w:szCs w:val="20"/>
                <w:color w:val="auto"/>
              </w:rPr>
            </w:pPr>
            <w:r>
              <w:rPr>
                <w:rFonts w:ascii="Arial" w:cs="Arial" w:eastAsia="Arial" w:hAnsi="Arial"/>
                <w:sz w:val="20"/>
                <w:szCs w:val="20"/>
                <w:color w:val="auto"/>
              </w:rPr>
              <w:t>Date</w:t>
            </w:r>
          </w:p>
        </w:tc>
        <w:tc>
          <w:tcPr>
            <w:tcW w:w="3480" w:type="dxa"/>
            <w:vAlign w:val="bottom"/>
          </w:tcPr>
          <w:p>
            <w:pPr>
              <w:spacing w:after="0"/>
              <w:rPr>
                <w:sz w:val="24"/>
                <w:szCs w:val="24"/>
                <w:color w:val="auto"/>
              </w:rPr>
            </w:pPr>
          </w:p>
        </w:tc>
        <w:tc>
          <w:tcPr>
            <w:tcW w:w="3760" w:type="dxa"/>
            <w:vAlign w:val="bottom"/>
          </w:tcPr>
          <w:p>
            <w:pPr>
              <w:spacing w:after="0"/>
              <w:rPr>
                <w:sz w:val="24"/>
                <w:szCs w:val="24"/>
                <w:color w:val="auto"/>
              </w:rPr>
            </w:pPr>
          </w:p>
        </w:tc>
      </w:tr>
    </w:tbl>
    <w:p>
      <w:pPr>
        <w:spacing w:after="0" w:line="20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[Payment specifics, including specific milestones or deliverables]</w:t>
      </w:r>
    </w:p>
    <w:p>
      <w:pPr>
        <w:spacing w:after="0" w:line="200" w:lineRule="exact"/>
        <w:rPr>
          <w:sz w:val="20"/>
          <w:szCs w:val="20"/>
          <w:color w:val="auto"/>
        </w:rPr>
      </w:pPr>
    </w:p>
    <w:p>
      <w:pPr>
        <w:spacing w:after="0" w:line="259" w:lineRule="exact"/>
        <w:rPr>
          <w:sz w:val="20"/>
          <w:szCs w:val="20"/>
          <w:color w:val="auto"/>
        </w:rPr>
      </w:pPr>
    </w:p>
    <w:p>
      <w:pPr>
        <w:ind w:left="20"/>
        <w:spacing w:after="0"/>
        <w:tabs>
          <w:tab w:leader="none" w:pos="1800" w:val="left"/>
        </w:tabs>
        <w:rPr>
          <w:sz w:val="20"/>
          <w:szCs w:val="20"/>
          <w:color w:val="auto"/>
        </w:rPr>
      </w:pPr>
      <w:r>
        <w:rPr>
          <w:rFonts w:ascii="Arial" w:cs="Arial" w:eastAsia="Arial" w:hAnsi="Arial"/>
          <w:sz w:val="20"/>
          <w:szCs w:val="20"/>
          <w:b w:val="1"/>
          <w:bCs w:val="1"/>
          <w:color w:val="auto"/>
        </w:rPr>
        <w:t>Total Payable</w:t>
      </w:r>
      <w:r>
        <w:rPr>
          <w:sz w:val="20"/>
          <w:szCs w:val="20"/>
          <w:color w:val="auto"/>
        </w:rPr>
        <w:tab/>
      </w:r>
      <w:r>
        <w:rPr>
          <w:rFonts w:ascii="Arial" w:cs="Arial" w:eastAsia="Arial" w:hAnsi="Arial"/>
          <w:sz w:val="16"/>
          <w:szCs w:val="16"/>
          <w:b w:val="1"/>
          <w:bCs w:val="1"/>
          <w:i w:val="1"/>
          <w:iCs w:val="1"/>
          <w:color w:val="auto"/>
        </w:rPr>
        <w:t>(currency) xxxxxxx</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Bank Wire information:</w:t>
      </w:r>
    </w:p>
    <w:p>
      <w:pPr>
        <w:spacing w:after="0" w:line="21" w:lineRule="exact"/>
        <w:rPr>
          <w:sz w:val="20"/>
          <w:szCs w:val="20"/>
          <w:color w:val="auto"/>
        </w:rPr>
      </w:pPr>
    </w:p>
    <w:p>
      <w:pPr>
        <w:ind w:left="20"/>
        <w:spacing w:after="0"/>
        <w:tabs>
          <w:tab w:leader="none" w:pos="1700" w:val="left"/>
        </w:tabs>
        <w:rPr>
          <w:sz w:val="20"/>
          <w:szCs w:val="20"/>
          <w:color w:val="auto"/>
        </w:rPr>
      </w:pPr>
      <w:r>
        <w:rPr>
          <w:rFonts w:ascii="Arial" w:cs="Arial" w:eastAsia="Arial" w:hAnsi="Arial"/>
          <w:sz w:val="20"/>
          <w:szCs w:val="20"/>
          <w:color w:val="auto"/>
        </w:rPr>
        <w:t>Bank Name:</w:t>
      </w:r>
      <w:r>
        <w:rPr>
          <w:sz w:val="20"/>
          <w:szCs w:val="20"/>
          <w:color w:val="auto"/>
        </w:rPr>
        <w:tab/>
      </w:r>
      <w:r>
        <w:rPr>
          <w:rFonts w:ascii="Arial" w:cs="Arial" w:eastAsia="Arial" w:hAnsi="Arial"/>
          <w:sz w:val="16"/>
          <w:szCs w:val="16"/>
          <w:i w:val="1"/>
          <w:iCs w:val="1"/>
          <w:color w:val="auto"/>
        </w:rPr>
        <w:t>XX</w:t>
      </w:r>
    </w:p>
    <w:p>
      <w:pPr>
        <w:ind w:left="20"/>
        <w:spacing w:after="0"/>
        <w:tabs>
          <w:tab w:leader="none" w:pos="1720" w:val="left"/>
        </w:tabs>
        <w:rPr>
          <w:sz w:val="20"/>
          <w:szCs w:val="20"/>
          <w:color w:val="auto"/>
        </w:rPr>
      </w:pPr>
      <w:r>
        <w:rPr>
          <w:rFonts w:ascii="Arial" w:cs="Arial" w:eastAsia="Arial" w:hAnsi="Arial"/>
          <w:sz w:val="20"/>
          <w:szCs w:val="20"/>
          <w:color w:val="auto"/>
        </w:rPr>
        <w:t>Account No.:</w:t>
      </w:r>
      <w:r>
        <w:rPr>
          <w:sz w:val="20"/>
          <w:szCs w:val="20"/>
          <w:color w:val="auto"/>
        </w:rPr>
        <w:tab/>
      </w:r>
      <w:r>
        <w:rPr>
          <w:rFonts w:ascii="Arial" w:cs="Arial" w:eastAsia="Arial" w:hAnsi="Arial"/>
          <w:sz w:val="16"/>
          <w:szCs w:val="16"/>
          <w:i w:val="1"/>
          <w:iCs w:val="1"/>
          <w:color w:val="auto"/>
        </w:rPr>
        <w:t>XX</w:t>
      </w:r>
    </w:p>
    <w:p>
      <w:pPr>
        <w:ind w:left="20"/>
        <w:spacing w:after="0"/>
        <w:tabs>
          <w:tab w:leader="none" w:pos="1220" w:val="left"/>
        </w:tabs>
        <w:rPr>
          <w:sz w:val="20"/>
          <w:szCs w:val="20"/>
          <w:color w:val="auto"/>
        </w:rPr>
      </w:pPr>
      <w:r>
        <w:rPr>
          <w:rFonts w:ascii="Arial" w:cs="Arial" w:eastAsia="Arial" w:hAnsi="Arial"/>
          <w:sz w:val="20"/>
          <w:szCs w:val="20"/>
          <w:color w:val="auto"/>
        </w:rPr>
        <w:t>ABA#:</w:t>
      </w:r>
      <w:r>
        <w:rPr>
          <w:sz w:val="20"/>
          <w:szCs w:val="20"/>
          <w:color w:val="auto"/>
        </w:rPr>
        <w:tab/>
      </w:r>
      <w:r>
        <w:rPr>
          <w:rFonts w:ascii="Arial" w:cs="Arial" w:eastAsia="Arial" w:hAnsi="Arial"/>
          <w:sz w:val="20"/>
          <w:szCs w:val="20"/>
          <w:i w:val="1"/>
          <w:iCs w:val="1"/>
          <w:color w:val="auto"/>
        </w:rPr>
        <w:t>XX</w:t>
      </w:r>
    </w:p>
    <w:p>
      <w:pPr>
        <w:ind w:left="20"/>
        <w:spacing w:after="0"/>
        <w:tabs>
          <w:tab w:leader="none" w:pos="1880" w:val="left"/>
        </w:tabs>
        <w:rPr>
          <w:sz w:val="20"/>
          <w:szCs w:val="20"/>
          <w:color w:val="auto"/>
        </w:rPr>
      </w:pPr>
      <w:r>
        <w:rPr>
          <w:rFonts w:ascii="Arial" w:cs="Arial" w:eastAsia="Arial" w:hAnsi="Arial"/>
          <w:sz w:val="20"/>
          <w:szCs w:val="20"/>
          <w:color w:val="auto"/>
        </w:rPr>
        <w:t>SWIFT CODE:</w:t>
      </w:r>
      <w:r>
        <w:rPr>
          <w:sz w:val="20"/>
          <w:szCs w:val="20"/>
          <w:color w:val="auto"/>
        </w:rPr>
        <w:tab/>
      </w:r>
      <w:r>
        <w:rPr>
          <w:rFonts w:ascii="Arial" w:cs="Arial" w:eastAsia="Arial" w:hAnsi="Arial"/>
          <w:sz w:val="16"/>
          <w:szCs w:val="16"/>
          <w:i w:val="1"/>
          <w:iCs w:val="1"/>
          <w:color w:val="auto"/>
        </w:rPr>
        <w:t>XX</w:t>
      </w:r>
    </w:p>
    <w:p>
      <w:pPr>
        <w:spacing w:after="0" w:line="200" w:lineRule="exact"/>
        <w:rPr>
          <w:sz w:val="20"/>
          <w:szCs w:val="20"/>
          <w:color w:val="auto"/>
        </w:rPr>
      </w:pPr>
    </w:p>
    <w:p>
      <w:pPr>
        <w:spacing w:after="0" w:line="245" w:lineRule="exact"/>
        <w:rPr>
          <w:sz w:val="20"/>
          <w:szCs w:val="20"/>
          <w:color w:val="auto"/>
        </w:rPr>
      </w:pPr>
    </w:p>
    <w:p>
      <w:pPr>
        <w:ind w:left="11240"/>
        <w:spacing w:after="0"/>
        <w:rPr>
          <w:sz w:val="20"/>
          <w:szCs w:val="20"/>
          <w:color w:val="auto"/>
        </w:rPr>
      </w:pPr>
      <w:r>
        <w:rPr>
          <w:rFonts w:ascii="Arial" w:cs="Arial" w:eastAsia="Arial" w:hAnsi="Arial"/>
          <w:sz w:val="18"/>
          <w:szCs w:val="18"/>
          <w:color w:val="auto"/>
        </w:rPr>
        <w:t>54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2891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80"/>
          </w:cols>
          <w:pgMar w:left="240" w:top="118" w:right="179" w:bottom="1440" w:gutter="0" w:footer="0" w:header="0"/>
        </w:sectPr>
      </w:pPr>
    </w:p>
    <w:bookmarkStart w:id="118" w:name="page119"/>
    <w:bookmarkEnd w:id="118"/>
    <w:tbl>
      <w:tblPr>
        <w:tblLayout w:type="fixed"/>
        <w:tblInd w:w="10" w:type="dxa"/>
        <w:tblCellMar>
          <w:top w:w="0" w:type="dxa"/>
          <w:left w:w="0" w:type="dxa"/>
          <w:bottom w:w="0" w:type="dxa"/>
          <w:right w:w="0" w:type="dxa"/>
        </w:tblCellMar>
      </w:tblPr>
      <w:tr>
        <w:trPr>
          <w:trHeight w:val="275"/>
        </w:trPr>
        <w:tc>
          <w:tcPr>
            <w:tcW w:w="654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2960" w:type="dxa"/>
            <w:vAlign w:val="bottom"/>
            <w:gridSpan w:val="2"/>
          </w:tcPr>
          <w:p>
            <w:pPr>
              <w:jc w:val="right"/>
              <w:spacing w:after="0"/>
              <w:rPr>
                <w:sz w:val="20"/>
                <w:szCs w:val="20"/>
                <w:color w:val="auto"/>
              </w:rPr>
            </w:pPr>
            <w:r>
              <w:rPr>
                <w:rFonts w:ascii="Arial" w:cs="Arial" w:eastAsia="Arial" w:hAnsi="Arial"/>
                <w:sz w:val="22"/>
                <w:szCs w:val="22"/>
                <w:color w:val="auto"/>
              </w:rPr>
              <w:t>EXECUTION COPY</w:t>
            </w:r>
          </w:p>
        </w:tc>
      </w:tr>
      <w:tr>
        <w:trPr>
          <w:trHeight w:val="486"/>
        </w:trPr>
        <w:tc>
          <w:tcPr>
            <w:tcW w:w="65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960" w:type="dxa"/>
            <w:vAlign w:val="bottom"/>
            <w:gridSpan w:val="2"/>
          </w:tcPr>
          <w:p>
            <w:pPr>
              <w:jc w:val="right"/>
              <w:spacing w:after="0"/>
              <w:rPr>
                <w:sz w:val="20"/>
                <w:szCs w:val="20"/>
                <w:color w:val="auto"/>
              </w:rPr>
            </w:pPr>
            <w:r>
              <w:rPr>
                <w:rFonts w:ascii="Arial" w:cs="Arial" w:eastAsia="Arial" w:hAnsi="Arial"/>
                <w:sz w:val="22"/>
                <w:szCs w:val="22"/>
                <w:b w:val="1"/>
                <w:bCs w:val="1"/>
                <w:i w:val="1"/>
                <w:iCs w:val="1"/>
                <w:color w:val="auto"/>
              </w:rPr>
              <w:t>Exhibit A – 2</w:t>
            </w:r>
          </w:p>
        </w:tc>
      </w:tr>
      <w:tr>
        <w:trPr>
          <w:trHeight w:val="233"/>
        </w:trPr>
        <w:tc>
          <w:tcPr>
            <w:tcW w:w="65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331"/>
        </w:trPr>
        <w:tc>
          <w:tcPr>
            <w:tcW w:w="6540" w:type="dxa"/>
            <w:vAlign w:val="bottom"/>
            <w:tcBorders>
              <w:top w:val="single" w:sz="8" w:color="auto"/>
              <w:left w:val="single" w:sz="8" w:color="auto"/>
            </w:tcBorders>
          </w:tcPr>
          <w:p>
            <w:pPr>
              <w:ind w:left="20"/>
              <w:spacing w:after="0"/>
              <w:rPr>
                <w:sz w:val="20"/>
                <w:szCs w:val="20"/>
                <w:color w:val="auto"/>
              </w:rPr>
            </w:pPr>
            <w:r>
              <w:rPr>
                <w:rFonts w:ascii="Arial" w:cs="Arial" w:eastAsia="Arial" w:hAnsi="Arial"/>
                <w:sz w:val="18"/>
                <w:szCs w:val="18"/>
                <w:b w:val="1"/>
                <w:bCs w:val="1"/>
                <w:color w:val="FF0000"/>
              </w:rPr>
              <w:t>Sender's Logo</w:t>
            </w:r>
          </w:p>
        </w:tc>
        <w:tc>
          <w:tcPr>
            <w:tcW w:w="1920" w:type="dxa"/>
            <w:vAlign w:val="bottom"/>
            <w:tcBorders>
              <w:top w:val="single" w:sz="8" w:color="auto"/>
            </w:tcBorders>
          </w:tcPr>
          <w:p>
            <w:pPr>
              <w:spacing w:after="0"/>
              <w:rPr>
                <w:sz w:val="24"/>
                <w:szCs w:val="24"/>
                <w:color w:val="auto"/>
              </w:rPr>
            </w:pPr>
          </w:p>
        </w:tc>
        <w:tc>
          <w:tcPr>
            <w:tcW w:w="22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C0C0C0"/>
              </w:rPr>
              <w:t>INVOICE</w:t>
            </w:r>
          </w:p>
        </w:tc>
        <w:tc>
          <w:tcPr>
            <w:tcW w:w="740" w:type="dxa"/>
            <w:vAlign w:val="bottom"/>
          </w:tcPr>
          <w:p>
            <w:pPr>
              <w:spacing w:after="0"/>
              <w:rPr>
                <w:sz w:val="24"/>
                <w:szCs w:val="24"/>
                <w:color w:val="auto"/>
              </w:rPr>
            </w:pPr>
          </w:p>
        </w:tc>
      </w:tr>
      <w:tr>
        <w:trPr>
          <w:trHeight w:val="486"/>
        </w:trPr>
        <w:tc>
          <w:tcPr>
            <w:tcW w:w="654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FF0000"/>
              </w:rPr>
              <w:t>Street</w:t>
            </w:r>
          </w:p>
        </w:tc>
        <w:tc>
          <w:tcPr>
            <w:tcW w:w="1920" w:type="dxa"/>
            <w:vAlign w:val="bottom"/>
          </w:tcPr>
          <w:p>
            <w:pPr>
              <w:spacing w:after="0"/>
              <w:rPr>
                <w:sz w:val="24"/>
                <w:szCs w:val="24"/>
                <w:color w:val="auto"/>
              </w:rPr>
            </w:pPr>
          </w:p>
        </w:tc>
        <w:tc>
          <w:tcPr>
            <w:tcW w:w="2220" w:type="dxa"/>
            <w:vAlign w:val="bottom"/>
            <w:tcBorders>
              <w:right w:val="single" w:sz="8" w:color="auto"/>
            </w:tcBorders>
          </w:tcPr>
          <w:p>
            <w:pPr>
              <w:spacing w:after="0"/>
              <w:rPr>
                <w:sz w:val="24"/>
                <w:szCs w:val="24"/>
                <w:color w:val="auto"/>
              </w:rPr>
            </w:pPr>
          </w:p>
        </w:tc>
        <w:tc>
          <w:tcPr>
            <w:tcW w:w="740" w:type="dxa"/>
            <w:vAlign w:val="bottom"/>
          </w:tcPr>
          <w:p>
            <w:pPr>
              <w:spacing w:after="0"/>
              <w:rPr>
                <w:sz w:val="24"/>
                <w:szCs w:val="24"/>
                <w:color w:val="auto"/>
              </w:rPr>
            </w:pPr>
          </w:p>
        </w:tc>
      </w:tr>
      <w:tr>
        <w:trPr>
          <w:trHeight w:val="243"/>
        </w:trPr>
        <w:tc>
          <w:tcPr>
            <w:tcW w:w="654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FF0000"/>
              </w:rPr>
              <w:t>Town, Country</w:t>
            </w:r>
          </w:p>
        </w:tc>
        <w:tc>
          <w:tcPr>
            <w:tcW w:w="1920" w:type="dxa"/>
            <w:vAlign w:val="bottom"/>
          </w:tcPr>
          <w:p>
            <w:pPr>
              <w:spacing w:after="0"/>
              <w:rPr>
                <w:sz w:val="21"/>
                <w:szCs w:val="21"/>
                <w:color w:val="auto"/>
              </w:rPr>
            </w:pPr>
          </w:p>
        </w:tc>
        <w:tc>
          <w:tcPr>
            <w:tcW w:w="222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INVOICE DATE:</w:t>
            </w:r>
          </w:p>
        </w:tc>
        <w:tc>
          <w:tcPr>
            <w:tcW w:w="740" w:type="dxa"/>
            <w:vAlign w:val="bottom"/>
          </w:tcPr>
          <w:p>
            <w:pPr>
              <w:spacing w:after="0"/>
              <w:rPr>
                <w:sz w:val="21"/>
                <w:szCs w:val="21"/>
                <w:color w:val="auto"/>
              </w:rPr>
            </w:pPr>
          </w:p>
        </w:tc>
      </w:tr>
      <w:tr>
        <w:trPr>
          <w:trHeight w:val="243"/>
        </w:trPr>
        <w:tc>
          <w:tcPr>
            <w:tcW w:w="654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FF0000"/>
              </w:rPr>
              <w:t>Phone and Fax Nr.</w:t>
            </w:r>
          </w:p>
        </w:tc>
        <w:tc>
          <w:tcPr>
            <w:tcW w:w="1920" w:type="dxa"/>
            <w:vAlign w:val="bottom"/>
          </w:tcPr>
          <w:p>
            <w:pPr>
              <w:spacing w:after="0"/>
              <w:rPr>
                <w:sz w:val="21"/>
                <w:szCs w:val="21"/>
                <w:color w:val="auto"/>
              </w:rPr>
            </w:pPr>
          </w:p>
        </w:tc>
        <w:tc>
          <w:tcPr>
            <w:tcW w:w="222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 xml:space="preserve">INVOICE No.: </w:t>
            </w:r>
            <w:r>
              <w:rPr>
                <w:rFonts w:ascii="Arial" w:cs="Arial" w:eastAsia="Arial" w:hAnsi="Arial"/>
                <w:sz w:val="18"/>
                <w:szCs w:val="18"/>
                <w:b w:val="1"/>
                <w:bCs w:val="1"/>
                <w:color w:val="FF0000"/>
              </w:rPr>
              <w:t>XXXX</w:t>
            </w:r>
          </w:p>
        </w:tc>
        <w:tc>
          <w:tcPr>
            <w:tcW w:w="740" w:type="dxa"/>
            <w:vAlign w:val="bottom"/>
          </w:tcPr>
          <w:p>
            <w:pPr>
              <w:spacing w:after="0"/>
              <w:rPr>
                <w:sz w:val="21"/>
                <w:szCs w:val="21"/>
                <w:color w:val="auto"/>
              </w:rPr>
            </w:pPr>
          </w:p>
        </w:tc>
      </w:tr>
      <w:tr>
        <w:trPr>
          <w:trHeight w:val="486"/>
        </w:trPr>
        <w:tc>
          <w:tcPr>
            <w:tcW w:w="654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rPr>
              <w:t>Bill To:</w:t>
            </w:r>
          </w:p>
        </w:tc>
        <w:tc>
          <w:tcPr>
            <w:tcW w:w="1920" w:type="dxa"/>
            <w:vAlign w:val="bottom"/>
          </w:tcPr>
          <w:p>
            <w:pPr>
              <w:spacing w:after="0"/>
              <w:rPr>
                <w:sz w:val="20"/>
                <w:szCs w:val="20"/>
                <w:color w:val="auto"/>
              </w:rPr>
            </w:pPr>
            <w:r>
              <w:rPr>
                <w:rFonts w:ascii="Arial" w:cs="Arial" w:eastAsia="Arial" w:hAnsi="Arial"/>
                <w:sz w:val="18"/>
                <w:szCs w:val="18"/>
                <w:b w:val="1"/>
                <w:bCs w:val="1"/>
                <w:color w:val="auto"/>
              </w:rPr>
              <w:t>For:</w:t>
            </w:r>
          </w:p>
        </w:tc>
        <w:tc>
          <w:tcPr>
            <w:tcW w:w="2220" w:type="dxa"/>
            <w:vAlign w:val="bottom"/>
            <w:tcBorders>
              <w:right w:val="single" w:sz="8" w:color="auto"/>
            </w:tcBorders>
          </w:tcPr>
          <w:p>
            <w:pPr>
              <w:spacing w:after="0"/>
              <w:rPr>
                <w:sz w:val="24"/>
                <w:szCs w:val="24"/>
                <w:color w:val="auto"/>
              </w:rPr>
            </w:pPr>
          </w:p>
        </w:tc>
        <w:tc>
          <w:tcPr>
            <w:tcW w:w="740" w:type="dxa"/>
            <w:vAlign w:val="bottom"/>
          </w:tcPr>
          <w:p>
            <w:pPr>
              <w:spacing w:after="0"/>
              <w:rPr>
                <w:sz w:val="24"/>
                <w:szCs w:val="24"/>
                <w:color w:val="auto"/>
              </w:rPr>
            </w:pPr>
          </w:p>
        </w:tc>
      </w:tr>
      <w:tr>
        <w:trPr>
          <w:trHeight w:val="243"/>
        </w:trPr>
        <w:tc>
          <w:tcPr>
            <w:tcW w:w="654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rPr>
              <w:t>(INSERT PROPER NOVARTIS ENTITY)</w:t>
            </w:r>
          </w:p>
        </w:tc>
        <w:tc>
          <w:tcPr>
            <w:tcW w:w="1920" w:type="dxa"/>
            <w:vAlign w:val="bottom"/>
          </w:tcPr>
          <w:p>
            <w:pPr>
              <w:spacing w:after="0"/>
              <w:rPr>
                <w:sz w:val="21"/>
                <w:szCs w:val="21"/>
                <w:color w:val="auto"/>
              </w:rPr>
            </w:pPr>
          </w:p>
        </w:tc>
        <w:tc>
          <w:tcPr>
            <w:tcW w:w="2220" w:type="dxa"/>
            <w:vAlign w:val="bottom"/>
            <w:tcBorders>
              <w:right w:val="single" w:sz="8" w:color="auto"/>
            </w:tcBorders>
          </w:tcPr>
          <w:p>
            <w:pPr>
              <w:spacing w:after="0"/>
              <w:rPr>
                <w:sz w:val="21"/>
                <w:szCs w:val="21"/>
                <w:color w:val="auto"/>
              </w:rPr>
            </w:pPr>
          </w:p>
        </w:tc>
        <w:tc>
          <w:tcPr>
            <w:tcW w:w="740" w:type="dxa"/>
            <w:vAlign w:val="bottom"/>
          </w:tcPr>
          <w:p>
            <w:pPr>
              <w:spacing w:after="0"/>
              <w:rPr>
                <w:sz w:val="21"/>
                <w:szCs w:val="21"/>
                <w:color w:val="auto"/>
              </w:rPr>
            </w:pPr>
          </w:p>
        </w:tc>
      </w:tr>
      <w:tr>
        <w:trPr>
          <w:trHeight w:val="243"/>
        </w:trPr>
        <w:tc>
          <w:tcPr>
            <w:tcW w:w="654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FF0000"/>
              </w:rPr>
              <w:t>Novartis Pharma AG</w:t>
            </w:r>
          </w:p>
        </w:tc>
        <w:tc>
          <w:tcPr>
            <w:tcW w:w="41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FF0000"/>
              </w:rPr>
              <w:t>Product X Royalties 1st Quarter 201___</w:t>
            </w:r>
          </w:p>
        </w:tc>
        <w:tc>
          <w:tcPr>
            <w:tcW w:w="740" w:type="dxa"/>
            <w:vAlign w:val="bottom"/>
          </w:tcPr>
          <w:p>
            <w:pPr>
              <w:spacing w:after="0"/>
              <w:rPr>
                <w:sz w:val="21"/>
                <w:szCs w:val="21"/>
                <w:color w:val="auto"/>
              </w:rPr>
            </w:pPr>
          </w:p>
        </w:tc>
      </w:tr>
      <w:tr>
        <w:trPr>
          <w:trHeight w:val="243"/>
        </w:trPr>
        <w:tc>
          <w:tcPr>
            <w:tcW w:w="654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FF0000"/>
              </w:rPr>
              <w:t>Zentraler Faktureneingang</w:t>
            </w:r>
          </w:p>
        </w:tc>
        <w:tc>
          <w:tcPr>
            <w:tcW w:w="41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FF0000"/>
              </w:rPr>
              <w:t>(or Milestone for event Y)</w:t>
            </w:r>
          </w:p>
        </w:tc>
        <w:tc>
          <w:tcPr>
            <w:tcW w:w="740" w:type="dxa"/>
            <w:vAlign w:val="bottom"/>
          </w:tcPr>
          <w:p>
            <w:pPr>
              <w:spacing w:after="0"/>
              <w:rPr>
                <w:sz w:val="21"/>
                <w:szCs w:val="21"/>
                <w:color w:val="auto"/>
              </w:rPr>
            </w:pPr>
          </w:p>
        </w:tc>
      </w:tr>
      <w:tr>
        <w:trPr>
          <w:trHeight w:val="243"/>
        </w:trPr>
        <w:tc>
          <w:tcPr>
            <w:tcW w:w="654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FF0000"/>
              </w:rPr>
              <w:t>Att. Mr. XXXX</w:t>
            </w:r>
          </w:p>
        </w:tc>
        <w:tc>
          <w:tcPr>
            <w:tcW w:w="1920" w:type="dxa"/>
            <w:vAlign w:val="bottom"/>
          </w:tcPr>
          <w:p>
            <w:pPr>
              <w:spacing w:after="0"/>
              <w:rPr>
                <w:sz w:val="21"/>
                <w:szCs w:val="21"/>
                <w:color w:val="auto"/>
              </w:rPr>
            </w:pPr>
          </w:p>
        </w:tc>
        <w:tc>
          <w:tcPr>
            <w:tcW w:w="2220" w:type="dxa"/>
            <w:vAlign w:val="bottom"/>
            <w:tcBorders>
              <w:right w:val="single" w:sz="8" w:color="auto"/>
            </w:tcBorders>
          </w:tcPr>
          <w:p>
            <w:pPr>
              <w:spacing w:after="0"/>
              <w:rPr>
                <w:sz w:val="21"/>
                <w:szCs w:val="21"/>
                <w:color w:val="auto"/>
              </w:rPr>
            </w:pPr>
          </w:p>
        </w:tc>
        <w:tc>
          <w:tcPr>
            <w:tcW w:w="740" w:type="dxa"/>
            <w:vAlign w:val="bottom"/>
          </w:tcPr>
          <w:p>
            <w:pPr>
              <w:spacing w:after="0"/>
              <w:rPr>
                <w:sz w:val="21"/>
                <w:szCs w:val="21"/>
                <w:color w:val="auto"/>
              </w:rPr>
            </w:pPr>
          </w:p>
        </w:tc>
      </w:tr>
      <w:tr>
        <w:trPr>
          <w:trHeight w:val="243"/>
        </w:trPr>
        <w:tc>
          <w:tcPr>
            <w:tcW w:w="654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FF0000"/>
              </w:rPr>
              <w:t>Postfach</w:t>
            </w:r>
          </w:p>
        </w:tc>
        <w:tc>
          <w:tcPr>
            <w:tcW w:w="1920" w:type="dxa"/>
            <w:vAlign w:val="bottom"/>
          </w:tcPr>
          <w:p>
            <w:pPr>
              <w:spacing w:after="0"/>
              <w:rPr>
                <w:sz w:val="21"/>
                <w:szCs w:val="21"/>
                <w:color w:val="auto"/>
              </w:rPr>
            </w:pPr>
          </w:p>
        </w:tc>
        <w:tc>
          <w:tcPr>
            <w:tcW w:w="2220" w:type="dxa"/>
            <w:vAlign w:val="bottom"/>
            <w:tcBorders>
              <w:right w:val="single" w:sz="8" w:color="auto"/>
            </w:tcBorders>
          </w:tcPr>
          <w:p>
            <w:pPr>
              <w:spacing w:after="0"/>
              <w:rPr>
                <w:sz w:val="21"/>
                <w:szCs w:val="21"/>
                <w:color w:val="auto"/>
              </w:rPr>
            </w:pPr>
          </w:p>
        </w:tc>
        <w:tc>
          <w:tcPr>
            <w:tcW w:w="740" w:type="dxa"/>
            <w:vAlign w:val="bottom"/>
          </w:tcPr>
          <w:p>
            <w:pPr>
              <w:spacing w:after="0"/>
              <w:rPr>
                <w:sz w:val="21"/>
                <w:szCs w:val="21"/>
                <w:color w:val="auto"/>
              </w:rPr>
            </w:pPr>
          </w:p>
        </w:tc>
      </w:tr>
      <w:tr>
        <w:trPr>
          <w:trHeight w:val="243"/>
        </w:trPr>
        <w:tc>
          <w:tcPr>
            <w:tcW w:w="654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FF0000"/>
              </w:rPr>
              <w:t>CH-4002 Basel, Switzerland</w:t>
            </w:r>
          </w:p>
        </w:tc>
        <w:tc>
          <w:tcPr>
            <w:tcW w:w="1920" w:type="dxa"/>
            <w:vAlign w:val="bottom"/>
          </w:tcPr>
          <w:p>
            <w:pPr>
              <w:spacing w:after="0"/>
              <w:rPr>
                <w:sz w:val="21"/>
                <w:szCs w:val="21"/>
                <w:color w:val="auto"/>
              </w:rPr>
            </w:pPr>
          </w:p>
        </w:tc>
        <w:tc>
          <w:tcPr>
            <w:tcW w:w="2220" w:type="dxa"/>
            <w:vAlign w:val="bottom"/>
            <w:tcBorders>
              <w:right w:val="single" w:sz="8" w:color="auto"/>
            </w:tcBorders>
          </w:tcPr>
          <w:p>
            <w:pPr>
              <w:spacing w:after="0"/>
              <w:rPr>
                <w:sz w:val="21"/>
                <w:szCs w:val="21"/>
                <w:color w:val="auto"/>
              </w:rPr>
            </w:pPr>
          </w:p>
        </w:tc>
        <w:tc>
          <w:tcPr>
            <w:tcW w:w="740" w:type="dxa"/>
            <w:vAlign w:val="bottom"/>
          </w:tcPr>
          <w:p>
            <w:pPr>
              <w:spacing w:after="0"/>
              <w:rPr>
                <w:sz w:val="21"/>
                <w:szCs w:val="21"/>
                <w:color w:val="auto"/>
              </w:rPr>
            </w:pPr>
          </w:p>
        </w:tc>
      </w:tr>
      <w:tr>
        <w:trPr>
          <w:trHeight w:val="243"/>
        </w:trPr>
        <w:tc>
          <w:tcPr>
            <w:tcW w:w="654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FF0000"/>
              </w:rPr>
              <w:t>(Or NIBR address during Research phase)</w:t>
            </w:r>
          </w:p>
        </w:tc>
        <w:tc>
          <w:tcPr>
            <w:tcW w:w="1920" w:type="dxa"/>
            <w:vAlign w:val="bottom"/>
          </w:tcPr>
          <w:p>
            <w:pPr>
              <w:spacing w:after="0"/>
              <w:rPr>
                <w:sz w:val="21"/>
                <w:szCs w:val="21"/>
                <w:color w:val="auto"/>
              </w:rPr>
            </w:pPr>
          </w:p>
        </w:tc>
        <w:tc>
          <w:tcPr>
            <w:tcW w:w="2220" w:type="dxa"/>
            <w:vAlign w:val="bottom"/>
            <w:tcBorders>
              <w:right w:val="single" w:sz="8" w:color="auto"/>
            </w:tcBorders>
          </w:tcPr>
          <w:p>
            <w:pPr>
              <w:spacing w:after="0"/>
              <w:rPr>
                <w:sz w:val="21"/>
                <w:szCs w:val="21"/>
                <w:color w:val="auto"/>
              </w:rPr>
            </w:pPr>
          </w:p>
        </w:tc>
        <w:tc>
          <w:tcPr>
            <w:tcW w:w="740" w:type="dxa"/>
            <w:vAlign w:val="bottom"/>
          </w:tcPr>
          <w:p>
            <w:pPr>
              <w:spacing w:after="0"/>
              <w:rPr>
                <w:sz w:val="21"/>
                <w:szCs w:val="21"/>
                <w:color w:val="auto"/>
              </w:rPr>
            </w:pPr>
          </w:p>
        </w:tc>
      </w:tr>
      <w:tr>
        <w:trPr>
          <w:trHeight w:val="230"/>
        </w:trPr>
        <w:tc>
          <w:tcPr>
            <w:tcW w:w="6540" w:type="dxa"/>
            <w:vAlign w:val="bottom"/>
            <w:tcBorders>
              <w:left w:val="single" w:sz="8" w:color="auto"/>
              <w:bottom w:val="single" w:sz="8" w:color="auto"/>
            </w:tcBorders>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c>
          <w:tcPr>
            <w:tcW w:w="2220" w:type="dxa"/>
            <w:vAlign w:val="bottom"/>
            <w:tcBorders>
              <w:bottom w:val="single" w:sz="8" w:color="auto"/>
              <w:right w:val="single" w:sz="8" w:color="auto"/>
            </w:tcBorders>
          </w:tcPr>
          <w:p>
            <w:pPr>
              <w:spacing w:after="0"/>
              <w:rPr>
                <w:sz w:val="19"/>
                <w:szCs w:val="19"/>
                <w:color w:val="auto"/>
              </w:rPr>
            </w:pPr>
          </w:p>
        </w:tc>
        <w:tc>
          <w:tcPr>
            <w:tcW w:w="740" w:type="dxa"/>
            <w:vAlign w:val="bottom"/>
          </w:tcPr>
          <w:p>
            <w:pPr>
              <w:spacing w:after="0"/>
              <w:rPr>
                <w:sz w:val="19"/>
                <w:szCs w:val="19"/>
                <w:color w:val="auto"/>
              </w:rPr>
            </w:pPr>
          </w:p>
        </w:tc>
      </w:tr>
      <w:tr>
        <w:trPr>
          <w:trHeight w:val="223"/>
        </w:trPr>
        <w:tc>
          <w:tcPr>
            <w:tcW w:w="65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DESCRIPTION</w:t>
            </w:r>
          </w:p>
        </w:tc>
        <w:tc>
          <w:tcPr>
            <w:tcW w:w="1920" w:type="dxa"/>
            <w:vAlign w:val="bottom"/>
            <w:tcBorders>
              <w:bottom w:val="single" w:sz="8" w:color="auto"/>
              <w:right w:val="single" w:sz="8" w:color="auto"/>
            </w:tcBorders>
          </w:tcPr>
          <w:p>
            <w:pPr>
              <w:spacing w:after="0"/>
              <w:rPr>
                <w:sz w:val="19"/>
                <w:szCs w:val="19"/>
                <w:color w:val="auto"/>
              </w:rPr>
            </w:pPr>
          </w:p>
        </w:tc>
        <w:tc>
          <w:tcPr>
            <w:tcW w:w="2220" w:type="dxa"/>
            <w:vAlign w:val="bottom"/>
            <w:tcBorders>
              <w:bottom w:val="single" w:sz="8" w:color="auto"/>
              <w:right w:val="single" w:sz="8" w:color="auto"/>
            </w:tcBorders>
          </w:tcPr>
          <w:p>
            <w:pPr>
              <w:jc w:val="right"/>
              <w:ind w:right="345"/>
              <w:spacing w:after="0"/>
              <w:rPr>
                <w:sz w:val="20"/>
                <w:szCs w:val="20"/>
                <w:color w:val="auto"/>
              </w:rPr>
            </w:pPr>
            <w:r>
              <w:rPr>
                <w:rFonts w:ascii="Arial" w:cs="Arial" w:eastAsia="Arial" w:hAnsi="Arial"/>
                <w:sz w:val="18"/>
                <w:szCs w:val="18"/>
                <w:b w:val="1"/>
                <w:bCs w:val="1"/>
                <w:color w:val="auto"/>
              </w:rPr>
              <w:t>AMOUNT (USD)</w:t>
            </w:r>
          </w:p>
        </w:tc>
        <w:tc>
          <w:tcPr>
            <w:tcW w:w="740" w:type="dxa"/>
            <w:vAlign w:val="bottom"/>
          </w:tcPr>
          <w:p>
            <w:pPr>
              <w:spacing w:after="0"/>
              <w:rPr>
                <w:sz w:val="19"/>
                <w:szCs w:val="19"/>
                <w:color w:val="auto"/>
              </w:rPr>
            </w:pPr>
          </w:p>
        </w:tc>
      </w:tr>
      <w:tr>
        <w:trPr>
          <w:trHeight w:val="195"/>
        </w:trPr>
        <w:tc>
          <w:tcPr>
            <w:tcW w:w="8460" w:type="dxa"/>
            <w:vAlign w:val="bottom"/>
            <w:tcBorders>
              <w:left w:val="single" w:sz="8" w:color="auto"/>
              <w:right w:val="single" w:sz="8" w:color="auto"/>
            </w:tcBorders>
            <w:gridSpan w:val="2"/>
          </w:tcPr>
          <w:p>
            <w:pPr>
              <w:ind w:left="20"/>
              <w:spacing w:after="0" w:line="195" w:lineRule="exact"/>
              <w:rPr>
                <w:sz w:val="20"/>
                <w:szCs w:val="20"/>
                <w:color w:val="auto"/>
              </w:rPr>
            </w:pPr>
            <w:r>
              <w:rPr>
                <w:rFonts w:ascii="Arial" w:cs="Arial" w:eastAsia="Arial" w:hAnsi="Arial"/>
                <w:sz w:val="18"/>
                <w:szCs w:val="18"/>
                <w:color w:val="FF0000"/>
              </w:rPr>
              <w:t>Product X royalties [January - March] 201__ calculated based on Novartis provided sales &amp; royalties</w:t>
            </w:r>
          </w:p>
        </w:tc>
        <w:tc>
          <w:tcPr>
            <w:tcW w:w="2220" w:type="dxa"/>
            <w:vAlign w:val="bottom"/>
            <w:tcBorders>
              <w:right w:val="single" w:sz="8" w:color="auto"/>
            </w:tcBorders>
          </w:tcPr>
          <w:p>
            <w:pPr>
              <w:spacing w:after="0"/>
              <w:rPr>
                <w:sz w:val="16"/>
                <w:szCs w:val="16"/>
                <w:color w:val="auto"/>
              </w:rPr>
            </w:pPr>
          </w:p>
        </w:tc>
        <w:tc>
          <w:tcPr>
            <w:tcW w:w="740" w:type="dxa"/>
            <w:vAlign w:val="bottom"/>
          </w:tcPr>
          <w:p>
            <w:pPr>
              <w:spacing w:after="0"/>
              <w:rPr>
                <w:sz w:val="16"/>
                <w:szCs w:val="16"/>
                <w:color w:val="auto"/>
              </w:rPr>
            </w:pPr>
          </w:p>
        </w:tc>
      </w:tr>
      <w:tr>
        <w:trPr>
          <w:trHeight w:val="217"/>
        </w:trPr>
        <w:tc>
          <w:tcPr>
            <w:tcW w:w="654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FF0000"/>
              </w:rPr>
              <w:t>report (see attached worksheet)</w:t>
            </w:r>
          </w:p>
        </w:tc>
        <w:tc>
          <w:tcPr>
            <w:tcW w:w="1920" w:type="dxa"/>
            <w:vAlign w:val="bottom"/>
            <w:tcBorders>
              <w:right w:val="single" w:sz="8" w:color="auto"/>
            </w:tcBorders>
          </w:tcPr>
          <w:p>
            <w:pPr>
              <w:spacing w:after="0"/>
              <w:rPr>
                <w:sz w:val="18"/>
                <w:szCs w:val="18"/>
                <w:color w:val="auto"/>
              </w:rPr>
            </w:pPr>
          </w:p>
        </w:tc>
        <w:tc>
          <w:tcPr>
            <w:tcW w:w="2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FF0000"/>
              </w:rPr>
              <w:t>US$ 000'000.00</w:t>
            </w:r>
          </w:p>
        </w:tc>
        <w:tc>
          <w:tcPr>
            <w:tcW w:w="740" w:type="dxa"/>
            <w:vAlign w:val="bottom"/>
          </w:tcPr>
          <w:p>
            <w:pPr>
              <w:spacing w:after="0"/>
              <w:rPr>
                <w:sz w:val="18"/>
                <w:szCs w:val="18"/>
                <w:color w:val="auto"/>
              </w:rPr>
            </w:pPr>
          </w:p>
        </w:tc>
      </w:tr>
      <w:tr>
        <w:trPr>
          <w:trHeight w:val="459"/>
        </w:trPr>
        <w:tc>
          <w:tcPr>
            <w:tcW w:w="846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FF0000"/>
              </w:rPr>
              <w:t>(Or milestone payment for event Y, according to paragraph XY of agreement ZZZZ dated ……)</w:t>
            </w:r>
          </w:p>
        </w:tc>
        <w:tc>
          <w:tcPr>
            <w:tcW w:w="2220" w:type="dxa"/>
            <w:vAlign w:val="bottom"/>
            <w:tcBorders>
              <w:right w:val="single" w:sz="8" w:color="auto"/>
            </w:tcBorders>
          </w:tcPr>
          <w:p>
            <w:pPr>
              <w:spacing w:after="0"/>
              <w:rPr>
                <w:sz w:val="24"/>
                <w:szCs w:val="24"/>
                <w:color w:val="auto"/>
              </w:rPr>
            </w:pPr>
          </w:p>
        </w:tc>
        <w:tc>
          <w:tcPr>
            <w:tcW w:w="740" w:type="dxa"/>
            <w:vAlign w:val="bottom"/>
          </w:tcPr>
          <w:p>
            <w:pPr>
              <w:spacing w:after="0"/>
              <w:rPr>
                <w:sz w:val="24"/>
                <w:szCs w:val="24"/>
                <w:color w:val="auto"/>
              </w:rPr>
            </w:pPr>
          </w:p>
        </w:tc>
      </w:tr>
      <w:tr>
        <w:trPr>
          <w:trHeight w:val="486"/>
        </w:trPr>
        <w:tc>
          <w:tcPr>
            <w:tcW w:w="654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FF0000"/>
              </w:rPr>
              <w:t>Novartis Contract Code</w:t>
            </w:r>
          </w:p>
        </w:tc>
        <w:tc>
          <w:tcPr>
            <w:tcW w:w="1920" w:type="dxa"/>
            <w:vAlign w:val="bottom"/>
            <w:tcBorders>
              <w:right w:val="single" w:sz="8" w:color="auto"/>
            </w:tcBorders>
          </w:tcPr>
          <w:p>
            <w:pPr>
              <w:spacing w:after="0"/>
              <w:rPr>
                <w:sz w:val="24"/>
                <w:szCs w:val="24"/>
                <w:color w:val="auto"/>
              </w:rPr>
            </w:pPr>
          </w:p>
        </w:tc>
        <w:tc>
          <w:tcPr>
            <w:tcW w:w="2220" w:type="dxa"/>
            <w:vAlign w:val="bottom"/>
            <w:tcBorders>
              <w:right w:val="single" w:sz="8" w:color="auto"/>
            </w:tcBorders>
          </w:tcPr>
          <w:p>
            <w:pPr>
              <w:spacing w:after="0"/>
              <w:rPr>
                <w:sz w:val="24"/>
                <w:szCs w:val="24"/>
                <w:color w:val="auto"/>
              </w:rPr>
            </w:pPr>
          </w:p>
        </w:tc>
        <w:tc>
          <w:tcPr>
            <w:tcW w:w="740" w:type="dxa"/>
            <w:vAlign w:val="bottom"/>
          </w:tcPr>
          <w:p>
            <w:pPr>
              <w:spacing w:after="0"/>
              <w:rPr>
                <w:sz w:val="24"/>
                <w:szCs w:val="24"/>
                <w:color w:val="auto"/>
              </w:rPr>
            </w:pPr>
          </w:p>
        </w:tc>
      </w:tr>
      <w:tr>
        <w:trPr>
          <w:trHeight w:val="440"/>
        </w:trPr>
        <w:tc>
          <w:tcPr>
            <w:tcW w:w="846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i w:val="1"/>
                <w:iCs w:val="1"/>
                <w:color w:val="FF0000"/>
              </w:rPr>
              <w:t>Please specify the event for which the invoice is due, and add any copies of invoices from third parties in</w:t>
            </w:r>
          </w:p>
        </w:tc>
        <w:tc>
          <w:tcPr>
            <w:tcW w:w="2220" w:type="dxa"/>
            <w:vAlign w:val="bottom"/>
            <w:tcBorders>
              <w:right w:val="single" w:sz="8" w:color="auto"/>
            </w:tcBorders>
          </w:tcPr>
          <w:p>
            <w:pPr>
              <w:spacing w:after="0"/>
              <w:rPr>
                <w:sz w:val="24"/>
                <w:szCs w:val="24"/>
                <w:color w:val="auto"/>
              </w:rPr>
            </w:pPr>
          </w:p>
        </w:tc>
        <w:tc>
          <w:tcPr>
            <w:tcW w:w="740" w:type="dxa"/>
            <w:vAlign w:val="bottom"/>
          </w:tcPr>
          <w:p>
            <w:pPr>
              <w:spacing w:after="0"/>
              <w:rPr>
                <w:sz w:val="24"/>
                <w:szCs w:val="24"/>
                <w:color w:val="auto"/>
              </w:rPr>
            </w:pPr>
          </w:p>
        </w:tc>
      </w:tr>
      <w:tr>
        <w:trPr>
          <w:trHeight w:val="235"/>
        </w:trPr>
        <w:tc>
          <w:tcPr>
            <w:tcW w:w="6540" w:type="dxa"/>
            <w:vAlign w:val="bottom"/>
            <w:tcBorders>
              <w:left w:val="single" w:sz="8" w:color="auto"/>
            </w:tcBorders>
          </w:tcPr>
          <w:p>
            <w:pPr>
              <w:ind w:left="20"/>
              <w:spacing w:after="0"/>
              <w:rPr>
                <w:sz w:val="20"/>
                <w:szCs w:val="20"/>
                <w:color w:val="auto"/>
              </w:rPr>
            </w:pPr>
            <w:r>
              <w:rPr>
                <w:rFonts w:ascii="Arial" w:cs="Arial" w:eastAsia="Arial" w:hAnsi="Arial"/>
                <w:sz w:val="18"/>
                <w:szCs w:val="18"/>
                <w:i w:val="1"/>
                <w:iCs w:val="1"/>
                <w:color w:val="FF0000"/>
              </w:rPr>
              <w:t>case reimbursement for third party work is agreed to</w:t>
            </w:r>
          </w:p>
        </w:tc>
        <w:tc>
          <w:tcPr>
            <w:tcW w:w="1920" w:type="dxa"/>
            <w:vAlign w:val="bottom"/>
            <w:tcBorders>
              <w:right w:val="single" w:sz="8" w:color="auto"/>
            </w:tcBorders>
          </w:tcPr>
          <w:p>
            <w:pPr>
              <w:spacing w:after="0"/>
              <w:rPr>
                <w:sz w:val="20"/>
                <w:szCs w:val="20"/>
                <w:color w:val="auto"/>
              </w:rPr>
            </w:pPr>
          </w:p>
        </w:tc>
        <w:tc>
          <w:tcPr>
            <w:tcW w:w="2220" w:type="dxa"/>
            <w:vAlign w:val="bottom"/>
            <w:tcBorders>
              <w:right w:val="single" w:sz="8" w:color="auto"/>
            </w:tcBorders>
          </w:tcPr>
          <w:p>
            <w:pPr>
              <w:spacing w:after="0"/>
              <w:rPr>
                <w:sz w:val="20"/>
                <w:szCs w:val="20"/>
                <w:color w:val="auto"/>
              </w:rPr>
            </w:pPr>
          </w:p>
        </w:tc>
        <w:tc>
          <w:tcPr>
            <w:tcW w:w="740" w:type="dxa"/>
            <w:vAlign w:val="bottom"/>
          </w:tcPr>
          <w:p>
            <w:pPr>
              <w:spacing w:after="0"/>
              <w:rPr>
                <w:sz w:val="20"/>
                <w:szCs w:val="20"/>
                <w:color w:val="auto"/>
              </w:rPr>
            </w:pPr>
          </w:p>
        </w:tc>
      </w:tr>
      <w:tr>
        <w:trPr>
          <w:trHeight w:val="702"/>
        </w:trPr>
        <w:tc>
          <w:tcPr>
            <w:tcW w:w="654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rPr>
              <w:t>Please remit by wire transfer within 60 days to:</w:t>
            </w:r>
          </w:p>
        </w:tc>
        <w:tc>
          <w:tcPr>
            <w:tcW w:w="1920" w:type="dxa"/>
            <w:vAlign w:val="bottom"/>
            <w:tcBorders>
              <w:right w:val="single" w:sz="8" w:color="auto"/>
            </w:tcBorders>
          </w:tcPr>
          <w:p>
            <w:pPr>
              <w:spacing w:after="0"/>
              <w:rPr>
                <w:sz w:val="24"/>
                <w:szCs w:val="24"/>
                <w:color w:val="auto"/>
              </w:rPr>
            </w:pPr>
          </w:p>
        </w:tc>
        <w:tc>
          <w:tcPr>
            <w:tcW w:w="2220" w:type="dxa"/>
            <w:vAlign w:val="bottom"/>
            <w:tcBorders>
              <w:right w:val="single" w:sz="8" w:color="auto"/>
            </w:tcBorders>
          </w:tcPr>
          <w:p>
            <w:pPr>
              <w:spacing w:after="0"/>
              <w:rPr>
                <w:sz w:val="24"/>
                <w:szCs w:val="24"/>
                <w:color w:val="auto"/>
              </w:rPr>
            </w:pPr>
          </w:p>
        </w:tc>
        <w:tc>
          <w:tcPr>
            <w:tcW w:w="740" w:type="dxa"/>
            <w:vAlign w:val="bottom"/>
          </w:tcPr>
          <w:p>
            <w:pPr>
              <w:spacing w:after="0"/>
              <w:rPr>
                <w:sz w:val="24"/>
                <w:szCs w:val="24"/>
                <w:color w:val="auto"/>
              </w:rPr>
            </w:pPr>
          </w:p>
        </w:tc>
      </w:tr>
      <w:tr>
        <w:trPr>
          <w:trHeight w:val="472"/>
        </w:trPr>
        <w:tc>
          <w:tcPr>
            <w:tcW w:w="654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Receiving Bank -</w:t>
            </w:r>
          </w:p>
        </w:tc>
        <w:tc>
          <w:tcPr>
            <w:tcW w:w="1920" w:type="dxa"/>
            <w:vAlign w:val="bottom"/>
            <w:tcBorders>
              <w:right w:val="single" w:sz="8" w:color="auto"/>
            </w:tcBorders>
          </w:tcPr>
          <w:p>
            <w:pPr>
              <w:spacing w:after="0"/>
              <w:rPr>
                <w:sz w:val="24"/>
                <w:szCs w:val="24"/>
                <w:color w:val="auto"/>
              </w:rPr>
            </w:pPr>
          </w:p>
        </w:tc>
        <w:tc>
          <w:tcPr>
            <w:tcW w:w="2220" w:type="dxa"/>
            <w:vAlign w:val="bottom"/>
            <w:tcBorders>
              <w:right w:val="single" w:sz="8" w:color="auto"/>
            </w:tcBorders>
          </w:tcPr>
          <w:p>
            <w:pPr>
              <w:spacing w:after="0"/>
              <w:rPr>
                <w:sz w:val="24"/>
                <w:szCs w:val="24"/>
                <w:color w:val="auto"/>
              </w:rPr>
            </w:pPr>
          </w:p>
        </w:tc>
        <w:tc>
          <w:tcPr>
            <w:tcW w:w="740" w:type="dxa"/>
            <w:vAlign w:val="bottom"/>
          </w:tcPr>
          <w:p>
            <w:pPr>
              <w:spacing w:after="0"/>
              <w:rPr>
                <w:sz w:val="24"/>
                <w:szCs w:val="24"/>
                <w:color w:val="auto"/>
              </w:rPr>
            </w:pPr>
          </w:p>
        </w:tc>
      </w:tr>
      <w:tr>
        <w:trPr>
          <w:trHeight w:val="217"/>
        </w:trPr>
        <w:tc>
          <w:tcPr>
            <w:tcW w:w="654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Swift Code - ……...</w:t>
            </w:r>
          </w:p>
        </w:tc>
        <w:tc>
          <w:tcPr>
            <w:tcW w:w="1920" w:type="dxa"/>
            <w:vAlign w:val="bottom"/>
            <w:tcBorders>
              <w:right w:val="single" w:sz="8" w:color="auto"/>
            </w:tcBorders>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r>
      <w:tr>
        <w:trPr>
          <w:trHeight w:val="243"/>
        </w:trPr>
        <w:tc>
          <w:tcPr>
            <w:tcW w:w="654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IBAN Number - ……..</w:t>
            </w:r>
          </w:p>
        </w:tc>
        <w:tc>
          <w:tcPr>
            <w:tcW w:w="1920" w:type="dxa"/>
            <w:vAlign w:val="bottom"/>
            <w:tcBorders>
              <w:right w:val="single" w:sz="8" w:color="auto"/>
            </w:tcBorders>
          </w:tcPr>
          <w:p>
            <w:pPr>
              <w:spacing w:after="0"/>
              <w:rPr>
                <w:sz w:val="21"/>
                <w:szCs w:val="21"/>
                <w:color w:val="auto"/>
              </w:rPr>
            </w:pPr>
          </w:p>
        </w:tc>
        <w:tc>
          <w:tcPr>
            <w:tcW w:w="2220" w:type="dxa"/>
            <w:vAlign w:val="bottom"/>
            <w:tcBorders>
              <w:right w:val="single" w:sz="8" w:color="auto"/>
            </w:tcBorders>
          </w:tcPr>
          <w:p>
            <w:pPr>
              <w:spacing w:after="0"/>
              <w:rPr>
                <w:sz w:val="21"/>
                <w:szCs w:val="21"/>
                <w:color w:val="auto"/>
              </w:rPr>
            </w:pPr>
          </w:p>
        </w:tc>
        <w:tc>
          <w:tcPr>
            <w:tcW w:w="740" w:type="dxa"/>
            <w:vAlign w:val="bottom"/>
          </w:tcPr>
          <w:p>
            <w:pPr>
              <w:spacing w:after="0"/>
              <w:rPr>
                <w:sz w:val="21"/>
                <w:szCs w:val="21"/>
                <w:color w:val="auto"/>
              </w:rPr>
            </w:pPr>
          </w:p>
        </w:tc>
      </w:tr>
      <w:tr>
        <w:trPr>
          <w:trHeight w:val="243"/>
        </w:trPr>
        <w:tc>
          <w:tcPr>
            <w:tcW w:w="654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Credit Account - ……...</w:t>
            </w:r>
          </w:p>
        </w:tc>
        <w:tc>
          <w:tcPr>
            <w:tcW w:w="1920" w:type="dxa"/>
            <w:vAlign w:val="bottom"/>
            <w:tcBorders>
              <w:right w:val="single" w:sz="8" w:color="auto"/>
            </w:tcBorders>
          </w:tcPr>
          <w:p>
            <w:pPr>
              <w:spacing w:after="0"/>
              <w:rPr>
                <w:sz w:val="21"/>
                <w:szCs w:val="21"/>
                <w:color w:val="auto"/>
              </w:rPr>
            </w:pPr>
          </w:p>
        </w:tc>
        <w:tc>
          <w:tcPr>
            <w:tcW w:w="2220" w:type="dxa"/>
            <w:vAlign w:val="bottom"/>
            <w:tcBorders>
              <w:right w:val="single" w:sz="8" w:color="auto"/>
            </w:tcBorders>
          </w:tcPr>
          <w:p>
            <w:pPr>
              <w:spacing w:after="0"/>
              <w:rPr>
                <w:sz w:val="21"/>
                <w:szCs w:val="21"/>
                <w:color w:val="auto"/>
              </w:rPr>
            </w:pPr>
          </w:p>
        </w:tc>
        <w:tc>
          <w:tcPr>
            <w:tcW w:w="740" w:type="dxa"/>
            <w:vAlign w:val="bottom"/>
          </w:tcPr>
          <w:p>
            <w:pPr>
              <w:spacing w:after="0"/>
              <w:rPr>
                <w:sz w:val="21"/>
                <w:szCs w:val="21"/>
                <w:color w:val="auto"/>
              </w:rPr>
            </w:pPr>
          </w:p>
        </w:tc>
      </w:tr>
      <w:tr>
        <w:trPr>
          <w:trHeight w:val="243"/>
        </w:trPr>
        <w:tc>
          <w:tcPr>
            <w:tcW w:w="654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Beneficiary -</w:t>
            </w:r>
          </w:p>
        </w:tc>
        <w:tc>
          <w:tcPr>
            <w:tcW w:w="1920" w:type="dxa"/>
            <w:vAlign w:val="bottom"/>
            <w:tcBorders>
              <w:right w:val="single" w:sz="8" w:color="auto"/>
            </w:tcBorders>
          </w:tcPr>
          <w:p>
            <w:pPr>
              <w:spacing w:after="0"/>
              <w:rPr>
                <w:sz w:val="21"/>
                <w:szCs w:val="21"/>
                <w:color w:val="auto"/>
              </w:rPr>
            </w:pPr>
          </w:p>
        </w:tc>
        <w:tc>
          <w:tcPr>
            <w:tcW w:w="2220" w:type="dxa"/>
            <w:vAlign w:val="bottom"/>
            <w:tcBorders>
              <w:right w:val="single" w:sz="8" w:color="auto"/>
            </w:tcBorders>
          </w:tcPr>
          <w:p>
            <w:pPr>
              <w:spacing w:after="0"/>
              <w:rPr>
                <w:sz w:val="21"/>
                <w:szCs w:val="21"/>
                <w:color w:val="auto"/>
              </w:rPr>
            </w:pPr>
          </w:p>
        </w:tc>
        <w:tc>
          <w:tcPr>
            <w:tcW w:w="740" w:type="dxa"/>
            <w:vAlign w:val="bottom"/>
          </w:tcPr>
          <w:p>
            <w:pPr>
              <w:spacing w:after="0"/>
              <w:rPr>
                <w:sz w:val="21"/>
                <w:szCs w:val="21"/>
                <w:color w:val="auto"/>
              </w:rPr>
            </w:pPr>
          </w:p>
        </w:tc>
      </w:tr>
      <w:tr>
        <w:trPr>
          <w:trHeight w:val="257"/>
        </w:trPr>
        <w:tc>
          <w:tcPr>
            <w:tcW w:w="6540" w:type="dxa"/>
            <w:vAlign w:val="bottom"/>
            <w:tcBorders>
              <w:left w:val="single" w:sz="8" w:color="auto"/>
              <w:bottom w:val="single" w:sz="8" w:color="auto"/>
            </w:tcBorders>
          </w:tcPr>
          <w:p>
            <w:pPr>
              <w:spacing w:after="0"/>
              <w:rPr>
                <w:sz w:val="22"/>
                <w:szCs w:val="22"/>
                <w:color w:val="auto"/>
              </w:rPr>
            </w:pPr>
          </w:p>
        </w:tc>
        <w:tc>
          <w:tcPr>
            <w:tcW w:w="1920" w:type="dxa"/>
            <w:vAlign w:val="bottom"/>
            <w:tcBorders>
              <w:bottom w:val="single" w:sz="8" w:color="auto"/>
              <w:right w:val="single" w:sz="8" w:color="auto"/>
            </w:tcBorders>
          </w:tcPr>
          <w:p>
            <w:pPr>
              <w:spacing w:after="0"/>
              <w:rPr>
                <w:sz w:val="22"/>
                <w:szCs w:val="22"/>
                <w:color w:val="auto"/>
              </w:rPr>
            </w:pPr>
          </w:p>
        </w:tc>
        <w:tc>
          <w:tcPr>
            <w:tcW w:w="2220" w:type="dxa"/>
            <w:vAlign w:val="bottom"/>
            <w:tcBorders>
              <w:bottom w:val="single" w:sz="8" w:color="auto"/>
              <w:right w:val="single" w:sz="8" w:color="auto"/>
            </w:tcBorders>
          </w:tcPr>
          <w:p>
            <w:pPr>
              <w:spacing w:after="0"/>
              <w:rPr>
                <w:sz w:val="22"/>
                <w:szCs w:val="22"/>
                <w:color w:val="auto"/>
              </w:rPr>
            </w:pPr>
          </w:p>
        </w:tc>
        <w:tc>
          <w:tcPr>
            <w:tcW w:w="740" w:type="dxa"/>
            <w:vAlign w:val="bottom"/>
          </w:tcPr>
          <w:p>
            <w:pPr>
              <w:spacing w:after="0"/>
              <w:rPr>
                <w:sz w:val="22"/>
                <w:szCs w:val="22"/>
                <w:color w:val="auto"/>
              </w:rPr>
            </w:pPr>
          </w:p>
        </w:tc>
      </w:tr>
      <w:tr>
        <w:trPr>
          <w:trHeight w:val="232"/>
        </w:trPr>
        <w:tc>
          <w:tcPr>
            <w:tcW w:w="6540" w:type="dxa"/>
            <w:vAlign w:val="bottom"/>
            <w:tcBorders>
              <w:left w:val="single" w:sz="8" w:color="auto"/>
            </w:tcBorders>
          </w:tcPr>
          <w:p>
            <w:pPr>
              <w:spacing w:after="0"/>
              <w:rPr>
                <w:sz w:val="20"/>
                <w:szCs w:val="20"/>
                <w:color w:val="auto"/>
              </w:rPr>
            </w:pPr>
          </w:p>
        </w:tc>
        <w:tc>
          <w:tcPr>
            <w:tcW w:w="192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2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FF0000"/>
              </w:rPr>
              <w:t>000'000,00</w:t>
            </w:r>
          </w:p>
        </w:tc>
        <w:tc>
          <w:tcPr>
            <w:tcW w:w="740" w:type="dxa"/>
            <w:vAlign w:val="bottom"/>
          </w:tcPr>
          <w:p>
            <w:pPr>
              <w:spacing w:after="0"/>
              <w:rPr>
                <w:sz w:val="20"/>
                <w:szCs w:val="20"/>
                <w:color w:val="auto"/>
              </w:rPr>
            </w:pPr>
          </w:p>
        </w:tc>
      </w:tr>
      <w:tr>
        <w:trPr>
          <w:trHeight w:val="254"/>
        </w:trPr>
        <w:tc>
          <w:tcPr>
            <w:tcW w:w="6540" w:type="dxa"/>
            <w:vAlign w:val="bottom"/>
            <w:tcBorders>
              <w:left w:val="single" w:sz="8" w:color="auto"/>
            </w:tcBorders>
          </w:tcPr>
          <w:p>
            <w:pPr>
              <w:ind w:left="1180"/>
              <w:spacing w:after="0"/>
              <w:rPr>
                <w:sz w:val="20"/>
                <w:szCs w:val="20"/>
                <w:color w:val="auto"/>
              </w:rPr>
            </w:pPr>
            <w:r>
              <w:rPr>
                <w:rFonts w:ascii="Arial" w:cs="Arial" w:eastAsia="Arial" w:hAnsi="Arial"/>
                <w:sz w:val="18"/>
                <w:szCs w:val="18"/>
                <w:color w:val="FF0000"/>
                <w:w w:val="99"/>
              </w:rPr>
              <w:t>If you have any questions concerning this invoice, contact …………</w:t>
            </w:r>
          </w:p>
        </w:tc>
        <w:tc>
          <w:tcPr>
            <w:tcW w:w="1920" w:type="dxa"/>
            <w:vAlign w:val="bottom"/>
          </w:tcPr>
          <w:p>
            <w:pPr>
              <w:spacing w:after="0"/>
              <w:rPr>
                <w:sz w:val="22"/>
                <w:szCs w:val="22"/>
                <w:color w:val="auto"/>
              </w:rPr>
            </w:pPr>
          </w:p>
        </w:tc>
        <w:tc>
          <w:tcPr>
            <w:tcW w:w="2220" w:type="dxa"/>
            <w:vAlign w:val="bottom"/>
            <w:tcBorders>
              <w:right w:val="single" w:sz="8" w:color="auto"/>
            </w:tcBorders>
          </w:tcPr>
          <w:p>
            <w:pPr>
              <w:spacing w:after="0"/>
              <w:rPr>
                <w:sz w:val="22"/>
                <w:szCs w:val="22"/>
                <w:color w:val="auto"/>
              </w:rPr>
            </w:pPr>
          </w:p>
        </w:tc>
        <w:tc>
          <w:tcPr>
            <w:tcW w:w="740" w:type="dxa"/>
            <w:vAlign w:val="bottom"/>
          </w:tcPr>
          <w:p>
            <w:pPr>
              <w:spacing w:after="0"/>
              <w:rPr>
                <w:sz w:val="22"/>
                <w:szCs w:val="22"/>
                <w:color w:val="auto"/>
              </w:rPr>
            </w:pPr>
          </w:p>
        </w:tc>
      </w:tr>
      <w:tr>
        <w:trPr>
          <w:trHeight w:val="229"/>
        </w:trPr>
        <w:tc>
          <w:tcPr>
            <w:tcW w:w="654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FF0000"/>
              </w:rPr>
              <w:t>or e-mail to ……..</w:t>
            </w:r>
          </w:p>
        </w:tc>
        <w:tc>
          <w:tcPr>
            <w:tcW w:w="1920" w:type="dxa"/>
            <w:vAlign w:val="bottom"/>
          </w:tcPr>
          <w:p>
            <w:pPr>
              <w:spacing w:after="0"/>
              <w:rPr>
                <w:sz w:val="19"/>
                <w:szCs w:val="19"/>
                <w:color w:val="auto"/>
              </w:rPr>
            </w:pPr>
          </w:p>
        </w:tc>
        <w:tc>
          <w:tcPr>
            <w:tcW w:w="2220" w:type="dxa"/>
            <w:vAlign w:val="bottom"/>
            <w:tcBorders>
              <w:right w:val="single" w:sz="8" w:color="auto"/>
            </w:tcBorders>
          </w:tcPr>
          <w:p>
            <w:pPr>
              <w:spacing w:after="0"/>
              <w:rPr>
                <w:sz w:val="19"/>
                <w:szCs w:val="19"/>
                <w:color w:val="auto"/>
              </w:rPr>
            </w:pPr>
          </w:p>
        </w:tc>
        <w:tc>
          <w:tcPr>
            <w:tcW w:w="740" w:type="dxa"/>
            <w:vAlign w:val="bottom"/>
          </w:tcPr>
          <w:p>
            <w:pPr>
              <w:spacing w:after="0"/>
              <w:rPr>
                <w:sz w:val="19"/>
                <w:szCs w:val="19"/>
                <w:color w:val="auto"/>
              </w:rPr>
            </w:pPr>
          </w:p>
        </w:tc>
      </w:tr>
      <w:tr>
        <w:trPr>
          <w:trHeight w:val="217"/>
        </w:trPr>
        <w:tc>
          <w:tcPr>
            <w:tcW w:w="654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FF0000"/>
              </w:rPr>
              <w:t>or e-mail to ……..</w:t>
            </w:r>
          </w:p>
        </w:tc>
        <w:tc>
          <w:tcPr>
            <w:tcW w:w="1920" w:type="dxa"/>
            <w:vAlign w:val="bottom"/>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r>
      <w:tr>
        <w:trPr>
          <w:trHeight w:val="243"/>
        </w:trPr>
        <w:tc>
          <w:tcPr>
            <w:tcW w:w="654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FF0000"/>
              </w:rPr>
              <w:t>VAT -Reg. No. Xxxxxxxxxx (if partner has one)</w:t>
            </w:r>
          </w:p>
        </w:tc>
        <w:tc>
          <w:tcPr>
            <w:tcW w:w="1920" w:type="dxa"/>
            <w:vAlign w:val="bottom"/>
          </w:tcPr>
          <w:p>
            <w:pPr>
              <w:spacing w:after="0"/>
              <w:rPr>
                <w:sz w:val="21"/>
                <w:szCs w:val="21"/>
                <w:color w:val="auto"/>
              </w:rPr>
            </w:pPr>
          </w:p>
        </w:tc>
        <w:tc>
          <w:tcPr>
            <w:tcW w:w="2220" w:type="dxa"/>
            <w:vAlign w:val="bottom"/>
            <w:tcBorders>
              <w:right w:val="single" w:sz="8" w:color="auto"/>
            </w:tcBorders>
          </w:tcPr>
          <w:p>
            <w:pPr>
              <w:spacing w:after="0"/>
              <w:rPr>
                <w:sz w:val="21"/>
                <w:szCs w:val="21"/>
                <w:color w:val="auto"/>
              </w:rPr>
            </w:pPr>
          </w:p>
        </w:tc>
        <w:tc>
          <w:tcPr>
            <w:tcW w:w="740" w:type="dxa"/>
            <w:vAlign w:val="bottom"/>
          </w:tcPr>
          <w:p>
            <w:pPr>
              <w:spacing w:after="0"/>
              <w:rPr>
                <w:sz w:val="21"/>
                <w:szCs w:val="21"/>
                <w:color w:val="auto"/>
              </w:rPr>
            </w:pPr>
          </w:p>
        </w:tc>
      </w:tr>
      <w:tr>
        <w:trPr>
          <w:trHeight w:val="270"/>
        </w:trPr>
        <w:tc>
          <w:tcPr>
            <w:tcW w:w="6540" w:type="dxa"/>
            <w:vAlign w:val="bottom"/>
            <w:tcBorders>
              <w:left w:val="single" w:sz="8" w:color="auto"/>
              <w:bottom w:val="single" w:sz="8" w:color="auto"/>
            </w:tcBorders>
          </w:tcPr>
          <w:p>
            <w:pPr>
              <w:spacing w:after="0"/>
              <w:rPr>
                <w:sz w:val="23"/>
                <w:szCs w:val="23"/>
                <w:color w:val="auto"/>
              </w:rPr>
            </w:pPr>
          </w:p>
        </w:tc>
        <w:tc>
          <w:tcPr>
            <w:tcW w:w="1920" w:type="dxa"/>
            <w:vAlign w:val="bottom"/>
            <w:tcBorders>
              <w:bottom w:val="single" w:sz="8" w:color="auto"/>
            </w:tcBorders>
          </w:tcPr>
          <w:p>
            <w:pPr>
              <w:spacing w:after="0"/>
              <w:rPr>
                <w:sz w:val="23"/>
                <w:szCs w:val="23"/>
                <w:color w:val="auto"/>
              </w:rPr>
            </w:pPr>
          </w:p>
        </w:tc>
        <w:tc>
          <w:tcPr>
            <w:tcW w:w="2220" w:type="dxa"/>
            <w:vAlign w:val="bottom"/>
            <w:tcBorders>
              <w:bottom w:val="single" w:sz="8" w:color="auto"/>
              <w:right w:val="single" w:sz="8" w:color="auto"/>
            </w:tcBorders>
          </w:tcPr>
          <w:p>
            <w:pPr>
              <w:spacing w:after="0"/>
              <w:rPr>
                <w:sz w:val="23"/>
                <w:szCs w:val="23"/>
                <w:color w:val="auto"/>
              </w:rPr>
            </w:pPr>
          </w:p>
        </w:tc>
        <w:tc>
          <w:tcPr>
            <w:tcW w:w="74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Confidential</w:t>
      </w:r>
    </w:p>
    <w:p>
      <w:pPr>
        <w:sectPr>
          <w:pgSz w:w="11900" w:h="16838" w:orient="portrait"/>
          <w:cols w:equalWidth="0" w:num="1">
            <w:col w:w="11420"/>
          </w:cols>
          <w:pgMar w:left="240" w:top="118"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Christopher D.T. Guiffre, certify that:</w:t>
      </w:r>
    </w:p>
    <w:p>
      <w:pPr>
        <w:spacing w:after="0" w:line="117" w:lineRule="exact"/>
        <w:rPr>
          <w:sz w:val="20"/>
          <w:szCs w:val="20"/>
          <w:color w:val="auto"/>
        </w:rPr>
      </w:pPr>
    </w:p>
    <w:p>
      <w:pPr>
        <w:ind w:left="1040" w:hanging="519"/>
        <w:spacing w:after="0"/>
        <w:tabs>
          <w:tab w:leader="none" w:pos="10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Cerulean Pharma Inc.;</w:t>
      </w:r>
    </w:p>
    <w:p>
      <w:pPr>
        <w:spacing w:after="0" w:line="117" w:lineRule="exact"/>
        <w:rPr>
          <w:rFonts w:ascii="Arial" w:cs="Arial" w:eastAsia="Arial" w:hAnsi="Arial"/>
          <w:sz w:val="18"/>
          <w:szCs w:val="18"/>
          <w:color w:val="auto"/>
        </w:rPr>
      </w:pPr>
    </w:p>
    <w:p>
      <w:pPr>
        <w:jc w:val="both"/>
        <w:ind w:left="1040" w:right="180" w:hanging="519"/>
        <w:spacing w:after="0" w:line="264" w:lineRule="auto"/>
        <w:tabs>
          <w:tab w:leader="none" w:pos="10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1040" w:right="140" w:hanging="519"/>
        <w:spacing w:after="0" w:line="308" w:lineRule="auto"/>
        <w:tabs>
          <w:tab w:leader="none" w:pos="104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1040" w:right="100" w:hanging="519"/>
        <w:spacing w:after="0" w:line="277" w:lineRule="auto"/>
        <w:tabs>
          <w:tab w:leader="none" w:pos="10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2180" w:right="40" w:hanging="511"/>
        <w:spacing w:after="0" w:line="286" w:lineRule="auto"/>
        <w:tabs>
          <w:tab w:leader="none" w:pos="2180" w:val="left"/>
        </w:tabs>
        <w:numPr>
          <w:ilvl w:val="1"/>
          <w:numId w:val="12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2180" w:right="240" w:hanging="511"/>
        <w:spacing w:after="0" w:line="264" w:lineRule="auto"/>
        <w:tabs>
          <w:tab w:leader="none" w:pos="218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ind w:left="2180" w:right="280" w:hanging="511"/>
        <w:spacing w:after="0" w:line="312" w:lineRule="auto"/>
        <w:tabs>
          <w:tab w:leader="none" w:pos="2180" w:val="left"/>
        </w:tabs>
        <w:numPr>
          <w:ilvl w:val="1"/>
          <w:numId w:val="12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8" w:lineRule="exact"/>
        <w:rPr>
          <w:rFonts w:ascii="Arial" w:cs="Arial" w:eastAsia="Arial" w:hAnsi="Arial"/>
          <w:sz w:val="16"/>
          <w:szCs w:val="16"/>
          <w:color w:val="auto"/>
        </w:rPr>
      </w:pPr>
    </w:p>
    <w:p>
      <w:pPr>
        <w:ind w:left="1040" w:right="2040" w:hanging="519"/>
        <w:spacing w:after="0" w:line="264" w:lineRule="auto"/>
        <w:tabs>
          <w:tab w:leader="none" w:pos="10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ind w:left="2180" w:right="20" w:hanging="511"/>
        <w:spacing w:after="0" w:line="264" w:lineRule="auto"/>
        <w:tabs>
          <w:tab w:leader="none" w:pos="218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2180" w:right="40" w:hanging="511"/>
        <w:spacing w:after="0" w:line="277" w:lineRule="auto"/>
        <w:tabs>
          <w:tab w:leader="none" w:pos="218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2016</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Christopher D.T. Guiffre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Christopher D.T. Guiffre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Gregg Beloff, certify that:</w:t>
      </w:r>
    </w:p>
    <w:p>
      <w:pPr>
        <w:spacing w:after="0" w:line="117" w:lineRule="exact"/>
        <w:rPr>
          <w:sz w:val="20"/>
          <w:szCs w:val="20"/>
          <w:color w:val="auto"/>
        </w:rPr>
      </w:pPr>
    </w:p>
    <w:p>
      <w:pPr>
        <w:ind w:left="1040" w:hanging="519"/>
        <w:spacing w:after="0"/>
        <w:tabs>
          <w:tab w:leader="none" w:pos="10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Cerulean Pharma Inc.;</w:t>
      </w:r>
    </w:p>
    <w:p>
      <w:pPr>
        <w:spacing w:after="0" w:line="117" w:lineRule="exact"/>
        <w:rPr>
          <w:rFonts w:ascii="Arial" w:cs="Arial" w:eastAsia="Arial" w:hAnsi="Arial"/>
          <w:sz w:val="18"/>
          <w:szCs w:val="18"/>
          <w:color w:val="auto"/>
        </w:rPr>
      </w:pPr>
    </w:p>
    <w:p>
      <w:pPr>
        <w:jc w:val="both"/>
        <w:ind w:left="1040" w:right="180" w:hanging="519"/>
        <w:spacing w:after="0" w:line="264" w:lineRule="auto"/>
        <w:tabs>
          <w:tab w:leader="none" w:pos="10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1040" w:right="140" w:hanging="519"/>
        <w:spacing w:after="0" w:line="308" w:lineRule="auto"/>
        <w:tabs>
          <w:tab w:leader="none" w:pos="104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1040" w:right="100" w:hanging="519"/>
        <w:spacing w:after="0" w:line="277" w:lineRule="auto"/>
        <w:tabs>
          <w:tab w:leader="none" w:pos="10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2180" w:right="40" w:hanging="511"/>
        <w:spacing w:after="0" w:line="286" w:lineRule="auto"/>
        <w:tabs>
          <w:tab w:leader="none" w:pos="2180" w:val="left"/>
        </w:tabs>
        <w:numPr>
          <w:ilvl w:val="1"/>
          <w:numId w:val="12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2180" w:right="240" w:hanging="511"/>
        <w:spacing w:after="0" w:line="264" w:lineRule="auto"/>
        <w:tabs>
          <w:tab w:leader="none" w:pos="218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ind w:left="2180" w:right="280" w:hanging="511"/>
        <w:spacing w:after="0" w:line="312" w:lineRule="auto"/>
        <w:tabs>
          <w:tab w:leader="none" w:pos="2180" w:val="left"/>
        </w:tabs>
        <w:numPr>
          <w:ilvl w:val="1"/>
          <w:numId w:val="12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8" w:lineRule="exact"/>
        <w:rPr>
          <w:rFonts w:ascii="Arial" w:cs="Arial" w:eastAsia="Arial" w:hAnsi="Arial"/>
          <w:sz w:val="16"/>
          <w:szCs w:val="16"/>
          <w:color w:val="auto"/>
        </w:rPr>
      </w:pPr>
    </w:p>
    <w:p>
      <w:pPr>
        <w:ind w:left="1040" w:right="2040" w:hanging="519"/>
        <w:spacing w:after="0" w:line="264" w:lineRule="auto"/>
        <w:tabs>
          <w:tab w:leader="none" w:pos="10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ind w:left="2180" w:right="20" w:hanging="511"/>
        <w:spacing w:after="0" w:line="264" w:lineRule="auto"/>
        <w:tabs>
          <w:tab w:leader="none" w:pos="218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2180" w:right="40" w:hanging="511"/>
        <w:spacing w:after="0" w:line="277" w:lineRule="auto"/>
        <w:tabs>
          <w:tab w:leader="none" w:pos="218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2016</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Gregg Beloff</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Gregg Beloff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Interim Chief Financial Officer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In connection with the Quarterly Report on Form 10-Q of Cerulean Pharma Inc. (the “Company”) for the fiscal quarter ended September 30, 2016, as filed with the Securities and Exchange Commission on the date hereof (the “Report”), the undersigned, Christopher D.T. Guiffre, President and Chief Executive Officer of the Company, hereby certifies, pursuant to 18 U.S.C. Section 1350, that, to his knowledge on the date hereof:</w:t>
      </w:r>
    </w:p>
    <w:p>
      <w:pPr>
        <w:spacing w:after="0" w:line="166" w:lineRule="exact"/>
        <w:rPr>
          <w:sz w:val="20"/>
          <w:szCs w:val="20"/>
          <w:color w:val="auto"/>
        </w:rPr>
      </w:pPr>
    </w:p>
    <w:p>
      <w:pPr>
        <w:ind w:left="780" w:hanging="254"/>
        <w:spacing w:after="0"/>
        <w:tabs>
          <w:tab w:leader="none" w:pos="7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00" w:firstLine="526"/>
        <w:spacing w:after="0" w:line="516" w:lineRule="auto"/>
        <w:tabs>
          <w:tab w:leader="none" w:pos="773"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November 3, 2016</w:t>
      </w:r>
    </w:p>
    <w:p>
      <w:pPr>
        <w:spacing w:after="0" w:line="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Christopher D.T. Guiffre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Christopher D.T. Guiffre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 connection with the Quarterly Report on Form 10-Q of Cerulean Pharma Inc. (the “Company”) for the fiscal quarter ended September 30, 2016, as filed with the Securities and Exchange Commission on the date hereof (the “Report”), the undersigned, Gregg Beloff, Interim Chief Financial Officer of the Company, hereby certifies, pursuant to 18 U.S.C. Section 1350, that, to his knowledge on the date hereof:</w:t>
      </w:r>
    </w:p>
    <w:p>
      <w:pPr>
        <w:spacing w:after="0" w:line="181" w:lineRule="exact"/>
        <w:rPr>
          <w:sz w:val="20"/>
          <w:szCs w:val="20"/>
          <w:color w:val="auto"/>
        </w:rPr>
      </w:pPr>
    </w:p>
    <w:p>
      <w:pPr>
        <w:ind w:left="780" w:hanging="254"/>
        <w:spacing w:after="0"/>
        <w:tabs>
          <w:tab w:leader="none" w:pos="7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00" w:firstLine="526"/>
        <w:spacing w:after="0" w:line="516" w:lineRule="auto"/>
        <w:tabs>
          <w:tab w:leader="none" w:pos="773"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November 3, 2016</w:t>
      </w:r>
    </w:p>
    <w:p>
      <w:pPr>
        <w:spacing w:after="0" w:line="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Gregg Beloff</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Gregg Beloff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Interim Chief Financial Officer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BABF00"/>
    <w:multiLevelType w:val="hybridMultilevel"/>
    <w:lvl w:ilvl="0">
      <w:lvlJc w:val="left"/>
      <w:lvlText w:val="☒"/>
      <w:numFmt w:val="bullet"/>
      <w:start w:val="1"/>
    </w:lvl>
  </w:abstractNum>
  <w:abstractNum w:abstractNumId="1">
    <w:nsid w:val="4AD084E9"/>
    <w:multiLevelType w:val="hybridMultilevel"/>
    <w:lvl w:ilvl="0">
      <w:lvlJc w:val="left"/>
      <w:lvlText w:val="☐"/>
      <w:numFmt w:val="bullet"/>
      <w:start w:val="1"/>
    </w:lvl>
  </w:abstractNum>
  <w:abstractNum w:abstractNumId="2">
    <w:nsid w:val="1F48EAA1"/>
    <w:multiLevelType w:val="hybridMultilevel"/>
    <w:lvl w:ilvl="0">
      <w:lvlJc w:val="left"/>
      <w:lvlText w:val="%1."/>
      <w:numFmt w:val="decimal"/>
      <w:start w:val="1"/>
    </w:lvl>
  </w:abstractNum>
  <w:abstractNum w:abstractNumId="3">
    <w:nsid w:val="1381823A"/>
    <w:multiLevelType w:val="hybridMultilevel"/>
    <w:lvl w:ilvl="0">
      <w:lvlJc w:val="left"/>
      <w:lvlText w:val="%1."/>
      <w:numFmt w:val="decimal"/>
      <w:start w:val="2"/>
    </w:lvl>
  </w:abstractNum>
  <w:abstractNum w:abstractNumId="4">
    <w:nsid w:val="5DB70AE5"/>
    <w:multiLevelType w:val="hybridMultilevel"/>
    <w:lvl w:ilvl="0">
      <w:lvlJc w:val="left"/>
      <w:lvlText w:val="%1."/>
      <w:numFmt w:val="decimal"/>
      <w:start w:val="3"/>
    </w:lvl>
  </w:abstractNum>
  <w:abstractNum w:abstractNumId="5">
    <w:nsid w:val="100F8FCA"/>
    <w:multiLevelType w:val="hybridMultilevel"/>
    <w:lvl w:ilvl="0">
      <w:lvlJc w:val="left"/>
      <w:lvlText w:val="%1."/>
      <w:numFmt w:val="decimal"/>
      <w:start w:val="4"/>
    </w:lvl>
  </w:abstractNum>
  <w:abstractNum w:abstractNumId="6">
    <w:nsid w:val="6590700B"/>
    <w:multiLevelType w:val="hybridMultilevel"/>
    <w:lvl w:ilvl="0">
      <w:lvlJc w:val="left"/>
      <w:lvlText w:val="%1."/>
      <w:numFmt w:val="decimal"/>
      <w:start w:val="5"/>
    </w:lvl>
  </w:abstractNum>
  <w:abstractNum w:abstractNumId="7">
    <w:nsid w:val="15014ACB"/>
    <w:multiLevelType w:val="hybridMultilevel"/>
    <w:lvl w:ilvl="0">
      <w:lvlJc w:val="left"/>
      <w:lvlText w:val="%1."/>
      <w:numFmt w:val="decimal"/>
      <w:start w:val="6"/>
    </w:lvl>
  </w:abstractNum>
  <w:abstractNum w:abstractNumId="8">
    <w:nsid w:val="5F5E7FD0"/>
    <w:multiLevelType w:val="hybridMultilevel"/>
    <w:lvl w:ilvl="0">
      <w:lvlJc w:val="left"/>
      <w:lvlText w:val="%1."/>
      <w:numFmt w:val="decimal"/>
      <w:start w:val="7"/>
    </w:lvl>
  </w:abstractNum>
  <w:abstractNum w:abstractNumId="9">
    <w:nsid w:val="98A3148"/>
    <w:multiLevelType w:val="hybridMultilevel"/>
    <w:lvl w:ilvl="0">
      <w:lvlJc w:val="left"/>
      <w:lvlText w:val="%1."/>
      <w:numFmt w:val="decimal"/>
      <w:start w:val="8"/>
    </w:lvl>
  </w:abstractNum>
  <w:abstractNum w:abstractNumId="10">
    <w:nsid w:val="799D0247"/>
    <w:multiLevelType w:val="hybridMultilevel"/>
    <w:lvl w:ilvl="0">
      <w:lvlJc w:val="left"/>
      <w:lvlText w:val="%1."/>
      <w:numFmt w:val="decimal"/>
      <w:start w:val="9"/>
    </w:lvl>
  </w:abstractNum>
  <w:abstractNum w:abstractNumId="11">
    <w:nsid w:val="6B94764"/>
    <w:multiLevelType w:val="hybridMultilevel"/>
    <w:lvl w:ilvl="0">
      <w:lvlJc w:val="left"/>
      <w:lvlText w:val="•"/>
      <w:numFmt w:val="bullet"/>
      <w:start w:val="1"/>
    </w:lvl>
  </w:abstractNum>
  <w:abstractNum w:abstractNumId="12">
    <w:nsid w:val="42C296BD"/>
    <w:multiLevelType w:val="hybridMultilevel"/>
    <w:lvl w:ilvl="0">
      <w:lvlJc w:val="left"/>
      <w:lvlText w:val="•"/>
      <w:numFmt w:val="bullet"/>
      <w:start w:val="1"/>
    </w:lvl>
  </w:abstractNum>
  <w:abstractNum w:abstractNumId="13">
    <w:nsid w:val="168E121F"/>
    <w:multiLevelType w:val="hybridMultilevel"/>
    <w:lvl w:ilvl="0">
      <w:lvlJc w:val="left"/>
      <w:lvlText w:val="•"/>
      <w:numFmt w:val="bullet"/>
      <w:start w:val="1"/>
    </w:lvl>
  </w:abstractNum>
  <w:abstractNum w:abstractNumId="14">
    <w:nsid w:val="1EBA5D23"/>
    <w:multiLevelType w:val="hybridMultilevel"/>
    <w:lvl w:ilvl="0">
      <w:lvlJc w:val="left"/>
      <w:lvlText w:val="•"/>
      <w:numFmt w:val="bullet"/>
      <w:start w:val="1"/>
    </w:lvl>
  </w:abstractNum>
  <w:abstractNum w:abstractNumId="15">
    <w:nsid w:val="661E3F1E"/>
    <w:multiLevelType w:val="hybridMultilevel"/>
    <w:lvl w:ilvl="0">
      <w:lvlJc w:val="left"/>
      <w:lvlText w:val="•"/>
      <w:numFmt w:val="bullet"/>
      <w:start w:val="1"/>
    </w:lvl>
  </w:abstractNum>
  <w:abstractNum w:abstractNumId="16">
    <w:nsid w:val="5DC79EA8"/>
    <w:multiLevelType w:val="hybridMultilevel"/>
    <w:lvl w:ilvl="0">
      <w:lvlJc w:val="left"/>
      <w:lvlText w:val="•"/>
      <w:numFmt w:val="bullet"/>
      <w:start w:val="1"/>
    </w:lvl>
  </w:abstractNum>
  <w:abstractNum w:abstractNumId="17">
    <w:nsid w:val="540A471C"/>
    <w:multiLevelType w:val="hybridMultilevel"/>
    <w:lvl w:ilvl="0">
      <w:lvlJc w:val="left"/>
      <w:lvlText w:val="•"/>
      <w:numFmt w:val="bullet"/>
      <w:start w:val="1"/>
    </w:lvl>
  </w:abstractNum>
  <w:abstractNum w:abstractNumId="18">
    <w:nsid w:val="7BD3EE7B"/>
    <w:multiLevelType w:val="hybridMultilevel"/>
    <w:lvl w:ilvl="0">
      <w:lvlJc w:val="left"/>
      <w:lvlText w:val="•"/>
      <w:numFmt w:val="bullet"/>
      <w:start w:val="1"/>
    </w:lvl>
  </w:abstractNum>
  <w:abstractNum w:abstractNumId="19">
    <w:nsid w:val="51D9C564"/>
    <w:multiLevelType w:val="hybridMultilevel"/>
    <w:lvl w:ilvl="0">
      <w:lvlJc w:val="left"/>
      <w:lvlText w:val="•"/>
      <w:numFmt w:val="bullet"/>
      <w:start w:val="1"/>
    </w:lvl>
  </w:abstractNum>
  <w:abstractNum w:abstractNumId="20">
    <w:nsid w:val="613EFDC5"/>
    <w:multiLevelType w:val="hybridMultilevel"/>
    <w:lvl w:ilvl="0">
      <w:lvlJc w:val="left"/>
      <w:lvlText w:val="•"/>
      <w:numFmt w:val="bullet"/>
      <w:start w:val="1"/>
    </w:lvl>
  </w:abstractNum>
  <w:abstractNum w:abstractNumId="21">
    <w:nsid w:val="BF72B14"/>
    <w:multiLevelType w:val="hybridMultilevel"/>
    <w:lvl w:ilvl="0">
      <w:lvlJc w:val="left"/>
      <w:lvlText w:val="•"/>
      <w:numFmt w:val="bullet"/>
      <w:start w:val="1"/>
    </w:lvl>
  </w:abstractNum>
  <w:abstractNum w:abstractNumId="22">
    <w:nsid w:val="11447B73"/>
    <w:multiLevelType w:val="hybridMultilevel"/>
    <w:lvl w:ilvl="0">
      <w:lvlJc w:val="left"/>
      <w:lvlText w:val="•"/>
      <w:numFmt w:val="bullet"/>
      <w:start w:val="1"/>
    </w:lvl>
  </w:abstractNum>
  <w:abstractNum w:abstractNumId="23">
    <w:nsid w:val="42963E5A"/>
    <w:multiLevelType w:val="hybridMultilevel"/>
    <w:lvl w:ilvl="0">
      <w:lvlJc w:val="left"/>
      <w:lvlText w:val="•"/>
      <w:numFmt w:val="bullet"/>
      <w:start w:val="1"/>
    </w:lvl>
  </w:abstractNum>
  <w:abstractNum w:abstractNumId="24">
    <w:nsid w:val="A0382C5"/>
    <w:multiLevelType w:val="hybridMultilevel"/>
    <w:lvl w:ilvl="0">
      <w:lvlJc w:val="left"/>
      <w:lvlText w:val="•"/>
      <w:numFmt w:val="bullet"/>
      <w:start w:val="1"/>
    </w:lvl>
  </w:abstractNum>
  <w:abstractNum w:abstractNumId="25">
    <w:nsid w:val="8F2B15E"/>
    <w:multiLevelType w:val="hybridMultilevel"/>
    <w:lvl w:ilvl="0">
      <w:lvlJc w:val="left"/>
      <w:lvlText w:val="•"/>
      <w:numFmt w:val="bullet"/>
      <w:start w:val="1"/>
    </w:lvl>
  </w:abstractNum>
  <w:abstractNum w:abstractNumId="26">
    <w:nsid w:val="1A32234B"/>
    <w:multiLevelType w:val="hybridMultilevel"/>
    <w:lvl w:ilvl="0">
      <w:lvlJc w:val="left"/>
      <w:lvlText w:val="•"/>
      <w:numFmt w:val="bullet"/>
      <w:start w:val="1"/>
    </w:lvl>
  </w:abstractNum>
  <w:abstractNum w:abstractNumId="27">
    <w:nsid w:val="3B0FD379"/>
    <w:multiLevelType w:val="hybridMultilevel"/>
    <w:lvl w:ilvl="0">
      <w:lvlJc w:val="left"/>
      <w:lvlText w:val="•"/>
      <w:numFmt w:val="bullet"/>
      <w:start w:val="1"/>
    </w:lvl>
  </w:abstractNum>
  <w:abstractNum w:abstractNumId="28">
    <w:nsid w:val="68EB2F63"/>
    <w:multiLevelType w:val="hybridMultilevel"/>
    <w:lvl w:ilvl="0">
      <w:lvlJc w:val="left"/>
      <w:lvlText w:val="•"/>
      <w:numFmt w:val="bullet"/>
      <w:start w:val="1"/>
    </w:lvl>
  </w:abstractNum>
  <w:abstractNum w:abstractNumId="29">
    <w:nsid w:val="4962813B"/>
    <w:multiLevelType w:val="hybridMultilevel"/>
    <w:lvl w:ilvl="0">
      <w:lvlJc w:val="left"/>
      <w:lvlText w:val="•"/>
      <w:numFmt w:val="bullet"/>
      <w:start w:val="1"/>
    </w:lvl>
  </w:abstractNum>
  <w:abstractNum w:abstractNumId="30">
    <w:nsid w:val="60B6DF70"/>
    <w:multiLevelType w:val="hybridMultilevel"/>
    <w:lvl w:ilvl="0">
      <w:lvlJc w:val="left"/>
      <w:lvlText w:val="•"/>
      <w:numFmt w:val="bullet"/>
      <w:start w:val="1"/>
    </w:lvl>
  </w:abstractNum>
  <w:abstractNum w:abstractNumId="31">
    <w:nsid w:val="6A5EE64"/>
    <w:multiLevelType w:val="hybridMultilevel"/>
    <w:lvl w:ilvl="0">
      <w:lvlJc w:val="left"/>
      <w:lvlText w:val="•"/>
      <w:numFmt w:val="bullet"/>
      <w:start w:val="1"/>
    </w:lvl>
  </w:abstractNum>
  <w:abstractNum w:abstractNumId="32">
    <w:nsid w:val="14330624"/>
    <w:multiLevelType w:val="hybridMultilevel"/>
    <w:lvl w:ilvl="0">
      <w:lvlJc w:val="left"/>
      <w:lvlText w:val="•"/>
      <w:numFmt w:val="bullet"/>
      <w:start w:val="1"/>
    </w:lvl>
  </w:abstractNum>
  <w:abstractNum w:abstractNumId="33">
    <w:nsid w:val="7FFFCA11"/>
    <w:multiLevelType w:val="hybridMultilevel"/>
    <w:lvl w:ilvl="0">
      <w:lvlJc w:val="left"/>
      <w:lvlText w:val="•"/>
      <w:numFmt w:val="bullet"/>
      <w:start w:val="1"/>
    </w:lvl>
  </w:abstractNum>
  <w:abstractNum w:abstractNumId="34">
    <w:nsid w:val="1A27709E"/>
    <w:multiLevelType w:val="hybridMultilevel"/>
    <w:lvl w:ilvl="0">
      <w:lvlJc w:val="left"/>
      <w:lvlText w:val="•"/>
      <w:numFmt w:val="bullet"/>
      <w:start w:val="1"/>
    </w:lvl>
  </w:abstractNum>
  <w:abstractNum w:abstractNumId="35">
    <w:nsid w:val="71EA1109"/>
    <w:multiLevelType w:val="hybridMultilevel"/>
    <w:lvl w:ilvl="0">
      <w:lvlJc w:val="left"/>
      <w:lvlText w:val="•"/>
      <w:numFmt w:val="bullet"/>
      <w:start w:val="1"/>
    </w:lvl>
  </w:abstractNum>
  <w:abstractNum w:abstractNumId="36">
    <w:nsid w:val="100F59DC"/>
    <w:multiLevelType w:val="hybridMultilevel"/>
    <w:lvl w:ilvl="0">
      <w:lvlJc w:val="left"/>
      <w:lvlText w:val="•"/>
      <w:numFmt w:val="bullet"/>
      <w:start w:val="1"/>
    </w:lvl>
  </w:abstractNum>
  <w:abstractNum w:abstractNumId="37">
    <w:nsid w:val="7FB7E0AA"/>
    <w:multiLevelType w:val="hybridMultilevel"/>
    <w:lvl w:ilvl="0">
      <w:lvlJc w:val="left"/>
      <w:lvlText w:val="•"/>
      <w:numFmt w:val="bullet"/>
      <w:start w:val="1"/>
    </w:lvl>
  </w:abstractNum>
  <w:abstractNum w:abstractNumId="38">
    <w:nsid w:val="6EB5BD4"/>
    <w:multiLevelType w:val="hybridMultilevel"/>
    <w:lvl w:ilvl="0">
      <w:lvlJc w:val="left"/>
      <w:lvlText w:val="•"/>
      <w:numFmt w:val="bullet"/>
      <w:start w:val="1"/>
    </w:lvl>
  </w:abstractNum>
  <w:abstractNum w:abstractNumId="39">
    <w:nsid w:val="6F6DD9AC"/>
    <w:multiLevelType w:val="hybridMultilevel"/>
    <w:lvl w:ilvl="0">
      <w:lvlJc w:val="left"/>
      <w:lvlText w:val="•"/>
      <w:numFmt w:val="bullet"/>
      <w:start w:val="1"/>
    </w:lvl>
  </w:abstractNum>
  <w:abstractNum w:abstractNumId="40">
    <w:nsid w:val="94211F2"/>
    <w:multiLevelType w:val="hybridMultilevel"/>
    <w:lvl w:ilvl="0">
      <w:lvlJc w:val="left"/>
      <w:lvlText w:val="•"/>
      <w:numFmt w:val="bullet"/>
      <w:start w:val="1"/>
    </w:lvl>
  </w:abstractNum>
  <w:abstractNum w:abstractNumId="41">
    <w:nsid w:val="885E1B"/>
    <w:multiLevelType w:val="hybridMultilevel"/>
    <w:lvl w:ilvl="0">
      <w:lvlJc w:val="left"/>
      <w:lvlText w:val="•"/>
      <w:numFmt w:val="bullet"/>
      <w:start w:val="1"/>
    </w:lvl>
  </w:abstractNum>
  <w:abstractNum w:abstractNumId="42">
    <w:nsid w:val="76272110"/>
    <w:multiLevelType w:val="hybridMultilevel"/>
    <w:lvl w:ilvl="0">
      <w:lvlJc w:val="left"/>
      <w:lvlText w:val="•"/>
      <w:numFmt w:val="bullet"/>
      <w:start w:val="1"/>
    </w:lvl>
  </w:abstractNum>
  <w:abstractNum w:abstractNumId="43">
    <w:nsid w:val="4C04A8AF"/>
    <w:multiLevelType w:val="hybridMultilevel"/>
    <w:lvl w:ilvl="0">
      <w:lvlJc w:val="left"/>
      <w:lvlText w:val="•"/>
      <w:numFmt w:val="bullet"/>
      <w:start w:val="1"/>
    </w:lvl>
  </w:abstractNum>
  <w:abstractNum w:abstractNumId="44">
    <w:nsid w:val="1716703B"/>
    <w:multiLevelType w:val="hybridMultilevel"/>
    <w:lvl w:ilvl="0">
      <w:lvlJc w:val="left"/>
      <w:lvlText w:val="*"/>
      <w:numFmt w:val="bullet"/>
      <w:start w:val="1"/>
    </w:lvl>
  </w:abstractNum>
  <w:abstractNum w:abstractNumId="45">
    <w:nsid w:val="14E17E33"/>
    <w:multiLevelType w:val="hybridMultilevel"/>
    <w:lvl w:ilvl="0">
      <w:lvlJc w:val="left"/>
      <w:lvlText w:val="+"/>
      <w:numFmt w:val="bullet"/>
      <w:start w:val="1"/>
    </w:lvl>
  </w:abstractNum>
  <w:abstractNum w:abstractNumId="46">
    <w:nsid w:val="3222E7CD"/>
    <w:multiLevelType w:val="hybridMultilevel"/>
    <w:lvl w:ilvl="0">
      <w:lvlJc w:val="left"/>
      <w:lvlText w:val="%1"/>
      <w:numFmt w:val="decimal"/>
      <w:start w:val="91"/>
    </w:lvl>
  </w:abstractNum>
  <w:abstractNum w:abstractNumId="47">
    <w:nsid w:val="74DE0EE3"/>
    <w:multiLevelType w:val="hybridMultilevel"/>
    <w:lvl w:ilvl="0">
      <w:lvlJc w:val="left"/>
      <w:lvlText w:val="(%1)"/>
      <w:numFmt w:val="lowerLetter"/>
      <w:start w:val="1"/>
    </w:lvl>
  </w:abstractNum>
  <w:abstractNum w:abstractNumId="48">
    <w:nsid w:val="68EBC550"/>
    <w:multiLevelType w:val="hybridMultilevel"/>
    <w:lvl w:ilvl="0">
      <w:lvlJc w:val="left"/>
      <w:lvlText w:val="(%1)"/>
      <w:numFmt w:val="lowerLetter"/>
      <w:start w:val="1"/>
    </w:lvl>
  </w:abstractNum>
  <w:abstractNum w:abstractNumId="49">
    <w:nsid w:val="2DF6D648"/>
    <w:multiLevelType w:val="hybridMultilevel"/>
    <w:lvl w:ilvl="0">
      <w:lvlJc w:val="left"/>
      <w:lvlText w:val="(%1)"/>
      <w:numFmt w:val="lowerRoman"/>
      <w:start w:val="1"/>
    </w:lvl>
  </w:abstractNum>
  <w:abstractNum w:abstractNumId="50">
    <w:nsid w:val="46B7D447"/>
    <w:multiLevelType w:val="hybridMultilevel"/>
    <w:lvl w:ilvl="0">
      <w:lvlJc w:val="left"/>
      <w:lvlText w:val="(%1)"/>
      <w:numFmt w:val="lowerLetter"/>
      <w:start w:val="1"/>
    </w:lvl>
  </w:abstractNum>
  <w:abstractNum w:abstractNumId="51">
    <w:nsid w:val="4A2AC315"/>
    <w:multiLevelType w:val="hybridMultilevel"/>
    <w:lvl w:ilvl="0">
      <w:lvlJc w:val="left"/>
      <w:lvlText w:val="(%1)"/>
      <w:numFmt w:val="lowerLetter"/>
      <w:start w:val="2"/>
    </w:lvl>
  </w:abstractNum>
  <w:abstractNum w:abstractNumId="52">
    <w:nsid w:val="39EE015C"/>
    <w:multiLevelType w:val="hybridMultilevel"/>
    <w:lvl w:ilvl="0">
      <w:lvlJc w:val="left"/>
      <w:lvlText w:val="(%1)"/>
      <w:numFmt w:val="lowerLetter"/>
      <w:start w:val="1"/>
    </w:lvl>
    <w:lvl w:ilvl="1">
      <w:lvlJc w:val="left"/>
      <w:lvlText w:val="(%2)"/>
      <w:numFmt w:val="lowerRoman"/>
      <w:start w:val="1"/>
    </w:lvl>
  </w:abstractNum>
  <w:abstractNum w:abstractNumId="53">
    <w:nsid w:val="57FC4FBB"/>
    <w:multiLevelType w:val="hybridMultilevel"/>
    <w:lvl w:ilvl="0">
      <w:lvlJc w:val="left"/>
      <w:lvlText w:val="(%1)"/>
      <w:numFmt w:val="lowerLetter"/>
      <w:start w:val="1"/>
    </w:lvl>
  </w:abstractNum>
  <w:abstractNum w:abstractNumId="54">
    <w:nsid w:val="CC1016F"/>
    <w:multiLevelType w:val="hybridMultilevel"/>
    <w:lvl w:ilvl="0">
      <w:lvlJc w:val="left"/>
      <w:lvlText w:val="(%1)"/>
      <w:numFmt w:val="lowerLetter"/>
      <w:start w:val="1"/>
    </w:lvl>
  </w:abstractNum>
  <w:abstractNum w:abstractNumId="55">
    <w:nsid w:val="43F18422"/>
    <w:multiLevelType w:val="hybridMultilevel"/>
    <w:lvl w:ilvl="0">
      <w:lvlJc w:val="left"/>
      <w:lvlText w:val="(%1)"/>
      <w:numFmt w:val="lowerLetter"/>
      <w:start w:val="2"/>
    </w:lvl>
  </w:abstractNum>
  <w:abstractNum w:abstractNumId="56">
    <w:nsid w:val="60EF0119"/>
    <w:multiLevelType w:val="hybridMultilevel"/>
    <w:lvl w:ilvl="0">
      <w:lvlJc w:val="left"/>
      <w:lvlText w:val="(%1)"/>
      <w:numFmt w:val="lowerRoman"/>
      <w:start w:val="1"/>
    </w:lvl>
  </w:abstractNum>
  <w:abstractNum w:abstractNumId="57">
    <w:nsid w:val="26F324BA"/>
    <w:multiLevelType w:val="hybridMultilevel"/>
    <w:lvl w:ilvl="0">
      <w:lvlJc w:val="left"/>
      <w:lvlText w:val="(%1)"/>
      <w:numFmt w:val="lowerLetter"/>
      <w:start w:val="1"/>
    </w:lvl>
  </w:abstractNum>
  <w:abstractNum w:abstractNumId="58">
    <w:nsid w:val="7F01579B"/>
    <w:multiLevelType w:val="hybridMultilevel"/>
    <w:lvl w:ilvl="0">
      <w:lvlJc w:val="left"/>
      <w:lvlText w:val="(%1)"/>
      <w:numFmt w:val="lowerLetter"/>
      <w:start w:val="1"/>
    </w:lvl>
  </w:abstractNum>
  <w:abstractNum w:abstractNumId="59">
    <w:nsid w:val="49DA307D"/>
    <w:multiLevelType w:val="hybridMultilevel"/>
    <w:lvl w:ilvl="0">
      <w:lvlJc w:val="left"/>
      <w:lvlText w:val="(%1)"/>
      <w:numFmt w:val="lowerLetter"/>
      <w:start w:val="1"/>
    </w:lvl>
    <w:lvl w:ilvl="1">
      <w:lvlJc w:val="left"/>
      <w:lvlText w:val="(%2)"/>
      <w:numFmt w:val="lowerRoman"/>
      <w:start w:val="1"/>
    </w:lvl>
  </w:abstractNum>
  <w:abstractNum w:abstractNumId="60">
    <w:nsid w:val="7055A5F5"/>
    <w:multiLevelType w:val="hybridMultilevel"/>
    <w:lvl w:ilvl="0">
      <w:lvlJc w:val="left"/>
      <w:lvlText w:val="%1"/>
      <w:numFmt w:val="lowerLetter"/>
      <w:start w:val="1"/>
    </w:lvl>
    <w:lvl w:ilvl="1">
      <w:lvlJc w:val="left"/>
      <w:lvlText w:val="(%2)"/>
      <w:numFmt w:val="lowerLetter"/>
      <w:start w:val="61"/>
    </w:lvl>
  </w:abstractNum>
  <w:abstractNum w:abstractNumId="61">
    <w:nsid w:val="5FB8370B"/>
    <w:multiLevelType w:val="hybridMultilevel"/>
    <w:lvl w:ilvl="0">
      <w:lvlJc w:val="left"/>
      <w:lvlText w:val="(%1)"/>
      <w:numFmt w:val="lowerLetter"/>
      <w:start w:val="2"/>
    </w:lvl>
    <w:lvl w:ilvl="1">
      <w:lvlJc w:val="left"/>
      <w:lvlText w:val="(%2)"/>
      <w:numFmt w:val="lowerLetter"/>
      <w:start w:val="9"/>
    </w:lvl>
  </w:abstractNum>
  <w:abstractNum w:abstractNumId="62">
    <w:nsid w:val="50801EE1"/>
    <w:multiLevelType w:val="hybridMultilevel"/>
    <w:lvl w:ilvl="0">
      <w:lvlJc w:val="left"/>
      <w:lvlText w:val="(%1)"/>
      <w:numFmt w:val="lowerRoman"/>
      <w:start w:val="2"/>
    </w:lvl>
  </w:abstractNum>
  <w:abstractNum w:abstractNumId="63">
    <w:nsid w:val="488AC1A"/>
    <w:multiLevelType w:val="hybridMultilevel"/>
    <w:lvl w:ilvl="0">
      <w:lvlJc w:val="left"/>
      <w:lvlText w:val="(%1)"/>
      <w:numFmt w:val="lowerLetter"/>
      <w:start w:val="1"/>
    </w:lvl>
  </w:abstractNum>
  <w:abstractNum w:abstractNumId="64">
    <w:nsid w:val="5FB8011C"/>
    <w:multiLevelType w:val="hybridMultilevel"/>
    <w:lvl w:ilvl="0">
      <w:lvlJc w:val="left"/>
      <w:lvlText w:val="(%1)"/>
      <w:numFmt w:val="lowerLetter"/>
      <w:start w:val="1"/>
    </w:lvl>
  </w:abstractNum>
  <w:abstractNum w:abstractNumId="65">
    <w:nsid w:val="6AA78F7F"/>
    <w:multiLevelType w:val="hybridMultilevel"/>
    <w:lvl w:ilvl="0">
      <w:lvlJc w:val="left"/>
      <w:lvlText w:val="(%1)"/>
      <w:numFmt w:val="lowerLetter"/>
      <w:start w:val="1"/>
    </w:lvl>
  </w:abstractNum>
  <w:abstractNum w:abstractNumId="66">
    <w:nsid w:val="7672BD23"/>
    <w:multiLevelType w:val="hybridMultilevel"/>
    <w:lvl w:ilvl="0">
      <w:lvlJc w:val="left"/>
      <w:lvlText w:val="(%1)"/>
      <w:numFmt w:val="lowerLetter"/>
      <w:start w:val="1"/>
    </w:lvl>
  </w:abstractNum>
  <w:abstractNum w:abstractNumId="67">
    <w:nsid w:val="6FC75AF8"/>
    <w:multiLevelType w:val="hybridMultilevel"/>
    <w:lvl w:ilvl="0">
      <w:lvlJc w:val="left"/>
      <w:lvlText w:val="(%1)"/>
      <w:numFmt w:val="lowerLetter"/>
      <w:start w:val="1"/>
    </w:lvl>
  </w:abstractNum>
  <w:abstractNum w:abstractNumId="68">
    <w:nsid w:val="6A5F7029"/>
    <w:multiLevelType w:val="hybridMultilevel"/>
    <w:lvl w:ilvl="0">
      <w:lvlJc w:val="left"/>
      <w:lvlText w:val="(%1)"/>
      <w:numFmt w:val="lowerRoman"/>
      <w:start w:val="1"/>
    </w:lvl>
  </w:abstractNum>
  <w:abstractNum w:abstractNumId="69">
    <w:nsid w:val="7D5E18F8"/>
    <w:multiLevelType w:val="hybridMultilevel"/>
    <w:lvl w:ilvl="0">
      <w:lvlJc w:val="left"/>
      <w:lvlText w:val="(%1)"/>
      <w:numFmt w:val="lowerLetter"/>
      <w:start w:val="1"/>
    </w:lvl>
  </w:abstractNum>
  <w:abstractNum w:abstractNumId="70">
    <w:nsid w:val="5F3534A4"/>
    <w:multiLevelType w:val="hybridMultilevel"/>
    <w:lvl w:ilvl="0">
      <w:lvlJc w:val="left"/>
      <w:lvlText w:val="(%1)"/>
      <w:numFmt w:val="lowerLetter"/>
      <w:start w:val="1"/>
    </w:lvl>
  </w:abstractNum>
  <w:abstractNum w:abstractNumId="71">
    <w:nsid w:val="73A1821B"/>
    <w:multiLevelType w:val="hybridMultilevel"/>
    <w:lvl w:ilvl="0">
      <w:lvlJc w:val="left"/>
      <w:lvlText w:val="(%1)"/>
      <w:numFmt w:val="lowerLetter"/>
      <w:start w:val="1"/>
    </w:lvl>
    <w:lvl w:ilvl="1">
      <w:lvlJc w:val="left"/>
      <w:lvlText w:val="(%2)"/>
      <w:numFmt w:val="lowerRoman"/>
      <w:start w:val="1"/>
    </w:lvl>
  </w:abstractNum>
  <w:abstractNum w:abstractNumId="72">
    <w:nsid w:val="7DE67713"/>
    <w:multiLevelType w:val="hybridMultilevel"/>
    <w:lvl w:ilvl="0">
      <w:lvlJc w:val="left"/>
      <w:lvlText w:val="(%1)"/>
      <w:numFmt w:val="lowerLetter"/>
      <w:start w:val="1"/>
    </w:lvl>
  </w:abstractNum>
  <w:abstractNum w:abstractNumId="73">
    <w:nsid w:val="555C55B5"/>
    <w:multiLevelType w:val="hybridMultilevel"/>
    <w:lvl w:ilvl="0">
      <w:lvlJc w:val="left"/>
      <w:lvlText w:val="(%1)"/>
      <w:numFmt w:val="lowerLetter"/>
      <w:start w:val="1"/>
    </w:lvl>
  </w:abstractNum>
  <w:abstractNum w:abstractNumId="74">
    <w:nsid w:val="3FA62ACA"/>
    <w:multiLevelType w:val="hybridMultilevel"/>
    <w:lvl w:ilvl="0">
      <w:lvlJc w:val="left"/>
      <w:lvlText w:val="(%1)"/>
      <w:numFmt w:val="lowerLetter"/>
      <w:start w:val="1"/>
    </w:lvl>
  </w:abstractNum>
  <w:abstractNum w:abstractNumId="75">
    <w:nsid w:val="14FCE74E"/>
    <w:multiLevelType w:val="hybridMultilevel"/>
    <w:lvl w:ilvl="0">
      <w:lvlJc w:val="left"/>
      <w:lvlText w:val="[**]."/>
      <w:numFmt w:val="bullet"/>
      <w:start w:val="1"/>
    </w:lvl>
  </w:abstractNum>
  <w:abstractNum w:abstractNumId="76">
    <w:nsid w:val="6A3DD3E8"/>
    <w:multiLevelType w:val="hybridMultilevel"/>
    <w:lvl w:ilvl="0">
      <w:lvlJc w:val="left"/>
      <w:lvlText w:val="(%1)"/>
      <w:numFmt w:val="lowerLetter"/>
      <w:start w:val="1"/>
    </w:lvl>
    <w:lvl w:ilvl="1">
      <w:lvlJc w:val="left"/>
      <w:lvlText w:val="(%2)"/>
      <w:numFmt w:val="lowerRoman"/>
      <w:start w:val="1"/>
    </w:lvl>
  </w:abstractNum>
  <w:abstractNum w:abstractNumId="77">
    <w:nsid w:val="71C91298"/>
    <w:multiLevelType w:val="hybridMultilevel"/>
    <w:lvl w:ilvl="0">
      <w:lvlJc w:val="left"/>
      <w:lvlText w:val="(%1)"/>
      <w:numFmt w:val="lowerRoman"/>
      <w:start w:val="3"/>
    </w:lvl>
  </w:abstractNum>
  <w:abstractNum w:abstractNumId="78">
    <w:nsid w:val="9DAF632"/>
    <w:multiLevelType w:val="hybridMultilevel"/>
    <w:lvl w:ilvl="0">
      <w:lvlJc w:val="left"/>
      <w:lvlText w:val="(%1)"/>
      <w:numFmt w:val="lowerLetter"/>
      <w:start w:val="4"/>
    </w:lvl>
    <w:lvl w:ilvl="1">
      <w:lvlJc w:val="left"/>
      <w:lvlText w:val="(%2)"/>
      <w:numFmt w:val="lowerRoman"/>
      <w:start w:val="1"/>
    </w:lvl>
    <w:lvl w:ilvl="2">
      <w:lvlJc w:val="left"/>
      <w:lvlText w:val="(%3)"/>
      <w:numFmt w:val="decimal"/>
      <w:start w:val="1"/>
    </w:lvl>
  </w:abstractNum>
  <w:abstractNum w:abstractNumId="79">
    <w:nsid w:val="53299938"/>
    <w:multiLevelType w:val="hybridMultilevel"/>
    <w:lvl w:ilvl="0">
      <w:lvlJc w:val="left"/>
      <w:lvlText w:val="(%1)"/>
      <w:numFmt w:val="decimal"/>
      <w:start w:val="3"/>
    </w:lvl>
  </w:abstractNum>
  <w:abstractNum w:abstractNumId="80">
    <w:nsid w:val="1FBFE8E0"/>
    <w:multiLevelType w:val="hybridMultilevel"/>
    <w:lvl w:ilvl="0">
      <w:lvlJc w:val="left"/>
      <w:lvlText w:val="(%1)"/>
      <w:numFmt w:val="lowerLetter"/>
      <w:start w:val="6"/>
    </w:lvl>
    <w:lvl w:ilvl="1">
      <w:lvlJc w:val="left"/>
      <w:lvlText w:val="(%2)"/>
      <w:numFmt w:val="lowerRoman"/>
      <w:start w:val="1"/>
    </w:lvl>
  </w:abstractNum>
  <w:abstractNum w:abstractNumId="81">
    <w:nsid w:val="5092CA79"/>
    <w:multiLevelType w:val="hybridMultilevel"/>
    <w:lvl w:ilvl="0">
      <w:lvlJc w:val="left"/>
      <w:lvlText w:val="(%1)"/>
      <w:numFmt w:val="lowerLetter"/>
      <w:start w:val="1"/>
    </w:lvl>
  </w:abstractNum>
  <w:abstractNum w:abstractNumId="82">
    <w:nsid w:val="1D545C4D"/>
    <w:multiLevelType w:val="hybridMultilevel"/>
    <w:lvl w:ilvl="0">
      <w:lvlJc w:val="left"/>
      <w:lvlText w:val="(%1)"/>
      <w:numFmt w:val="lowerLetter"/>
      <w:start w:val="2"/>
    </w:lvl>
    <w:lvl w:ilvl="1">
      <w:lvlJc w:val="left"/>
      <w:lvlText w:val="(%2)"/>
      <w:numFmt w:val="lowerRoman"/>
      <w:start w:val="1"/>
    </w:lvl>
  </w:abstractNum>
  <w:abstractNum w:abstractNumId="83">
    <w:nsid w:val="59ADEA3D"/>
    <w:multiLevelType w:val="hybridMultilevel"/>
    <w:lvl w:ilvl="0">
      <w:lvlJc w:val="left"/>
      <w:lvlText w:val="(%1)"/>
      <w:numFmt w:val="lowerLetter"/>
      <w:start w:val="3"/>
    </w:lvl>
    <w:lvl w:ilvl="1">
      <w:lvlJc w:val="left"/>
      <w:lvlText w:val="(%2)"/>
      <w:numFmt w:val="lowerLetter"/>
      <w:start w:val="9"/>
    </w:lvl>
  </w:abstractNum>
  <w:abstractNum w:abstractNumId="84">
    <w:nsid w:val="288F1A34"/>
    <w:multiLevelType w:val="hybridMultilevel"/>
    <w:lvl w:ilvl="0">
      <w:lvlJc w:val="left"/>
      <w:lvlText w:val="(%1)"/>
      <w:numFmt w:val="lowerRoman"/>
      <w:start w:val="2"/>
    </w:lvl>
  </w:abstractNum>
  <w:abstractNum w:abstractNumId="85">
    <w:nsid w:val="2A155DBC"/>
    <w:multiLevelType w:val="hybridMultilevel"/>
    <w:lvl w:ilvl="0">
      <w:lvlJc w:val="left"/>
      <w:lvlText w:val="(%1)"/>
      <w:numFmt w:val="lowerLetter"/>
      <w:start w:val="1"/>
    </w:lvl>
  </w:abstractNum>
  <w:abstractNum w:abstractNumId="86">
    <w:nsid w:val="1D9F6E5F"/>
    <w:multiLevelType w:val="hybridMultilevel"/>
    <w:lvl w:ilvl="0">
      <w:lvlJc w:val="left"/>
      <w:lvlText w:val="(%1)"/>
      <w:numFmt w:val="lowerLetter"/>
      <w:start w:val="1"/>
    </w:lvl>
    <w:lvl w:ilvl="1">
      <w:lvlJc w:val="left"/>
      <w:lvlText w:val="(%2)"/>
      <w:numFmt w:val="lowerRoman"/>
      <w:start w:val="1"/>
    </w:lvl>
  </w:abstractNum>
  <w:abstractNum w:abstractNumId="87">
    <w:nsid w:val="97E1B4E"/>
    <w:multiLevelType w:val="hybridMultilevel"/>
    <w:lvl w:ilvl="0">
      <w:lvlJc w:val="left"/>
      <w:lvlText w:val="(%1)"/>
      <w:numFmt w:val="lowerLetter"/>
      <w:start w:val="5"/>
    </w:lvl>
  </w:abstractNum>
  <w:abstractNum w:abstractNumId="88">
    <w:nsid w:val="51088277"/>
    <w:multiLevelType w:val="hybridMultilevel"/>
    <w:lvl w:ilvl="0">
      <w:lvlJc w:val="left"/>
      <w:lvlText w:val="(%1)"/>
      <w:numFmt w:val="lowerLetter"/>
      <w:start w:val="1"/>
    </w:lvl>
  </w:abstractNum>
  <w:abstractNum w:abstractNumId="89">
    <w:nsid w:val="1CA0C5FA"/>
    <w:multiLevelType w:val="hybridMultilevel"/>
    <w:lvl w:ilvl="0">
      <w:lvlJc w:val="left"/>
      <w:lvlText w:val="(%1)"/>
      <w:numFmt w:val="lowerLetter"/>
      <w:start w:val="1"/>
    </w:lvl>
  </w:abstractNum>
  <w:abstractNum w:abstractNumId="90">
    <w:nsid w:val="53584BCB"/>
    <w:multiLevelType w:val="hybridMultilevel"/>
    <w:lvl w:ilvl="0">
      <w:lvlJc w:val="left"/>
      <w:lvlText w:val="(%1)"/>
      <w:numFmt w:val="lowerLetter"/>
      <w:start w:val="2"/>
    </w:lvl>
  </w:abstractNum>
  <w:abstractNum w:abstractNumId="91">
    <w:nsid w:val="415E286C"/>
    <w:multiLevelType w:val="hybridMultilevel"/>
    <w:lvl w:ilvl="0">
      <w:lvlJc w:val="left"/>
      <w:lvlText w:val="(%1)"/>
      <w:numFmt w:val="lowerLetter"/>
      <w:start w:val="1"/>
    </w:lvl>
  </w:abstractNum>
  <w:abstractNum w:abstractNumId="92">
    <w:nsid w:val="7C58FD05"/>
    <w:multiLevelType w:val="hybridMultilevel"/>
    <w:lvl w:ilvl="0">
      <w:lvlJc w:val="left"/>
      <w:lvlText w:val="%1."/>
      <w:numFmt w:val="decimal"/>
      <w:start w:val="1"/>
    </w:lvl>
  </w:abstractNum>
  <w:abstractNum w:abstractNumId="93">
    <w:nsid w:val="23D86AAC"/>
    <w:multiLevelType w:val="hybridMultilevel"/>
    <w:lvl w:ilvl="0">
      <w:lvlJc w:val="left"/>
      <w:lvlText w:val="(%1)"/>
      <w:numFmt w:val="lowerLetter"/>
      <w:start w:val="2"/>
    </w:lvl>
  </w:abstractNum>
  <w:abstractNum w:abstractNumId="94">
    <w:nsid w:val="45E6D486"/>
    <w:multiLevelType w:val="hybridMultilevel"/>
    <w:lvl w:ilvl="0">
      <w:lvlJc w:val="left"/>
      <w:lvlText w:val="(%1)"/>
      <w:numFmt w:val="lowerLetter"/>
      <w:start w:val="1"/>
    </w:lvl>
  </w:abstractNum>
  <w:abstractNum w:abstractNumId="95">
    <w:nsid w:val="5C10FE21"/>
    <w:multiLevelType w:val="hybridMultilevel"/>
    <w:lvl w:ilvl="0">
      <w:lvlJc w:val="left"/>
      <w:lvlText w:val="…"/>
      <w:numFmt w:val="bullet"/>
      <w:start w:val="1"/>
    </w:lvl>
  </w:abstractNum>
  <w:abstractNum w:abstractNumId="96">
    <w:nsid w:val="E7FFA2B"/>
    <w:multiLevelType w:val="hybridMultilevel"/>
    <w:lvl w:ilvl="0">
      <w:lvlJc w:val="left"/>
      <w:lvlText w:val="(%1)"/>
      <w:numFmt w:val="lowerLetter"/>
      <w:start w:val="2"/>
    </w:lvl>
  </w:abstractNum>
  <w:abstractNum w:abstractNumId="97">
    <w:nsid w:val="3C5991AA"/>
    <w:multiLevelType w:val="hybridMultilevel"/>
    <w:lvl w:ilvl="0">
      <w:lvlJc w:val="left"/>
      <w:lvlText w:val="(%1)"/>
      <w:numFmt w:val="lowerLetter"/>
      <w:start w:val="1"/>
    </w:lvl>
  </w:abstractNum>
  <w:abstractNum w:abstractNumId="98">
    <w:nsid w:val="4BD8591A"/>
    <w:multiLevelType w:val="hybridMultilevel"/>
    <w:lvl w:ilvl="0">
      <w:lvlJc w:val="left"/>
      <w:lvlText w:val="(%1)"/>
      <w:numFmt w:val="lowerLetter"/>
      <w:start w:val="1"/>
    </w:lvl>
  </w:abstractNum>
  <w:abstractNum w:abstractNumId="99">
    <w:nsid w:val="78DF6A55"/>
    <w:multiLevelType w:val="hybridMultilevel"/>
    <w:lvl w:ilvl="0">
      <w:lvlJc w:val="left"/>
      <w:lvlText w:val="[**]"/>
      <w:numFmt w:val="bullet"/>
      <w:start w:val="1"/>
    </w:lvl>
    <w:lvl w:ilvl="1">
      <w:lvlJc w:val="left"/>
      <w:lvlText w:val="(%2)"/>
      <w:numFmt w:val="lowerLetter"/>
      <w:start w:val="1"/>
    </w:lvl>
  </w:abstractNum>
  <w:abstractNum w:abstractNumId="100">
    <w:nsid w:val="39B7AAA2"/>
    <w:multiLevelType w:val="hybridMultilevel"/>
    <w:lvl w:ilvl="0">
      <w:lvlJc w:val="left"/>
      <w:lvlText w:val="[**]"/>
      <w:numFmt w:val="bullet"/>
      <w:start w:val="1"/>
    </w:lvl>
    <w:lvl w:ilvl="1">
      <w:lvlJc w:val="left"/>
      <w:lvlText w:val="(%2)"/>
      <w:numFmt w:val="lowerLetter"/>
      <w:start w:val="3"/>
    </w:lvl>
  </w:abstractNum>
  <w:abstractNum w:abstractNumId="101">
    <w:nsid w:val="2B0D8DBE"/>
    <w:multiLevelType w:val="hybridMultilevel"/>
    <w:lvl w:ilvl="0">
      <w:lvlJc w:val="left"/>
      <w:lvlText w:val="(%1)"/>
      <w:numFmt w:val="lowerLetter"/>
      <w:start w:val="4"/>
    </w:lvl>
  </w:abstractNum>
  <w:abstractNum w:abstractNumId="102">
    <w:nsid w:val="6C80EC70"/>
    <w:multiLevelType w:val="hybridMultilevel"/>
    <w:lvl w:ilvl="0">
      <w:lvlJc w:val="left"/>
      <w:lvlText w:val="(%1)"/>
      <w:numFmt w:val="lowerLetter"/>
      <w:start w:val="1"/>
    </w:lvl>
  </w:abstractNum>
  <w:abstractNum w:abstractNumId="103">
    <w:nsid w:val="379E21B5"/>
    <w:multiLevelType w:val="hybridMultilevel"/>
    <w:lvl w:ilvl="0">
      <w:lvlJc w:val="left"/>
      <w:lvlText w:val="(%1)"/>
      <w:numFmt w:val="lowerLetter"/>
      <w:start w:val="1"/>
    </w:lvl>
    <w:lvl w:ilvl="1">
      <w:lvlJc w:val="left"/>
      <w:lvlText w:val="(%2)"/>
      <w:numFmt w:val="lowerRoman"/>
      <w:start w:val="1"/>
    </w:lvl>
  </w:abstractNum>
  <w:abstractNum w:abstractNumId="104">
    <w:nsid w:val="69E373"/>
    <w:multiLevelType w:val="hybridMultilevel"/>
    <w:lvl w:ilvl="0">
      <w:lvlJc w:val="left"/>
      <w:lvlText w:val="(%1)"/>
      <w:numFmt w:val="lowerLetter"/>
      <w:start w:val="1"/>
    </w:lvl>
  </w:abstractNum>
  <w:abstractNum w:abstractNumId="105">
    <w:nsid w:val="2C27173B"/>
    <w:multiLevelType w:val="hybridMultilevel"/>
    <w:lvl w:ilvl="0">
      <w:lvlJc w:val="left"/>
      <w:lvlText w:val="(%1)"/>
      <w:numFmt w:val="lowerLetter"/>
      <w:start w:val="1"/>
    </w:lvl>
    <w:lvl w:ilvl="1">
      <w:lvlJc w:val="left"/>
      <w:lvlText w:val="(%2)"/>
      <w:numFmt w:val="lowerRoman"/>
      <w:start w:val="1"/>
    </w:lvl>
  </w:abstractNum>
  <w:abstractNum w:abstractNumId="106">
    <w:nsid w:val="4C9B0904"/>
    <w:multiLevelType w:val="hybridMultilevel"/>
    <w:lvl w:ilvl="0">
      <w:lvlJc w:val="left"/>
      <w:lvlText w:val="(%1)"/>
      <w:numFmt w:val="lowerLetter"/>
      <w:start w:val="7"/>
    </w:lvl>
  </w:abstractNum>
  <w:abstractNum w:abstractNumId="107">
    <w:nsid w:val="6AA7B75C"/>
    <w:multiLevelType w:val="hybridMultilevel"/>
    <w:lvl w:ilvl="0">
      <w:lvlJc w:val="left"/>
      <w:lvlText w:val="(%1)"/>
      <w:numFmt w:val="lowerLetter"/>
      <w:start w:val="1"/>
    </w:lvl>
    <w:lvl w:ilvl="1">
      <w:lvlJc w:val="left"/>
      <w:lvlText w:val="(%2)"/>
      <w:numFmt w:val="lowerRoman"/>
      <w:start w:val="1"/>
    </w:lvl>
  </w:abstractNum>
  <w:abstractNum w:abstractNumId="108">
    <w:nsid w:val="1DF029D3"/>
    <w:multiLevelType w:val="hybridMultilevel"/>
    <w:lvl w:ilvl="0">
      <w:lvlJc w:val="left"/>
      <w:lvlText w:val="(%1)"/>
      <w:numFmt w:val="lowerRoman"/>
      <w:start w:val="5"/>
    </w:lvl>
  </w:abstractNum>
  <w:abstractNum w:abstractNumId="109">
    <w:nsid w:val="5675FF36"/>
    <w:multiLevelType w:val="hybridMultilevel"/>
    <w:lvl w:ilvl="0">
      <w:lvlJc w:val="left"/>
      <w:lvlText w:val="(%1)"/>
      <w:numFmt w:val="lowerLetter"/>
      <w:start w:val="1"/>
    </w:lvl>
  </w:abstractNum>
  <w:abstractNum w:abstractNumId="110">
    <w:nsid w:val="3DD15094"/>
    <w:multiLevelType w:val="hybridMultilevel"/>
    <w:lvl w:ilvl="0">
      <w:lvlJc w:val="left"/>
      <w:lvlText w:val="(%1)"/>
      <w:numFmt w:val="lowerLetter"/>
      <w:start w:val="1"/>
    </w:lvl>
  </w:abstractNum>
  <w:abstractNum w:abstractNumId="111">
    <w:nsid w:val="3DB012B3"/>
    <w:multiLevelType w:val="hybridMultilevel"/>
    <w:lvl w:ilvl="0">
      <w:lvlJc w:val="left"/>
      <w:lvlText w:val="(%1)"/>
      <w:numFmt w:val="lowerLetter"/>
      <w:start w:val="1"/>
    </w:lvl>
  </w:abstractNum>
  <w:abstractNum w:abstractNumId="112">
    <w:nsid w:val="2708C9AF"/>
    <w:multiLevelType w:val="hybridMultilevel"/>
    <w:lvl w:ilvl="0">
      <w:lvlJc w:val="left"/>
      <w:lvlText w:val="(%1)"/>
      <w:numFmt w:val="lowerLetter"/>
      <w:start w:val="1"/>
    </w:lvl>
  </w:abstractNum>
  <w:abstractNum w:abstractNumId="113">
    <w:nsid w:val="5B25ACE2"/>
    <w:multiLevelType w:val="hybridMultilevel"/>
    <w:lvl w:ilvl="0">
      <w:lvlJc w:val="left"/>
      <w:lvlText w:val="(%1)"/>
      <w:numFmt w:val="lowerLetter"/>
      <w:start w:val="2"/>
    </w:lvl>
  </w:abstractNum>
  <w:abstractNum w:abstractNumId="114">
    <w:nsid w:val="175DFCF0"/>
    <w:multiLevelType w:val="hybridMultilevel"/>
    <w:lvl w:ilvl="0">
      <w:lvlJc w:val="left"/>
      <w:lvlText w:val="(%1)"/>
      <w:numFmt w:val="lowerLetter"/>
      <w:start w:val="1"/>
    </w:lvl>
  </w:abstractNum>
  <w:abstractNum w:abstractNumId="115">
    <w:nsid w:val="4F97E3E4"/>
    <w:multiLevelType w:val="hybridMultilevel"/>
    <w:lvl w:ilvl="0">
      <w:lvlJc w:val="left"/>
      <w:lvlText w:val="(%1)"/>
      <w:numFmt w:val="lowerLetter"/>
      <w:start w:val="1"/>
    </w:lvl>
  </w:abstractNum>
  <w:abstractNum w:abstractNumId="116">
    <w:nsid w:val="53B0A9E"/>
    <w:multiLevelType w:val="hybridMultilevel"/>
    <w:lvl w:ilvl="0">
      <w:lvlJc w:val="left"/>
      <w:lvlText w:val="(%1)"/>
      <w:numFmt w:val="lowerLetter"/>
      <w:start w:val="1"/>
    </w:lvl>
  </w:abstractNum>
  <w:abstractNum w:abstractNumId="117">
    <w:nsid w:val="34FD6B4F"/>
    <w:multiLevelType w:val="hybridMultilevel"/>
    <w:lvl w:ilvl="0">
      <w:lvlJc w:val="left"/>
      <w:lvlText w:val="(%1)"/>
      <w:numFmt w:val="lowerLetter"/>
      <w:start w:val="1"/>
    </w:lvl>
  </w:abstractNum>
  <w:abstractNum w:abstractNumId="118">
    <w:nsid w:val="5915FF32"/>
    <w:multiLevelType w:val="hybridMultilevel"/>
    <w:lvl w:ilvl="0">
      <w:lvlJc w:val="left"/>
      <w:lvlText w:val="(%1)"/>
      <w:numFmt w:val="lowerLetter"/>
      <w:start w:val="2"/>
    </w:lvl>
  </w:abstractNum>
  <w:abstractNum w:abstractNumId="119">
    <w:nsid w:val="56438D15"/>
    <w:multiLevelType w:val="hybridMultilevel"/>
    <w:lvl w:ilvl="0">
      <w:lvlJc w:val="left"/>
      <w:lvlText w:val="(%1)"/>
      <w:numFmt w:val="lowerLetter"/>
      <w:start w:val="1"/>
    </w:lvl>
    <w:lvl w:ilvl="1">
      <w:lvlJc w:val="left"/>
      <w:lvlText w:val="(%2)"/>
      <w:numFmt w:val="lowerRoman"/>
      <w:start w:val="1"/>
    </w:lvl>
  </w:abstractNum>
  <w:abstractNum w:abstractNumId="120">
    <w:nsid w:val="519E3149"/>
    <w:multiLevelType w:val="hybridMultilevel"/>
    <w:lvl w:ilvl="0">
      <w:lvlJc w:val="left"/>
      <w:lvlText w:val="(%1)"/>
      <w:numFmt w:val="lowerLetter"/>
      <w:start w:val="4"/>
    </w:lvl>
  </w:abstractNum>
  <w:abstractNum w:abstractNumId="121">
    <w:nsid w:val="2C6E4AFD"/>
    <w:multiLevelType w:val="hybridMultilevel"/>
    <w:lvl w:ilvl="0">
      <w:lvlJc w:val="left"/>
      <w:lvlText w:val="(%1)"/>
      <w:numFmt w:val="lowerLetter"/>
      <w:start w:val="1"/>
    </w:lvl>
  </w:abstractNum>
  <w:abstractNum w:abstractNumId="122">
    <w:nsid w:val="17A1B582"/>
    <w:multiLevelType w:val="hybridMultilevel"/>
    <w:lvl w:ilvl="0">
      <w:lvlJc w:val="left"/>
      <w:lvlText w:val="(%1)"/>
      <w:numFmt w:val="lowerLetter"/>
      <w:start w:val="1"/>
    </w:lvl>
  </w:abstractNum>
  <w:abstractNum w:abstractNumId="123">
    <w:nsid w:val="4DF72E4E"/>
    <w:multiLevelType w:val="hybridMultilevel"/>
    <w:lvl w:ilvl="0">
      <w:lvlJc w:val="left"/>
      <w:lvlText w:val="(%1)"/>
      <w:numFmt w:val="lowerLetter"/>
      <w:start w:val="2"/>
    </w:lvl>
  </w:abstractNum>
  <w:abstractNum w:abstractNumId="124">
    <w:nsid w:val="5046B5A9"/>
    <w:multiLevelType w:val="hybridMultilevel"/>
    <w:lvl w:ilvl="0">
      <w:lvlJc w:val="left"/>
      <w:lvlText w:val="(%1)"/>
      <w:numFmt w:val="lowerLetter"/>
      <w:start w:val="1"/>
    </w:lvl>
  </w:abstractNum>
  <w:abstractNum w:abstractNumId="125">
    <w:nsid w:val="5D888A08"/>
    <w:multiLevelType w:val="hybridMultilevel"/>
    <w:lvl w:ilvl="0">
      <w:lvlJc w:val="left"/>
      <w:lvlText w:val="(%1)"/>
      <w:numFmt w:val="lowerLetter"/>
      <w:start w:val="1"/>
    </w:lvl>
  </w:abstractNum>
  <w:abstractNum w:abstractNumId="126">
    <w:nsid w:val="2A082C70"/>
    <w:multiLevelType w:val="hybridMultilevel"/>
    <w:lvl w:ilvl="0">
      <w:lvlJc w:val="left"/>
      <w:lvlText w:val="(%1)"/>
      <w:numFmt w:val="lowerLetter"/>
      <w:start w:val="2"/>
    </w:lvl>
  </w:abstractNum>
  <w:abstractNum w:abstractNumId="127">
    <w:nsid w:val="5EC6AFD4"/>
    <w:multiLevelType w:val="hybridMultilevel"/>
    <w:lvl w:ilvl="0">
      <w:lvlJc w:val="left"/>
      <w:lvlText w:val="%1."/>
      <w:numFmt w:val="decimal"/>
      <w:start w:val="1"/>
    </w:lvl>
    <w:lvl w:ilvl="1">
      <w:lvlJc w:val="left"/>
      <w:lvlText w:val="%2."/>
      <w:numFmt w:val="lowerLetter"/>
      <w:start w:val="1"/>
    </w:lvl>
  </w:abstractNum>
  <w:abstractNum w:abstractNumId="128">
    <w:nsid w:val="19E21BB2"/>
    <w:multiLevelType w:val="hybridMultilevel"/>
    <w:lvl w:ilvl="0">
      <w:lvlJc w:val="left"/>
      <w:lvlText w:val="%1."/>
      <w:numFmt w:val="decimal"/>
      <w:start w:val="1"/>
    </w:lvl>
    <w:lvl w:ilvl="1">
      <w:lvlJc w:val="left"/>
      <w:lvlText w:val="%2."/>
      <w:numFmt w:val="lowerLetter"/>
      <w:start w:val="1"/>
    </w:lvl>
  </w:abstractNum>
  <w:abstractNum w:abstractNumId="129">
    <w:nsid w:val="75E0858A"/>
    <w:multiLevelType w:val="hybridMultilevel"/>
    <w:lvl w:ilvl="0">
      <w:lvlJc w:val="left"/>
      <w:lvlText w:val="(%1)"/>
      <w:numFmt w:val="decimal"/>
      <w:start w:val="1"/>
    </w:lvl>
  </w:abstractNum>
  <w:abstractNum w:abstractNumId="130">
    <w:nsid w:val="57A61A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2019-12-29T09:35:14Z</dcterms:created>
  <dcterms:modified xsi:type="dcterms:W3CDTF">2019-12-29T09:35:14Z</dcterms:modified>
</cp:coreProperties>
</file>