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5" w:lineRule="exact"/>
        <w:rPr>
          <w:sz w:val="24"/>
          <w:szCs w:val="24"/>
          <w:color w:val="auto"/>
        </w:rPr>
      </w:pPr>
    </w:p>
    <w:p>
      <w:pPr>
        <w:ind w:left="800" w:hanging="774"/>
        <w:spacing w:after="0"/>
        <w:tabs>
          <w:tab w:leader="none" w:pos="800" w:val="left"/>
        </w:tabs>
        <w:numPr>
          <w:ilvl w:val="0"/>
          <w:numId w:val="1"/>
        </w:numPr>
        <w:rPr>
          <w:rFonts w:ascii="Arial" w:cs="Arial" w:eastAsia="Arial" w:hAnsi="Arial"/>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40"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140"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1440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17780</wp:posOffset>
            </wp:positionV>
            <wp:extent cx="2023110" cy="840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DARÉ BIOSCIENCE, INC.</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(Exact Name of Registrant as Specified in its Charter)</w:t>
      </w:r>
    </w:p>
    <w:tbl>
      <w:tblPr>
        <w:tblLayout w:type="fixed"/>
        <w:tblInd w:w="240" w:type="dxa"/>
        <w:tblCellMar>
          <w:top w:w="0" w:type="dxa"/>
          <w:left w:w="0" w:type="dxa"/>
          <w:bottom w:w="0" w:type="dxa"/>
          <w:right w:w="0" w:type="dxa"/>
        </w:tblCellMar>
      </w:tblPr>
      <w:tr>
        <w:trPr>
          <w:trHeight w:val="205"/>
        </w:trPr>
        <w:tc>
          <w:tcPr>
            <w:tcW w:w="3220" w:type="dxa"/>
            <w:vAlign w:val="bottom"/>
          </w:tcPr>
          <w:p>
            <w:pPr>
              <w:jc w:val="center"/>
              <w:ind w:right="295"/>
              <w:spacing w:after="0" w:line="205" w:lineRule="exact"/>
              <w:rPr>
                <w:sz w:val="20"/>
                <w:szCs w:val="20"/>
                <w:color w:val="auto"/>
              </w:rPr>
            </w:pPr>
            <w:r>
              <w:rPr>
                <w:rFonts w:ascii="Arial" w:cs="Arial" w:eastAsia="Arial" w:hAnsi="Arial"/>
                <w:sz w:val="18"/>
                <w:szCs w:val="18"/>
                <w:b w:val="1"/>
                <w:bCs w:val="1"/>
                <w:color w:val="auto"/>
              </w:rPr>
              <w:t>Delaware</w:t>
            </w:r>
          </w:p>
        </w:tc>
        <w:tc>
          <w:tcPr>
            <w:tcW w:w="4900" w:type="dxa"/>
            <w:vAlign w:val="bottom"/>
          </w:tcPr>
          <w:p>
            <w:pPr>
              <w:spacing w:after="0"/>
              <w:rPr>
                <w:sz w:val="17"/>
                <w:szCs w:val="17"/>
                <w:color w:val="auto"/>
              </w:rPr>
            </w:pPr>
          </w:p>
        </w:tc>
        <w:tc>
          <w:tcPr>
            <w:tcW w:w="1980" w:type="dxa"/>
            <w:vAlign w:val="bottom"/>
          </w:tcPr>
          <w:p>
            <w:pPr>
              <w:jc w:val="right"/>
              <w:ind w:right="55"/>
              <w:spacing w:after="0" w:line="205" w:lineRule="exact"/>
              <w:rPr>
                <w:sz w:val="20"/>
                <w:szCs w:val="20"/>
                <w:color w:val="auto"/>
              </w:rPr>
            </w:pPr>
            <w:r>
              <w:rPr>
                <w:rFonts w:ascii="Arial" w:cs="Arial" w:eastAsia="Arial" w:hAnsi="Arial"/>
                <w:sz w:val="18"/>
                <w:szCs w:val="18"/>
                <w:b w:val="1"/>
                <w:bCs w:val="1"/>
                <w:color w:val="auto"/>
              </w:rPr>
              <w:t>20-4139823</w:t>
            </w:r>
          </w:p>
        </w:tc>
      </w:tr>
      <w:tr>
        <w:trPr>
          <w:trHeight w:val="163"/>
        </w:trPr>
        <w:tc>
          <w:tcPr>
            <w:tcW w:w="3220" w:type="dxa"/>
            <w:vAlign w:val="bottom"/>
          </w:tcPr>
          <w:p>
            <w:pPr>
              <w:jc w:val="center"/>
              <w:ind w:right="295"/>
              <w:spacing w:after="0" w:line="163" w:lineRule="exact"/>
              <w:rPr>
                <w:sz w:val="20"/>
                <w:szCs w:val="20"/>
                <w:color w:val="auto"/>
              </w:rPr>
            </w:pPr>
            <w:r>
              <w:rPr>
                <w:rFonts w:ascii="Arial" w:cs="Arial" w:eastAsia="Arial" w:hAnsi="Arial"/>
                <w:sz w:val="16"/>
                <w:szCs w:val="16"/>
                <w:color w:val="auto"/>
              </w:rPr>
              <w:t>(State or Other Jurisdiction</w:t>
            </w:r>
          </w:p>
        </w:tc>
        <w:tc>
          <w:tcPr>
            <w:tcW w:w="4900" w:type="dxa"/>
            <w:vAlign w:val="bottom"/>
          </w:tcPr>
          <w:p>
            <w:pPr>
              <w:spacing w:after="0"/>
              <w:rPr>
                <w:sz w:val="14"/>
                <w:szCs w:val="14"/>
                <w:color w:val="auto"/>
              </w:rPr>
            </w:pPr>
          </w:p>
        </w:tc>
        <w:tc>
          <w:tcPr>
            <w:tcW w:w="1980" w:type="dxa"/>
            <w:vAlign w:val="bottom"/>
          </w:tcPr>
          <w:p>
            <w:pPr>
              <w:jc w:val="center"/>
              <w:ind w:left="635"/>
              <w:spacing w:after="0" w:line="163" w:lineRule="exact"/>
              <w:rPr>
                <w:sz w:val="20"/>
                <w:szCs w:val="20"/>
                <w:color w:val="auto"/>
              </w:rPr>
            </w:pPr>
            <w:r>
              <w:rPr>
                <w:rFonts w:ascii="Arial" w:cs="Arial" w:eastAsia="Arial" w:hAnsi="Arial"/>
                <w:sz w:val="16"/>
                <w:szCs w:val="16"/>
                <w:color w:val="auto"/>
              </w:rPr>
              <w:t>(IRS Employer</w:t>
            </w:r>
          </w:p>
        </w:tc>
      </w:tr>
      <w:tr>
        <w:trPr>
          <w:trHeight w:val="215"/>
        </w:trPr>
        <w:tc>
          <w:tcPr>
            <w:tcW w:w="3220" w:type="dxa"/>
            <w:vAlign w:val="bottom"/>
          </w:tcPr>
          <w:p>
            <w:pPr>
              <w:jc w:val="center"/>
              <w:ind w:right="315"/>
              <w:spacing w:after="0"/>
              <w:rPr>
                <w:sz w:val="20"/>
                <w:szCs w:val="20"/>
                <w:color w:val="auto"/>
              </w:rPr>
            </w:pPr>
            <w:r>
              <w:rPr>
                <w:rFonts w:ascii="Arial" w:cs="Arial" w:eastAsia="Arial" w:hAnsi="Arial"/>
                <w:sz w:val="16"/>
                <w:szCs w:val="16"/>
                <w:color w:val="auto"/>
              </w:rPr>
              <w:t>of Incorporation)</w:t>
            </w:r>
          </w:p>
        </w:tc>
        <w:tc>
          <w:tcPr>
            <w:tcW w:w="4900" w:type="dxa"/>
            <w:vAlign w:val="bottom"/>
          </w:tcPr>
          <w:p>
            <w:pPr>
              <w:spacing w:after="0"/>
              <w:rPr>
                <w:sz w:val="18"/>
                <w:szCs w:val="18"/>
                <w:color w:val="auto"/>
              </w:rPr>
            </w:pPr>
          </w:p>
        </w:tc>
        <w:tc>
          <w:tcPr>
            <w:tcW w:w="1980" w:type="dxa"/>
            <w:vAlign w:val="bottom"/>
          </w:tcPr>
          <w:p>
            <w:pPr>
              <w:jc w:val="center"/>
              <w:ind w:left="635"/>
              <w:spacing w:after="0"/>
              <w:rPr>
                <w:sz w:val="20"/>
                <w:szCs w:val="20"/>
                <w:color w:val="auto"/>
              </w:rPr>
            </w:pPr>
            <w:r>
              <w:rPr>
                <w:rFonts w:ascii="Arial" w:cs="Arial" w:eastAsia="Arial" w:hAnsi="Arial"/>
                <w:sz w:val="16"/>
                <w:szCs w:val="16"/>
                <w:color w:val="auto"/>
              </w:rPr>
              <w:t>Identification No.)</w:t>
            </w:r>
          </w:p>
        </w:tc>
      </w:tr>
      <w:tr>
        <w:trPr>
          <w:trHeight w:val="280"/>
        </w:trPr>
        <w:tc>
          <w:tcPr>
            <w:tcW w:w="3220" w:type="dxa"/>
            <w:vAlign w:val="bottom"/>
          </w:tcPr>
          <w:p>
            <w:pPr>
              <w:jc w:val="center"/>
              <w:ind w:right="315"/>
              <w:spacing w:after="0"/>
              <w:rPr>
                <w:sz w:val="20"/>
                <w:szCs w:val="20"/>
                <w:color w:val="auto"/>
              </w:rPr>
            </w:pPr>
            <w:r>
              <w:rPr>
                <w:rFonts w:ascii="Arial" w:cs="Arial" w:eastAsia="Arial" w:hAnsi="Arial"/>
                <w:sz w:val="18"/>
                <w:szCs w:val="18"/>
                <w:b w:val="1"/>
                <w:bCs w:val="1"/>
                <w:color w:val="auto"/>
                <w:w w:val="99"/>
              </w:rPr>
              <w:t>3655 Nobel Drive, Suite 260</w:t>
            </w:r>
          </w:p>
        </w:tc>
        <w:tc>
          <w:tcPr>
            <w:tcW w:w="4900" w:type="dxa"/>
            <w:vAlign w:val="bottom"/>
          </w:tcPr>
          <w:p>
            <w:pPr>
              <w:jc w:val="right"/>
              <w:ind w:right="1915"/>
              <w:spacing w:after="0"/>
              <w:rPr>
                <w:sz w:val="20"/>
                <w:szCs w:val="20"/>
                <w:color w:val="auto"/>
              </w:rPr>
            </w:pPr>
            <w:r>
              <w:rPr>
                <w:rFonts w:ascii="Arial" w:cs="Arial" w:eastAsia="Arial" w:hAnsi="Arial"/>
                <w:sz w:val="18"/>
                <w:szCs w:val="18"/>
                <w:b w:val="1"/>
                <w:bCs w:val="1"/>
                <w:color w:val="auto"/>
              </w:rPr>
              <w:t>(858) 926-7655</w:t>
            </w:r>
          </w:p>
        </w:tc>
        <w:tc>
          <w:tcPr>
            <w:tcW w:w="198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181"/>
        </w:trPr>
        <w:tc>
          <w:tcPr>
            <w:tcW w:w="3220" w:type="dxa"/>
            <w:vAlign w:val="bottom"/>
          </w:tcPr>
          <w:p>
            <w:pPr>
              <w:jc w:val="center"/>
              <w:ind w:right="295"/>
              <w:spacing w:after="0" w:line="181" w:lineRule="exact"/>
              <w:rPr>
                <w:sz w:val="20"/>
                <w:szCs w:val="20"/>
                <w:color w:val="auto"/>
              </w:rPr>
            </w:pPr>
            <w:r>
              <w:rPr>
                <w:rFonts w:ascii="Arial" w:cs="Arial" w:eastAsia="Arial" w:hAnsi="Arial"/>
                <w:sz w:val="18"/>
                <w:szCs w:val="18"/>
                <w:b w:val="1"/>
                <w:bCs w:val="1"/>
                <w:color w:val="auto"/>
                <w:w w:val="99"/>
              </w:rPr>
              <w:t>San Diego, CA</w:t>
            </w:r>
          </w:p>
        </w:tc>
        <w:tc>
          <w:tcPr>
            <w:tcW w:w="4900" w:type="dxa"/>
            <w:vAlign w:val="bottom"/>
          </w:tcPr>
          <w:p>
            <w:pPr>
              <w:jc w:val="center"/>
              <w:ind w:right="255"/>
              <w:spacing w:after="0" w:line="181" w:lineRule="exact"/>
              <w:rPr>
                <w:sz w:val="20"/>
                <w:szCs w:val="20"/>
                <w:color w:val="auto"/>
              </w:rPr>
            </w:pPr>
            <w:r>
              <w:rPr>
                <w:rFonts w:ascii="Arial" w:cs="Arial" w:eastAsia="Arial" w:hAnsi="Arial"/>
                <w:sz w:val="16"/>
                <w:szCs w:val="16"/>
                <w:color w:val="auto"/>
              </w:rPr>
              <w:t>(Registrant’s telephone number, including area code)</w:t>
            </w:r>
          </w:p>
        </w:tc>
        <w:tc>
          <w:tcPr>
            <w:tcW w:w="1980" w:type="dxa"/>
            <w:vAlign w:val="bottom"/>
          </w:tcPr>
          <w:p>
            <w:pPr>
              <w:jc w:val="center"/>
              <w:ind w:left="655"/>
              <w:spacing w:after="0" w:line="181" w:lineRule="exact"/>
              <w:rPr>
                <w:sz w:val="20"/>
                <w:szCs w:val="20"/>
                <w:color w:val="auto"/>
              </w:rPr>
            </w:pPr>
            <w:r>
              <w:rPr>
                <w:rFonts w:ascii="Arial" w:cs="Arial" w:eastAsia="Arial" w:hAnsi="Arial"/>
                <w:sz w:val="16"/>
                <w:szCs w:val="16"/>
                <w:color w:val="auto"/>
              </w:rPr>
              <w:t>(Zip Code)</w:t>
            </w:r>
          </w:p>
        </w:tc>
      </w:tr>
      <w:tr>
        <w:trPr>
          <w:trHeight w:val="215"/>
        </w:trPr>
        <w:tc>
          <w:tcPr>
            <w:tcW w:w="3220" w:type="dxa"/>
            <w:vAlign w:val="bottom"/>
          </w:tcPr>
          <w:p>
            <w:pPr>
              <w:jc w:val="center"/>
              <w:ind w:right="295"/>
              <w:spacing w:after="0"/>
              <w:rPr>
                <w:sz w:val="20"/>
                <w:szCs w:val="20"/>
                <w:color w:val="auto"/>
              </w:rPr>
            </w:pPr>
            <w:r>
              <w:rPr>
                <w:rFonts w:ascii="Arial" w:cs="Arial" w:eastAsia="Arial" w:hAnsi="Arial"/>
                <w:sz w:val="16"/>
                <w:szCs w:val="16"/>
                <w:color w:val="auto"/>
              </w:rPr>
              <w:t>(Address of Principal Executive Offices)</w:t>
            </w:r>
          </w:p>
        </w:tc>
        <w:tc>
          <w:tcPr>
            <w:tcW w:w="4900" w:type="dxa"/>
            <w:vAlign w:val="bottom"/>
          </w:tcPr>
          <w:p>
            <w:pPr>
              <w:spacing w:after="0"/>
              <w:rPr>
                <w:sz w:val="18"/>
                <w:szCs w:val="18"/>
                <w:color w:val="auto"/>
              </w:rPr>
            </w:pPr>
          </w:p>
        </w:tc>
        <w:tc>
          <w:tcPr>
            <w:tcW w:w="1980" w:type="dxa"/>
            <w:vAlign w:val="bottom"/>
          </w:tcPr>
          <w:p>
            <w:pPr>
              <w:spacing w:after="0"/>
              <w:rPr>
                <w:sz w:val="18"/>
                <w:szCs w:val="18"/>
                <w:color w:val="auto"/>
              </w:rPr>
            </w:pPr>
          </w:p>
        </w:tc>
      </w:tr>
    </w:tbl>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456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8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560" w:type="dxa"/>
            <w:vAlign w:val="bottom"/>
            <w:vMerge w:val="restart"/>
          </w:tcPr>
          <w:p>
            <w:pPr>
              <w:jc w:val="center"/>
              <w:ind w:right="1339"/>
              <w:spacing w:after="0"/>
              <w:rPr>
                <w:sz w:val="20"/>
                <w:szCs w:val="20"/>
                <w:color w:val="auto"/>
              </w:rPr>
            </w:pPr>
            <w:r>
              <w:rPr>
                <w:rFonts w:ascii="Arial" w:cs="Arial" w:eastAsia="Arial" w:hAnsi="Arial"/>
                <w:sz w:val="16"/>
                <w:szCs w:val="16"/>
                <w:color w:val="auto"/>
              </w:rPr>
              <w:t>Title of each class</w:t>
            </w:r>
          </w:p>
        </w:tc>
        <w:tc>
          <w:tcPr>
            <w:tcW w:w="2800" w:type="dxa"/>
            <w:vAlign w:val="bottom"/>
            <w:vMerge w:val="restart"/>
          </w:tcPr>
          <w:p>
            <w:pPr>
              <w:jc w:val="center"/>
              <w:ind w:right="519"/>
              <w:spacing w:after="0"/>
              <w:rPr>
                <w:sz w:val="20"/>
                <w:szCs w:val="20"/>
                <w:color w:val="auto"/>
              </w:rPr>
            </w:pPr>
            <w:r>
              <w:rPr>
                <w:rFonts w:ascii="Arial" w:cs="Arial" w:eastAsia="Arial" w:hAnsi="Arial"/>
                <w:sz w:val="16"/>
                <w:szCs w:val="16"/>
                <w:color w:val="auto"/>
              </w:rPr>
              <w:t>Trading Symbol(s)</w:t>
            </w:r>
          </w:p>
        </w:tc>
        <w:tc>
          <w:tcPr>
            <w:tcW w:w="3500" w:type="dxa"/>
            <w:vAlign w:val="bottom"/>
          </w:tcPr>
          <w:p>
            <w:pPr>
              <w:jc w:val="center"/>
              <w:ind w:left="979"/>
              <w:spacing w:after="0" w:line="164" w:lineRule="exact"/>
              <w:rPr>
                <w:sz w:val="20"/>
                <w:szCs w:val="20"/>
                <w:color w:val="auto"/>
              </w:rPr>
            </w:pPr>
            <w:r>
              <w:rPr>
                <w:rFonts w:ascii="Arial" w:cs="Arial" w:eastAsia="Arial" w:hAnsi="Arial"/>
                <w:sz w:val="16"/>
                <w:szCs w:val="16"/>
                <w:color w:val="auto"/>
              </w:rPr>
              <w:t>Name of each exchange on which</w:t>
            </w:r>
          </w:p>
        </w:tc>
        <w:tc>
          <w:tcPr>
            <w:tcW w:w="0" w:type="dxa"/>
            <w:vAlign w:val="bottom"/>
          </w:tcPr>
          <w:p>
            <w:pPr>
              <w:spacing w:after="0"/>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3500" w:type="dxa"/>
            <w:vAlign w:val="bottom"/>
          </w:tcPr>
          <w:p>
            <w:pPr>
              <w:jc w:val="center"/>
              <w:ind w:left="979"/>
              <w:spacing w:after="0"/>
              <w:rPr>
                <w:sz w:val="20"/>
                <w:szCs w:val="20"/>
                <w:color w:val="auto"/>
              </w:rPr>
            </w:pPr>
            <w:r>
              <w:rPr>
                <w:rFonts w:ascii="Arial" w:cs="Arial" w:eastAsia="Arial" w:hAnsi="Arial"/>
                <w:sz w:val="16"/>
                <w:szCs w:val="16"/>
                <w:color w:val="auto"/>
              </w:rPr>
              <w:t>registered</w:t>
            </w:r>
          </w:p>
        </w:tc>
        <w:tc>
          <w:tcPr>
            <w:tcW w:w="0" w:type="dxa"/>
            <w:vAlign w:val="bottom"/>
          </w:tcPr>
          <w:p>
            <w:pPr>
              <w:spacing w:after="0"/>
              <w:rPr>
                <w:sz w:val="1"/>
                <w:szCs w:val="1"/>
                <w:color w:val="auto"/>
              </w:rPr>
            </w:pPr>
          </w:p>
        </w:tc>
      </w:tr>
      <w:tr>
        <w:trPr>
          <w:trHeight w:val="223"/>
        </w:trPr>
        <w:tc>
          <w:tcPr>
            <w:tcW w:w="4560" w:type="dxa"/>
            <w:vAlign w:val="bottom"/>
          </w:tcPr>
          <w:p>
            <w:pPr>
              <w:jc w:val="center"/>
              <w:ind w:right="1339"/>
              <w:spacing w:after="0"/>
              <w:rPr>
                <w:sz w:val="20"/>
                <w:szCs w:val="20"/>
                <w:color w:val="auto"/>
              </w:rPr>
            </w:pPr>
            <w:r>
              <w:rPr>
                <w:rFonts w:ascii="Arial" w:cs="Arial" w:eastAsia="Arial" w:hAnsi="Arial"/>
                <w:sz w:val="16"/>
                <w:szCs w:val="16"/>
                <w:b w:val="1"/>
                <w:bCs w:val="1"/>
                <w:color w:val="auto"/>
              </w:rPr>
              <w:t>Common Stock</w:t>
            </w:r>
          </w:p>
        </w:tc>
        <w:tc>
          <w:tcPr>
            <w:tcW w:w="2800" w:type="dxa"/>
            <w:vAlign w:val="bottom"/>
          </w:tcPr>
          <w:p>
            <w:pPr>
              <w:jc w:val="center"/>
              <w:ind w:right="499"/>
              <w:spacing w:after="0"/>
              <w:rPr>
                <w:sz w:val="20"/>
                <w:szCs w:val="20"/>
                <w:color w:val="auto"/>
              </w:rPr>
            </w:pPr>
            <w:r>
              <w:rPr>
                <w:rFonts w:ascii="Arial" w:cs="Arial" w:eastAsia="Arial" w:hAnsi="Arial"/>
                <w:sz w:val="16"/>
                <w:szCs w:val="16"/>
                <w:b w:val="1"/>
                <w:bCs w:val="1"/>
                <w:color w:val="auto"/>
              </w:rPr>
              <w:t>DARE</w:t>
            </w:r>
          </w:p>
        </w:tc>
        <w:tc>
          <w:tcPr>
            <w:tcW w:w="3500" w:type="dxa"/>
            <w:vAlign w:val="bottom"/>
          </w:tcPr>
          <w:p>
            <w:pPr>
              <w:jc w:val="center"/>
              <w:ind w:left="959"/>
              <w:spacing w:after="0"/>
              <w:rPr>
                <w:sz w:val="20"/>
                <w:szCs w:val="20"/>
                <w:color w:val="auto"/>
              </w:rPr>
            </w:pPr>
            <w:r>
              <w:rPr>
                <w:rFonts w:ascii="Arial" w:cs="Arial" w:eastAsia="Arial" w:hAnsi="Arial"/>
                <w:sz w:val="16"/>
                <w:szCs w:val="16"/>
                <w:b w:val="1"/>
                <w:bCs w:val="1"/>
                <w:color w:val="auto"/>
              </w:rPr>
              <w:t>Nasdaq Capital Market</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9"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tabs>
          <w:tab w:leader="none" w:pos="580" w:val="left"/>
          <w:tab w:leader="none" w:pos="1200" w:val="left"/>
        </w:tabs>
        <w:rPr>
          <w:sz w:val="20"/>
          <w:szCs w:val="20"/>
          <w:color w:val="auto"/>
        </w:rPr>
      </w:pPr>
      <w:r>
        <w:rPr>
          <w:rFonts w:ascii="Arial" w:cs="Arial" w:eastAsia="Arial" w:hAnsi="Arial"/>
          <w:sz w:val="16"/>
          <w:szCs w:val="16"/>
          <w:color w:val="auto"/>
        </w:rPr>
        <w:t>files).</w:t>
        <w:tab/>
        <w:t>Yes x</w:t>
        <w:tab/>
        <w:t>No o</w:t>
      </w:r>
    </w:p>
    <w:p>
      <w:pPr>
        <w:spacing w:after="0" w:line="86"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600"/>
              <w:spacing w:after="0"/>
              <w:rPr>
                <w:sz w:val="20"/>
                <w:szCs w:val="20"/>
                <w:color w:val="auto"/>
              </w:rPr>
            </w:pPr>
            <w:r>
              <w:rPr>
                <w:rFonts w:ascii="Arial" w:cs="Arial" w:eastAsia="Arial" w:hAnsi="Arial"/>
                <w:sz w:val="16"/>
                <w:szCs w:val="16"/>
                <w:color w:val="auto"/>
              </w:rPr>
              <w:t>o</w:t>
            </w:r>
          </w:p>
        </w:tc>
        <w:tc>
          <w:tcPr>
            <w:tcW w:w="47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o</w:t>
            </w: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600"/>
              <w:spacing w:after="0"/>
              <w:rPr>
                <w:sz w:val="20"/>
                <w:szCs w:val="20"/>
                <w:color w:val="auto"/>
              </w:rPr>
            </w:pPr>
            <w:r>
              <w:rPr>
                <w:rFonts w:ascii="Arial" w:cs="Arial" w:eastAsia="Arial" w:hAnsi="Arial"/>
                <w:sz w:val="16"/>
                <w:szCs w:val="16"/>
                <w:color w:val="auto"/>
              </w:rPr>
              <w:t>x</w:t>
            </w:r>
          </w:p>
        </w:tc>
        <w:tc>
          <w:tcPr>
            <w:tcW w:w="47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420"/>
              <w:spacing w:after="0"/>
              <w:rPr>
                <w:sz w:val="20"/>
                <w:szCs w:val="20"/>
                <w:color w:val="auto"/>
              </w:rPr>
            </w:pPr>
            <w:r>
              <w:rPr>
                <w:rFonts w:ascii="Arial" w:cs="Arial" w:eastAsia="Arial" w:hAnsi="Arial"/>
                <w:sz w:val="16"/>
                <w:szCs w:val="16"/>
                <w:color w:val="auto"/>
                <w:w w:val="74"/>
              </w:rPr>
              <w:t>x</w:t>
            </w:r>
          </w:p>
        </w:tc>
      </w:tr>
      <w:tr>
        <w:trPr>
          <w:trHeight w:val="256"/>
        </w:trPr>
        <w:tc>
          <w:tcPr>
            <w:tcW w:w="25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600"/>
              <w:spacing w:after="0"/>
              <w:rPr>
                <w:sz w:val="20"/>
                <w:szCs w:val="20"/>
                <w:color w:val="auto"/>
              </w:rPr>
            </w:pPr>
            <w:r>
              <w:rPr>
                <w:rFonts w:ascii="Arial" w:cs="Arial" w:eastAsia="Arial" w:hAnsi="Arial"/>
                <w:sz w:val="16"/>
                <w:szCs w:val="16"/>
                <w:color w:val="auto"/>
              </w:rPr>
              <w:t>o</w:t>
            </w:r>
          </w:p>
        </w:tc>
        <w:tc>
          <w:tcPr>
            <w:tcW w:w="476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23" w:lineRule="exact"/>
        <w:rPr>
          <w:sz w:val="24"/>
          <w:szCs w:val="24"/>
          <w:color w:val="auto"/>
        </w:rPr>
      </w:pPr>
    </w:p>
    <w:p>
      <w:pPr>
        <w:jc w:val="both"/>
        <w:ind w:right="340" w:firstLine="324"/>
        <w:spacing w:after="0" w:line="29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1" w:lineRule="exact"/>
        <w:rPr>
          <w:sz w:val="24"/>
          <w:szCs w:val="24"/>
          <w:color w:val="auto"/>
        </w:rPr>
      </w:pPr>
    </w:p>
    <w:p>
      <w:pPr>
        <w:ind w:left="340"/>
        <w:spacing w:after="0" w:line="184" w:lineRule="exact"/>
        <w:tabs>
          <w:tab w:leader="none" w:pos="78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9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August 8, 2022, 84,820,858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39"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 and continue as a going concern;</w:t>
      </w:r>
    </w:p>
    <w:p>
      <w:pPr>
        <w:spacing w:after="0" w:line="25" w:lineRule="exact"/>
        <w:rPr>
          <w:rFonts w:ascii="Arial" w:cs="Arial" w:eastAsia="Arial" w:hAnsi="Arial"/>
          <w:sz w:val="18"/>
          <w:szCs w:val="18"/>
          <w:i w:val="1"/>
          <w:iCs w:val="1"/>
          <w:color w:val="auto"/>
        </w:rPr>
      </w:pPr>
    </w:p>
    <w:p>
      <w:pPr>
        <w:jc w:val="both"/>
        <w:ind w:left="980" w:hanging="324"/>
        <w:spacing w:after="0" w:line="25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Failure to complete development of our product candidates, submit and obtain United States Food and Drug Administration, or FDA, or foreign regulatory authority approval and commercialize our product candidates, if approved, on projected timelines or budgets, or at all;</w:t>
      </w:r>
    </w:p>
    <w:p>
      <w:pPr>
        <w:spacing w:after="0" w:line="7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Inability to demonstrate sufficient safety and efficacy of our product candidates;</w:t>
      </w:r>
    </w:p>
    <w:p>
      <w:pPr>
        <w:spacing w:after="0" w:line="117" w:lineRule="exact"/>
        <w:rPr>
          <w:rFonts w:ascii="Arial" w:cs="Arial" w:eastAsia="Arial" w:hAnsi="Arial"/>
          <w:sz w:val="18"/>
          <w:szCs w:val="18"/>
          <w:color w:val="auto"/>
        </w:rPr>
      </w:pPr>
    </w:p>
    <w:p>
      <w:pPr>
        <w:jc w:val="both"/>
        <w:ind w:left="980" w:right="20" w:hanging="324"/>
        <w:spacing w:after="0" w:line="26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timely supply of XACIATO™ and our clinical trial supplies, including their components as well as the finished product, in the quantities needed in accordance with current good manufacturing practices, our specifications and other applicable requirements;</w:t>
      </w:r>
    </w:p>
    <w:p>
      <w:pPr>
        <w:spacing w:after="0" w:line="6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performance of third parties on which we rely to conduct nonclinical studies and clinical trials of our product candidates;</w:t>
      </w:r>
    </w:p>
    <w:p>
      <w:pPr>
        <w:spacing w:after="0" w:line="117" w:lineRule="exact"/>
        <w:rPr>
          <w:rFonts w:ascii="Arial" w:cs="Arial" w:eastAsia="Arial" w:hAnsi="Arial"/>
          <w:sz w:val="18"/>
          <w:szCs w:val="18"/>
          <w:color w:val="auto"/>
        </w:rPr>
      </w:pPr>
    </w:p>
    <w:p>
      <w:pPr>
        <w:ind w:left="980" w:hanging="324"/>
        <w:spacing w:after="0" w:line="285"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terms and conditions of our strategic collaborations, including our out-license agreements for commercialization of XACIATO and Ovaprene®;</w:t>
      </w:r>
    </w:p>
    <w:p>
      <w:pPr>
        <w:spacing w:after="0" w:line="48" w:lineRule="exact"/>
        <w:rPr>
          <w:rFonts w:ascii="Arial" w:cs="Arial" w:eastAsia="Arial" w:hAnsi="Arial"/>
          <w:sz w:val="18"/>
          <w:szCs w:val="18"/>
          <w:i w:val="1"/>
          <w:iCs w:val="1"/>
          <w:color w:val="auto"/>
        </w:rPr>
      </w:pPr>
    </w:p>
    <w:p>
      <w:pPr>
        <w:jc w:val="both"/>
        <w:ind w:left="980" w:hanging="324"/>
        <w:spacing w:after="0" w:line="267"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decision by a the collaborators with whom we have entered into out-license agreements for commercialization of XACIATO and Ovaprene to discontinue its interest in XACIATO and Ovaprene, respectively, or to terminate such agreement, or the failure of our out-license agreement for Ovaprene to become fully effective;</w:t>
      </w:r>
    </w:p>
    <w:p>
      <w:pPr>
        <w:spacing w:after="0" w:line="65" w:lineRule="exact"/>
        <w:rPr>
          <w:rFonts w:ascii="Arial" w:cs="Arial" w:eastAsia="Arial" w:hAnsi="Arial"/>
          <w:sz w:val="18"/>
          <w:szCs w:val="18"/>
          <w:i w:val="1"/>
          <w:iCs w:val="1"/>
          <w:color w:val="auto"/>
        </w:rPr>
      </w:pPr>
    </w:p>
    <w:p>
      <w:pPr>
        <w:ind w:left="980" w:hanging="324"/>
        <w:spacing w:after="0" w:line="28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performance of third parties on which we rely to commercialize, or assist us in commercializing, XACIATO and any future product;</w:t>
      </w:r>
    </w:p>
    <w:p>
      <w:pPr>
        <w:spacing w:after="0" w:line="48" w:lineRule="exact"/>
        <w:rPr>
          <w:rFonts w:ascii="Arial" w:cs="Arial" w:eastAsia="Arial" w:hAnsi="Arial"/>
          <w:sz w:val="18"/>
          <w:szCs w:val="18"/>
          <w:color w:val="auto"/>
        </w:rPr>
      </w:pPr>
    </w:p>
    <w:p>
      <w:pPr>
        <w:ind w:left="980" w:hanging="324"/>
        <w:spacing w:after="0" w:line="285"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Difficulties with establishing and maintaining collaborations relating to the development and/or commercialization, if approved, of our product candidates on a timely basis or on acceptable terms, or at all;</w:t>
      </w:r>
    </w:p>
    <w:p>
      <w:pPr>
        <w:spacing w:after="0" w:line="48"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loss of, or inability to attract, key personnel;</w:t>
      </w:r>
    </w:p>
    <w:p>
      <w:pPr>
        <w:spacing w:after="0" w:line="117"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degree of market acceptance that XACIATO and any future product achieves;</w:t>
      </w:r>
    </w:p>
    <w:p>
      <w:pPr>
        <w:spacing w:after="0" w:line="117" w:lineRule="exact"/>
        <w:rPr>
          <w:rFonts w:ascii="Arial" w:cs="Arial" w:eastAsia="Arial" w:hAnsi="Arial"/>
          <w:sz w:val="18"/>
          <w:szCs w:val="18"/>
          <w:i w:val="1"/>
          <w:iCs w:val="1"/>
          <w:color w:val="auto"/>
        </w:rPr>
      </w:pPr>
    </w:p>
    <w:p>
      <w:pPr>
        <w:ind w:left="980" w:hanging="324"/>
        <w:spacing w:after="0" w:line="285"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Coverage and reimbursement levels for XACIATO and any future product by government health care programs, private health insurance companies and other third-party payors;</w:t>
      </w:r>
    </w:p>
    <w:p>
      <w:pPr>
        <w:spacing w:after="0" w:line="48" w:lineRule="exact"/>
        <w:rPr>
          <w:rFonts w:ascii="Arial" w:cs="Arial" w:eastAsia="Arial" w:hAnsi="Arial"/>
          <w:sz w:val="18"/>
          <w:szCs w:val="18"/>
          <w:i w:val="1"/>
          <w:iCs w:val="1"/>
          <w:color w:val="auto"/>
        </w:rPr>
      </w:pPr>
    </w:p>
    <w:p>
      <w:pPr>
        <w:ind w:left="980" w:right="20" w:hanging="324"/>
        <w:spacing w:after="0" w:line="285"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FDA's prior determination that the Center for Devices and Radiological Health would lead the review of a premarket approval application for potential marketing approval of Ovaprene;</w:t>
      </w:r>
    </w:p>
    <w:p>
      <w:pPr>
        <w:spacing w:after="0" w:line="48" w:lineRule="exact"/>
        <w:rPr>
          <w:rFonts w:ascii="Arial" w:cs="Arial" w:eastAsia="Arial" w:hAnsi="Arial"/>
          <w:sz w:val="18"/>
          <w:szCs w:val="18"/>
          <w:i w:val="1"/>
          <w:iCs w:val="1"/>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w:t>
      </w:r>
    </w:p>
    <w:p>
      <w:pPr>
        <w:spacing w:after="0" w:line="25" w:lineRule="exact"/>
        <w:rPr>
          <w:rFonts w:ascii="Arial" w:cs="Arial" w:eastAsia="Arial" w:hAnsi="Arial"/>
          <w:sz w:val="18"/>
          <w:szCs w:val="18"/>
          <w:i w:val="1"/>
          <w:iCs w:val="1"/>
          <w:color w:val="auto"/>
        </w:rPr>
      </w:pPr>
    </w:p>
    <w:p>
      <w:pPr>
        <w:ind w:left="98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(2) of the Federal Food, Drug, and Cosmetic Act, or the FDA's 505(b)(2) pathway;</w:t>
      </w:r>
    </w:p>
    <w:p>
      <w:pPr>
        <w:spacing w:after="0" w:line="101" w:lineRule="exact"/>
        <w:rPr>
          <w:rFonts w:ascii="Arial" w:cs="Arial" w:eastAsia="Arial" w:hAnsi="Arial"/>
          <w:sz w:val="18"/>
          <w:szCs w:val="18"/>
          <w:i w:val="1"/>
          <w:iCs w:val="1"/>
          <w:color w:val="auto"/>
        </w:rPr>
      </w:pPr>
    </w:p>
    <w:p>
      <w:pPr>
        <w:jc w:val="both"/>
        <w:ind w:left="980" w:hanging="324"/>
        <w:spacing w:after="0" w:line="267"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Adverse differences between preliminary, interim or topline clinical study data reported by us and final study results;</w:t>
      </w:r>
    </w:p>
    <w:p>
      <w:pPr>
        <w:spacing w:after="0" w:line="117" w:lineRule="exact"/>
        <w:rPr>
          <w:rFonts w:ascii="Arial" w:cs="Arial" w:eastAsia="Arial" w:hAnsi="Arial"/>
          <w:sz w:val="18"/>
          <w:szCs w:val="18"/>
          <w:i w:val="1"/>
          <w:iCs w:val="1"/>
          <w:color w:val="auto"/>
        </w:rPr>
      </w:pPr>
    </w:p>
    <w:p>
      <w:pPr>
        <w:jc w:val="both"/>
        <w:ind w:left="324" w:hanging="324"/>
        <w:spacing w:after="0" w:line="262"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Communication from the FDA or another regulatory authority, including a complete response letter, that it does not accept or agree with our assumptions, estimates, calculations, conclusions or analyses of clinical or nonclinical study data regarding a product candidate, or that it interprets or weighs the importance of study data differently than we have in a manner that negatively impacts the candidate's prospects for regulatory approval in a timely manner, or at all;</w:t>
      </w:r>
    </w:p>
    <w:p>
      <w:pPr>
        <w:spacing w:after="0" w:line="68"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monetize our portfolio through licenses, partnerships or other types of commercialization agreements, or on our own;</w:t>
      </w:r>
    </w:p>
    <w:p>
      <w:pPr>
        <w:spacing w:after="0" w:line="117" w:lineRule="exact"/>
        <w:rPr>
          <w:rFonts w:ascii="Arial" w:cs="Arial" w:eastAsia="Arial" w:hAnsi="Arial"/>
          <w:sz w:val="18"/>
          <w:szCs w:val="18"/>
          <w:i w:val="1"/>
          <w:iCs w:val="1"/>
          <w:color w:val="auto"/>
        </w:rPr>
      </w:pPr>
    </w:p>
    <w:p>
      <w:pPr>
        <w:ind w:left="324" w:right="20" w:hanging="324"/>
        <w:spacing w:after="0" w:line="285"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product candidates that capitalize on the most scientifically, clinically or commercially promising or profitable indications or therapeutic areas within women's health including due to our limited financial resources;</w:t>
      </w:r>
    </w:p>
    <w:p>
      <w:pPr>
        <w:spacing w:after="0" w:line="48"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or impairment of our in-licensed rights to develop and commercialize XACIATO and our product candidates;</w:t>
      </w:r>
    </w:p>
    <w:p>
      <w:pPr>
        <w:spacing w:after="0" w:line="117"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payment and other obligations under our in-license and acquisition agreements for XACIATO and our product candidates;</w:t>
      </w:r>
    </w:p>
    <w:p>
      <w:pPr>
        <w:spacing w:after="0" w:line="117"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XACIATO or any potential product less competitive or obsolete;</w:t>
      </w:r>
    </w:p>
    <w:p>
      <w:pPr>
        <w:spacing w:after="0" w:line="117" w:lineRule="exact"/>
        <w:rPr>
          <w:rFonts w:ascii="Arial" w:cs="Arial" w:eastAsia="Arial" w:hAnsi="Arial"/>
          <w:sz w:val="18"/>
          <w:szCs w:val="18"/>
          <w:i w:val="1"/>
          <w:iCs w:val="1"/>
          <w:color w:val="auto"/>
        </w:rPr>
      </w:pPr>
    </w:p>
    <w:p>
      <w:pPr>
        <w:jc w:val="both"/>
        <w:ind w:left="324" w:hanging="324"/>
        <w:spacing w:after="0" w:line="267"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macroeconomic conditions, geopolitical events, the COVID-19 pandemic and any future pandemic, epidemic, or similar public health threat or natural disasters on our business, operations and financial condition, or on those of third parties on which we rely;</w:t>
      </w:r>
    </w:p>
    <w:p>
      <w:pPr>
        <w:spacing w:after="0" w:line="65" w:lineRule="exact"/>
        <w:rPr>
          <w:rFonts w:ascii="Arial" w:cs="Arial" w:eastAsia="Arial" w:hAnsi="Arial"/>
          <w:sz w:val="18"/>
          <w:szCs w:val="18"/>
          <w:i w:val="1"/>
          <w:iCs w:val="1"/>
          <w:color w:val="auto"/>
        </w:rPr>
      </w:pPr>
    </w:p>
    <w:p>
      <w:pPr>
        <w:ind w:left="324" w:hanging="324"/>
        <w:spacing w:after="0" w:line="285"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security breaches or similar events compromising our technology systems or the technology systems of third parties on which we rely;</w:t>
      </w:r>
    </w:p>
    <w:p>
      <w:pPr>
        <w:spacing w:after="0" w:line="48"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17"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17" w:lineRule="exact"/>
        <w:rPr>
          <w:rFonts w:ascii="Arial" w:cs="Arial" w:eastAsia="Arial" w:hAnsi="Arial"/>
          <w:sz w:val="18"/>
          <w:szCs w:val="18"/>
          <w:i w:val="1"/>
          <w:iCs w:val="1"/>
          <w:color w:val="auto"/>
        </w:rPr>
      </w:pPr>
    </w:p>
    <w:p>
      <w:pPr>
        <w:ind w:left="324" w:hanging="324"/>
        <w:spacing w:after="0" w:line="285"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XACIATO and certain of our product candidates that expose those product candidates to competition from other formulations using the same active ingredients;</w:t>
      </w:r>
    </w:p>
    <w:p>
      <w:pPr>
        <w:spacing w:after="0" w:line="48" w:lineRule="exact"/>
        <w:rPr>
          <w:rFonts w:ascii="Arial" w:cs="Arial" w:eastAsia="Arial" w:hAnsi="Arial"/>
          <w:sz w:val="18"/>
          <w:szCs w:val="18"/>
          <w:i w:val="1"/>
          <w:iCs w:val="1"/>
          <w:color w:val="auto"/>
        </w:rPr>
      </w:pPr>
    </w:p>
    <w:p>
      <w:pPr>
        <w:ind w:left="324" w:hanging="324"/>
        <w:spacing w:after="0" w:line="285"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48"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grant funding for pre-clinical development of DARE-LARC1;</w:t>
      </w:r>
    </w:p>
    <w:p>
      <w:pPr>
        <w:spacing w:after="0" w:line="117"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17" w:lineRule="exact"/>
        <w:rPr>
          <w:rFonts w:ascii="Arial" w:cs="Arial" w:eastAsia="Arial" w:hAnsi="Arial"/>
          <w:sz w:val="18"/>
          <w:szCs w:val="18"/>
          <w:i w:val="1"/>
          <w:iCs w:val="1"/>
          <w:color w:val="auto"/>
        </w:rPr>
      </w:pPr>
    </w:p>
    <w:p>
      <w:pPr>
        <w:ind w:left="324" w:hanging="324"/>
        <w:spacing w:after="0" w:line="285"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 or that differ from investors' expectations for such results;</w:t>
      </w:r>
    </w:p>
    <w:p>
      <w:pPr>
        <w:spacing w:after="0" w:line="48" w:lineRule="exact"/>
        <w:rPr>
          <w:rFonts w:ascii="Arial" w:cs="Arial" w:eastAsia="Arial" w:hAnsi="Arial"/>
          <w:sz w:val="18"/>
          <w:szCs w:val="18"/>
          <w:i w:val="1"/>
          <w:iCs w:val="1"/>
          <w:color w:val="auto"/>
        </w:rPr>
      </w:pPr>
    </w:p>
    <w:p>
      <w:pPr>
        <w:ind w:left="324" w:hanging="324"/>
        <w:spacing w:after="0" w:line="285"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cause investors to experience losses and subject us to securities class-action litigation;</w:t>
      </w:r>
    </w:p>
    <w:p>
      <w:pPr>
        <w:spacing w:after="0" w:line="48"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maintain the listing of our common stock on the Nasdaq Capital Market or another nationally recognized exchange;</w:t>
      </w:r>
    </w:p>
    <w:p>
      <w:pPr>
        <w:spacing w:after="0" w:line="117" w:lineRule="exact"/>
        <w:rPr>
          <w:rFonts w:ascii="Arial" w:cs="Arial" w:eastAsia="Arial" w:hAnsi="Arial"/>
          <w:sz w:val="18"/>
          <w:szCs w:val="18"/>
          <w:i w:val="1"/>
          <w:iCs w:val="1"/>
          <w:color w:val="auto"/>
        </w:rPr>
      </w:pPr>
    </w:p>
    <w:p>
      <w:pPr>
        <w:ind w:left="324" w:hanging="324"/>
        <w:spacing w:after="0" w:line="285"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 of unexpected safety concerns related to our product or product candidates, or third-party products or product candidates that share similar characteristics or drug substances;</w:t>
      </w:r>
    </w:p>
    <w:p>
      <w:pPr>
        <w:spacing w:after="0" w:line="48"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Product liability claims or governmental investigations;</w:t>
      </w:r>
    </w:p>
    <w:p>
      <w:pPr>
        <w:spacing w:after="0" w:line="117" w:lineRule="exact"/>
        <w:rPr>
          <w:rFonts w:ascii="Arial" w:cs="Arial" w:eastAsia="Arial" w:hAnsi="Arial"/>
          <w:sz w:val="18"/>
          <w:szCs w:val="18"/>
          <w:i w:val="1"/>
          <w:iCs w:val="1"/>
          <w:color w:val="auto"/>
        </w:rPr>
      </w:pPr>
    </w:p>
    <w:p>
      <w:pPr>
        <w:ind w:left="324" w:hanging="324"/>
        <w:spacing w:after="0" w:line="285"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48" w:lineRule="exact"/>
        <w:rPr>
          <w:rFonts w:ascii="Arial" w:cs="Arial" w:eastAsia="Arial" w:hAnsi="Arial"/>
          <w:sz w:val="18"/>
          <w:szCs w:val="18"/>
          <w:i w:val="1"/>
          <w:iCs w:val="1"/>
          <w:color w:val="auto"/>
        </w:rPr>
      </w:pPr>
    </w:p>
    <w:p>
      <w:pPr>
        <w:ind w:left="324" w:hanging="324"/>
        <w:spacing w:after="0"/>
        <w:tabs>
          <w:tab w:leader="none" w:pos="3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XACIATO and any future products; and</w:t>
      </w:r>
    </w:p>
    <w:p>
      <w:pPr>
        <w:spacing w:after="0" w:line="117" w:lineRule="exact"/>
        <w:rPr>
          <w:rFonts w:ascii="Arial" w:cs="Arial" w:eastAsia="Arial" w:hAnsi="Arial"/>
          <w:sz w:val="18"/>
          <w:szCs w:val="18"/>
          <w:i w:val="1"/>
          <w:iCs w:val="1"/>
          <w:color w:val="auto"/>
        </w:rPr>
      </w:pPr>
    </w:p>
    <w:p>
      <w:pPr>
        <w:ind w:left="324" w:hanging="324"/>
        <w:spacing w:after="0" w:line="285" w:lineRule="auto"/>
        <w:tabs>
          <w:tab w:leader="none" w:pos="31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611505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933" w:right="339" w:bottom="1440" w:gutter="0" w:footer="0" w:header="0"/>
        </w:sectPr>
      </w:pPr>
    </w:p>
    <w:bookmarkStart w:id="3" w:name="page4"/>
    <w:bookmarkEnd w:id="3"/>
    <w:p>
      <w:pPr>
        <w:jc w:val="both"/>
        <w:ind w:firstLine="648"/>
        <w:spacing w:after="0" w:line="259"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20" w:type="dxa"/>
            <w:vAlign w:val="bottom"/>
            <w:gridSpan w:val="4"/>
          </w:tcPr>
          <w:p>
            <w:pPr>
              <w:jc w:val="right"/>
              <w:ind w:right="140"/>
              <w:spacing w:after="0"/>
              <w:rPr>
                <w:sz w:val="20"/>
                <w:szCs w:val="20"/>
                <w:color w:val="auto"/>
              </w:rPr>
            </w:pPr>
            <w:r>
              <w:rPr>
                <w:rFonts w:ascii="Arial" w:cs="Arial" w:eastAsia="Arial" w:hAnsi="Arial"/>
                <w:sz w:val="14"/>
                <w:szCs w:val="14"/>
                <w:color w:val="auto"/>
              </w:rPr>
              <w:t>Page</w:t>
            </w:r>
          </w:p>
        </w:tc>
      </w:tr>
      <w:tr>
        <w:trPr>
          <w:trHeight w:val="197"/>
        </w:trPr>
        <w:tc>
          <w:tcPr>
            <w:tcW w:w="20" w:type="dxa"/>
            <w:vAlign w:val="bottom"/>
          </w:tcPr>
          <w:p>
            <w:pPr>
              <w:spacing w:after="0"/>
              <w:rPr>
                <w:sz w:val="17"/>
                <w:szCs w:val="17"/>
                <w:color w:val="auto"/>
              </w:rPr>
            </w:pPr>
          </w:p>
        </w:tc>
        <w:tc>
          <w:tcPr>
            <w:tcW w:w="2900" w:type="dxa"/>
            <w:vAlign w:val="bottom"/>
            <w:tcBorders>
              <w:bottom w:val="single" w:sz="8" w:color="0000FF"/>
            </w:tcBorders>
            <w:gridSpan w:val="8"/>
          </w:tcPr>
          <w:p>
            <w:pPr>
              <w:spacing w:after="0" w:line="197" w:lineRule="exact"/>
              <w:rPr>
                <w:sz w:val="20"/>
                <w:szCs w:val="20"/>
                <w:color w:val="auto"/>
              </w:rPr>
            </w:pPr>
            <w:r>
              <w:rPr>
                <w:rFonts w:ascii="Arial" w:cs="Arial" w:eastAsia="Arial" w:hAnsi="Arial"/>
                <w:sz w:val="18"/>
                <w:szCs w:val="18"/>
                <w:b w:val="1"/>
                <w:bCs w:val="1"/>
                <w:color w:val="0000FF"/>
                <w:w w:val="95"/>
              </w:rPr>
              <w:t>PART I. FINANCIAL INFORMATION</w:t>
            </w:r>
          </w:p>
        </w:tc>
        <w:tc>
          <w:tcPr>
            <w:tcW w:w="650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700" w:type="dxa"/>
            <w:vAlign w:val="bottom"/>
            <w:gridSpan w:val="9"/>
          </w:tcPr>
          <w:p>
            <w:pPr>
              <w:spacing w:after="0"/>
              <w:rPr>
                <w:sz w:val="20"/>
                <w:szCs w:val="20"/>
                <w:color w:val="auto"/>
              </w:rPr>
            </w:pPr>
            <w:r>
              <w:rPr>
                <w:rFonts w:ascii="Arial" w:cs="Arial" w:eastAsia="Arial" w:hAnsi="Arial"/>
                <w:sz w:val="18"/>
                <w:szCs w:val="18"/>
                <w:color w:val="0000FF"/>
                <w:w w:val="98"/>
              </w:rPr>
              <w:t>Condensed Consolidated Financial Statements (Unaudited)</w:t>
            </w:r>
          </w:p>
        </w:tc>
        <w:tc>
          <w:tcPr>
            <w:tcW w:w="3720" w:type="dxa"/>
            <w:vAlign w:val="bottom"/>
            <w:gridSpan w:val="3"/>
          </w:tcPr>
          <w:p>
            <w:pPr>
              <w:spacing w:after="0"/>
              <w:rPr>
                <w:sz w:val="22"/>
                <w:szCs w:val="22"/>
                <w:color w:val="auto"/>
              </w:rPr>
            </w:pPr>
          </w:p>
        </w:tc>
        <w:tc>
          <w:tcPr>
            <w:tcW w:w="1700" w:type="dxa"/>
            <w:vAlign w:val="bottom"/>
            <w:gridSpan w:val="2"/>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1"/>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37</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3720" w:type="dxa"/>
            <w:vAlign w:val="bottom"/>
            <w:gridSpan w:val="3"/>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37</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9400" w:type="dxa"/>
            <w:vAlign w:val="bottom"/>
            <w:gridSpan w:val="13"/>
          </w:tcPr>
          <w:p>
            <w:pPr>
              <w:spacing w:after="0"/>
              <w:rPr>
                <w:sz w:val="20"/>
                <w:szCs w:val="20"/>
                <w:color w:val="auto"/>
              </w:rPr>
            </w:pPr>
            <w:r>
              <w:rPr>
                <w:rFonts w:ascii="Arial" w:cs="Arial" w:eastAsia="Arial" w:hAnsi="Arial"/>
                <w:sz w:val="18"/>
                <w:szCs w:val="18"/>
                <w:b w:val="1"/>
                <w:bCs w:val="1"/>
                <w:color w:val="0000FF"/>
              </w:rPr>
              <w:t>PART II. OTHER INFORMATION</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9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Legal Proceedings</w:t>
            </w:r>
          </w:p>
        </w:tc>
        <w:tc>
          <w:tcPr>
            <w:tcW w:w="6740" w:type="dxa"/>
            <w:vAlign w:val="bottom"/>
            <w:gridSpan w:val="6"/>
          </w:tcPr>
          <w:p>
            <w:pPr>
              <w:spacing w:after="0"/>
              <w:rPr>
                <w:sz w:val="22"/>
                <w:szCs w:val="22"/>
                <w:color w:val="auto"/>
              </w:rPr>
            </w:pP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0000FF"/>
              </w:rPr>
              <w:t>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22"/>
                <w:szCs w:val="22"/>
                <w:color w:val="auto"/>
              </w:rPr>
            </w:pPr>
          </w:p>
        </w:tc>
        <w:tc>
          <w:tcPr>
            <w:tcW w:w="6940" w:type="dxa"/>
            <w:vAlign w:val="bottom"/>
            <w:gridSpan w:val="7"/>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420" w:type="dxa"/>
            <w:vAlign w:val="bottom"/>
            <w:gridSpan w:val="12"/>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0000FF"/>
              </w:rPr>
              <w:t>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0"/>
          </w:tcPr>
          <w:p>
            <w:pPr>
              <w:spacing w:after="0"/>
              <w:rPr>
                <w:sz w:val="20"/>
                <w:szCs w:val="20"/>
                <w:color w:val="auto"/>
              </w:rPr>
            </w:pPr>
            <w:r>
              <w:rPr>
                <w:rFonts w:ascii="Arial" w:cs="Arial" w:eastAsia="Arial" w:hAnsi="Arial"/>
                <w:sz w:val="18"/>
                <w:szCs w:val="18"/>
                <w:color w:val="0000FF"/>
              </w:rPr>
              <w:t>Defaults Upon Senior Securities</w:t>
            </w:r>
          </w:p>
        </w:tc>
        <w:tc>
          <w:tcPr>
            <w:tcW w:w="3580" w:type="dxa"/>
            <w:vAlign w:val="bottom"/>
            <w:gridSpan w:val="2"/>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sz w:val="20"/>
                <w:szCs w:val="20"/>
                <w:color w:val="auto"/>
              </w:rPr>
            </w:pPr>
            <w:r>
              <w:rPr>
                <w:rFonts w:ascii="Arial" w:cs="Arial" w:eastAsia="Arial" w:hAnsi="Arial"/>
                <w:sz w:val="18"/>
                <w:szCs w:val="18"/>
                <w:color w:val="0000FF"/>
              </w:rPr>
              <w:t>Mine Safety Disclosures</w:t>
            </w:r>
          </w:p>
        </w:tc>
        <w:tc>
          <w:tcPr>
            <w:tcW w:w="5880" w:type="dxa"/>
            <w:vAlign w:val="bottom"/>
            <w:gridSpan w:val="4"/>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3"/>
          </w:tcPr>
          <w:p>
            <w:pPr>
              <w:spacing w:after="0"/>
              <w:rPr>
                <w:sz w:val="22"/>
                <w:szCs w:val="22"/>
                <w:color w:val="auto"/>
              </w:rPr>
            </w:pPr>
          </w:p>
        </w:tc>
        <w:tc>
          <w:tcPr>
            <w:tcW w:w="6500" w:type="dxa"/>
            <w:vAlign w:val="bottom"/>
            <w:gridSpan w:val="5"/>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2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7020" w:type="dxa"/>
            <w:vAlign w:val="bottom"/>
            <w:gridSpan w:val="8"/>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20" w:type="dxa"/>
            <w:vAlign w:val="bottom"/>
            <w:gridSpan w:val="12"/>
          </w:tcPr>
          <w:p>
            <w:pPr>
              <w:spacing w:after="0"/>
              <w:rPr>
                <w:sz w:val="20"/>
                <w:szCs w:val="20"/>
                <w:color w:val="auto"/>
              </w:rPr>
            </w:pPr>
            <w:r>
              <w:rPr>
                <w:rFonts w:ascii="Arial" w:cs="Arial" w:eastAsia="Arial" w:hAnsi="Arial"/>
                <w:sz w:val="18"/>
                <w:szCs w:val="18"/>
                <w:color w:val="0000FF"/>
              </w:rPr>
              <w:t>SIGNATURES</w:t>
            </w:r>
          </w:p>
        </w:tc>
        <w:tc>
          <w:tcPr>
            <w:tcW w:w="182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r>
      <w:tr>
        <w:trPr>
          <w:trHeight w:val="1270"/>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126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8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51,674,087</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1,145,317</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2,476,612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50,112,631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55,296,016</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26,041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485,120</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51,394,340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55,807,177</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2,103,083</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6,347,367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3,136,244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grant funding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10,542,983</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270,546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16,536,936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16,052,856</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Deferred license revenue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long-term</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18,360,881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17,052,856</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20" w:type="dxa"/>
            <w:vAlign w:val="bottom"/>
          </w:tcPr>
          <w:p>
            <w:pPr>
              <w:ind w:left="220"/>
              <w:spacing w:after="0" w:line="176" w:lineRule="exact"/>
              <w:rPr>
                <w:sz w:val="20"/>
                <w:szCs w:val="20"/>
                <w:color w:val="auto"/>
              </w:rPr>
            </w:pPr>
            <w:r>
              <w:rPr>
                <w:rFonts w:ascii="Arial" w:cs="Arial" w:eastAsia="Arial" w:hAnsi="Arial"/>
                <w:sz w:val="18"/>
                <w:szCs w:val="18"/>
                <w:color w:val="auto"/>
              </w:rPr>
              <w:t>Common stock, $0.0001 par value; 120,000,000 shares authorized; 84,820,858 and 83,944,119</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8,482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shares issued and outstanding at June 30, 2022 and December 31, 2021, respectively</w:t>
            </w: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(154,973)</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151,436,543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149,027,802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(118,111,574)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(110,126,902)</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33,033,459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38,754,321</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51,394,340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55,807,177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Inc</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Condensed Consolidated Statements of Operations and Comprehensive Income </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Unaudited</w:t>
      </w:r>
      <w:r>
        <w:rPr>
          <w:rFonts w:ascii="Times New Roman" w:cs="Times New Roman" w:eastAsia="Times New Roman" w:hAnsi="Times New Roman"/>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7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2,792,894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1,797,637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5,362,881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3,737,965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6,797,784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7,340,289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12,603,247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13,068,495</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License fee expense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9,615,678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9,162,926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18,016,128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16,856,460</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(9,162,926)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(16,856,460)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note payable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0" w:type="dxa"/>
            <w:vAlign w:val="bottom"/>
          </w:tcPr>
          <w:p>
            <w:pPr>
              <w:spacing w:after="0"/>
              <w:rPr>
                <w:sz w:val="1"/>
                <w:szCs w:val="1"/>
                <w:color w:val="auto"/>
              </w:rPr>
            </w:pP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413,998</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(9,162,751)</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(7,984,672)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(16,486,395)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278,129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(9,171,631)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(8,129,691)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(16,502,116)</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Income (loss) per common share:</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84,682,765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50,436,593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84,682,765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47,485,980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85,369,424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50,436,593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84,682,765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47,485,980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rPr>
              <w:t>Accumulated</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5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7"/>
                <w:szCs w:val="17"/>
                <w:color w:val="auto"/>
              </w:rPr>
            </w:pPr>
          </w:p>
        </w:tc>
        <w:tc>
          <w:tcPr>
            <w:tcW w:w="14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loss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83,944,119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8,394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149,027,802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(154,973)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(110,126,902)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38,754,321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(8,398,670)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(8,398,670)</w:t>
            </w:r>
          </w:p>
        </w:tc>
        <w:tc>
          <w:tcPr>
            <w:tcW w:w="0" w:type="dxa"/>
            <w:vAlign w:val="bottom"/>
          </w:tcPr>
          <w:p>
            <w:pPr>
              <w:spacing w:after="0"/>
              <w:rPr>
                <w:sz w:val="1"/>
                <w:szCs w:val="1"/>
                <w:color w:val="auto"/>
              </w:rPr>
            </w:pPr>
          </w:p>
        </w:tc>
      </w:tr>
      <w:tr>
        <w:trPr>
          <w:trHeight w:val="175"/>
        </w:trPr>
        <w:tc>
          <w:tcPr>
            <w:tcW w:w="2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83,944,119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8,394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149,560,211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(164,123)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(118,525,572)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30,878,910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537,521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Issuance of common stock, net of</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751,040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1,218,675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1,218,750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issuance costs</w:t>
            </w:r>
          </w:p>
        </w:tc>
        <w:tc>
          <w:tcPr>
            <w:tcW w:w="12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125,699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413,998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(135,869)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(135,869)</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84,820,858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8,482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151,436,543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(299,992)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(118,111,574)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33,033,459</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4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7"/>
          </w:tcPr>
          <w:p>
            <w:pPr>
              <w:ind w:left="60"/>
              <w:spacing w:after="0"/>
              <w:rPr>
                <w:sz w:val="20"/>
                <w:szCs w:val="20"/>
                <w:color w:val="auto"/>
              </w:rPr>
            </w:pPr>
            <w:r>
              <w:rPr>
                <w:rFonts w:ascii="Arial" w:cs="Arial" w:eastAsia="Arial" w:hAnsi="Arial"/>
                <w:sz w:val="18"/>
                <w:szCs w:val="18"/>
                <w:b w:val="1"/>
                <w:bCs w:val="1"/>
                <w:color w:val="auto"/>
              </w:rPr>
              <w:t>Six Months Ended June 30, 2021</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41,596,253</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4,159</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70,366,293</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(91,388)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(71,430,797)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net of</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5,664,069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11,323,573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11,324,140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12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Issuance of common stock from the</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50,395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126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(7,323,644)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(7,323,644)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(6,841)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47,312,822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4,731</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82,106,172</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(98,229)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(78,754,441)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3,258,233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Issuance of common stock, net of</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10,096,701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13,250,914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13,251,924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12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(9,162,751)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(8,880)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(8,880)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57,409,523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95,762,564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(107,109)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(87,917,192)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7,744,004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(7,984,672)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(16,486,395)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13,023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771,389</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Non-cash operating lease cost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(45,270)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extinguishment of notes payable and accrued interest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(992,334)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(2,495,256)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(3,427,756)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(137,777)</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(61,237)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(805,291)</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3,211,123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1,012,785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grant funding</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(1,791,598)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(1,564,553)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(20,791,986)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(20,168,469)</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issuance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24,576,064</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50,400</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1,338,899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24,626,464</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4,442,274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51,674,087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4,669,467</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32,070,612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9,111,741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Forgiveness of Paycheck Protection Program note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0" w:type="dxa"/>
            <w:vAlign w:val="bottom"/>
          </w:tcPr>
          <w:p>
            <w:pPr>
              <w:spacing w:after="0"/>
              <w:rPr>
                <w:sz w:val="1"/>
                <w:szCs w:val="1"/>
                <w:color w:val="auto"/>
              </w:rPr>
            </w:pPr>
          </w:p>
        </w:tc>
      </w:tr>
      <w:tr>
        <w:trPr>
          <w:trHeight w:val="239"/>
        </w:trPr>
        <w:tc>
          <w:tcPr>
            <w:tcW w:w="8220" w:type="dxa"/>
            <w:vAlign w:val="bottom"/>
          </w:tcPr>
          <w:p>
            <w:pPr>
              <w:ind w:left="260"/>
              <w:spacing w:after="0"/>
              <w:rPr>
                <w:sz w:val="20"/>
                <w:szCs w:val="20"/>
                <w:color w:val="auto"/>
              </w:rPr>
            </w:pPr>
            <w:r>
              <w:rPr>
                <w:rFonts w:ascii="Arial" w:cs="Arial" w:eastAsia="Arial" w:hAnsi="Arial"/>
                <w:sz w:val="18"/>
                <w:szCs w:val="18"/>
                <w:color w:val="auto"/>
              </w:rPr>
              <w:t>Operating right-of-use assets obtained in exchange for new operating lease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1,043,590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308,533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6"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Daré Bioscience, Inc. is a biopharmaceutical company committed to advancing innovative products for women’s health. Daré Bioscience, Inc. and its wholly owned subsidiaries operate one segment. In this report, the “Company” refers collectively to Daré Bioscience, Inc. and its wholly owned subsidiaries, unless otherwise stated or the context otherwise requires.</w:t>
      </w:r>
    </w:p>
    <w:p>
      <w:pPr>
        <w:spacing w:after="0" w:line="10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began assembling its diverse portfolio in 2017 through acquisitions, exclusive in-licenses and other collaborations. The Company's programs target unmet needs in women's health in the areas of contraception, fertility, and vaginal and sexual health, and aim to expand treatment options, enhance outcomes and improve ease of use for women.</w:t>
      </w:r>
    </w:p>
    <w:p>
      <w:pPr>
        <w:spacing w:after="0" w:line="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Company’s primary operations have consisted of, and are expected to continue to consist primarily of, research and development activities to advance its product candidates through clinical development and regulatory approval.</w:t>
      </w:r>
    </w:p>
    <w:p>
      <w:pPr>
        <w:spacing w:after="0" w:line="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Company's portfolio includes one FDA-approved product, drug and drug/device product candidates and potential product candidates in various stages of development.</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FDA-approved product, XACIATO™ (clindamycin phosphate) vaginal gel, 2%, was approved by the FDA in December 2021, as a single-dose prescription medication for the treatment of bacterial vaginosis in female patients 12 years of age and older. In March 2022, the Company entered into a license agreement with an affiliate of Organon &amp; Co., Organon International GmbH, or Organon, to commercialize XACIATO. That agreement became effective on June 30, 2022, and in July 2022, the Company received the $10.0 million non-refundable and non-creditable payment due upon the effectiveness of the agreement. XACIATO is expected to be available commercially in the United States in the fourth quarter of 2022.</w:t>
      </w:r>
    </w:p>
    <w:p>
      <w:pPr>
        <w:spacing w:after="0" w:line="29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2021, or the 2021 10-K.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prepared its consolidated financial statements on a going concern basis, which assumes that the Company will realize its assets and satisfy its liabilities in the normal course of business. While the Company reported net income of approximately $0.4 million for the quarter ended June 30, 2022 as a result of the one-time payment due upon the effectiveness of the license agreement entered into with Organon to commercialize XACIATO, it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to potentially acquire, license and develop additional product candidates. These circumstances raise substantial doubt about the Company's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2022, the Company had an accumulated deficit of approximately $ 118.1 million, cash and cash equivalents of approximately $32.1 million, a deferred grant funding liability of $8.8 million (representing grant funds received that may be applied solely for the development of DARE-LARC1 and which are included in cash and cash equivalents), and working capital of approximately $33.6 million. For the six months ended June 30, 2022, the Company incurred a net loss of approximately $8.0 million and had negative cash flow from operations of approximately $20.8 million.</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expects its primary uses of capital to be staff-related expenses, the cost of clinical trials and regulatory activities related to its product candidates, costs associated with contract manufacturing services and third-party clinical research and development services, payments due to third-parties under the Company's in-license and acquisition agreements including upon the occurrence of commercial milestones for XACIATO and development milestones for the Company’s product candidates, legal expenses, other regulatory expenses and general overhead costs. The Company’s future funding requirements could also include significant costs related to commercialization of its product candidates, if approved, depending on the type, nature and terms of commercial collaborations the Company establishes.</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devoted significant resources to building its portfolio of product candidates and to research and development activities related to these product candidates. The Company or its licensees must obtain regulatory approvals to market and sell any of its product candidates in the future and to market and sell XACIATO anywhere outside the U.S. The Company will need to generate sufficient safety and efficacy data on each of its product candidates in order to apply for regulatory approvals and for such assets to be attractive assets to potential strategic collaborators to license or to acquire, and for the Company to generate revenue through license fees, royalties on net revenues and commercial milestones related to such product candidates.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Based on the Company's current operating plan estimates, the Company does not have sufficient cash to satisfy its working capital needs and other liquidity requirements over at least the next 12 months from the date of issuance of the accompanying financial statements. The Company will need to raise substantial additional capital to continue to fund its operations and to execute its current strategy. The Company may continue to seek to raise capital through the sale of shares of its common stock under its at-the-market, or ATM, sales agreement or through other types of equity transactions. However, when the Company can effect such sales and the amount of shares the Company can sell depends on a variety of factors including, among others, market conditions, the trading price of its common stock, its determination as to the appropriate sources of funding for its operations, and the number of authorized shares of common stock that are available for issuance. For the foreseeable future, the Company will evaluate and may pursue a variety of capital raising options on an on-going basis, including equity and debt financings, government or other grant funding, collaborations and strategic alliances or other similar types of arrangements, to cover its operating expenses, and the cost of any license or other acquisition of new product candidates or technologies. The amount and timing of the Company's capital needs have been, and will continue to be, highly dependent on many factors, including the product development programs the Company chooses to pursue, the pace and results of its clinical development efforts, and the nature and extent of the potential expansion of its product candidate portfolio, if any. If the Company raises capital through collaborations, strategic alliances or other similar types of arrangements, it may have to relinquish, on terms that are not favorable to the Company, rights to some of its technologies or product candidates the Company would otherwise seek to develop or commercialize.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1" w:name="page12"/>
    <w:bookmarkEnd w:id="11"/>
    <w:p>
      <w:pPr>
        <w:jc w:val="both"/>
        <w:ind w:firstLine="648"/>
        <w:spacing w:after="0" w:line="254" w:lineRule="auto"/>
        <w:rPr>
          <w:sz w:val="20"/>
          <w:szCs w:val="20"/>
          <w:color w:val="auto"/>
        </w:rPr>
      </w:pPr>
      <w:r>
        <w:rPr>
          <w:rFonts w:ascii="Arial" w:cs="Arial" w:eastAsia="Arial" w:hAnsi="Arial"/>
          <w:sz w:val="18"/>
          <w:szCs w:val="18"/>
          <w:color w:val="auto"/>
        </w:rPr>
        <w:t>There can be no assurance that capital will be available when needed or that, if available, it will be obtained on terms favorable to the Company and its stockholders. In addition, equity or debt financings may have a dilutive effect on the holdings of the Company's existing stockholders, and debt financings may subject the Company to restrictive covenants, operational restrictions and security interests in its assets.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Company's condensed consolidated financial statements do not include any adjustments that might result from the outcome of this uncertainty.</w:t>
      </w:r>
    </w:p>
    <w:p>
      <w:pPr>
        <w:spacing w:after="0" w:line="1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significant accounting policies are described in Note 2 to the consolidated financial statements included in the 2021 10-K. Since the date of those consolidated financial statements, there have been no material changes to the Company’s significant accounting policies.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6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62" w:lineRule="exact"/>
        <w:rPr>
          <w:rFonts w:ascii="Arial" w:cs="Arial" w:eastAsia="Arial" w:hAnsi="Arial"/>
          <w:sz w:val="18"/>
          <w:szCs w:val="18"/>
          <w:color w:val="auto"/>
        </w:rPr>
      </w:pPr>
    </w:p>
    <w:p>
      <w:pPr>
        <w:ind w:left="980" w:right="20" w:hanging="324"/>
        <w:spacing w:after="0" w:line="28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191C1F"/>
        </w:rPr>
        <w:t>following tables present the classification within the fair value hierarchy of financial assets and liabilities that are remeasured on</w:t>
      </w:r>
      <w:r>
        <w:rPr>
          <w:rFonts w:ascii="Arial" w:cs="Arial" w:eastAsia="Arial" w:hAnsi="Arial"/>
          <w:sz w:val="18"/>
          <w:szCs w:val="18"/>
          <w:color w:val="auto"/>
        </w:rPr>
        <w:t xml:space="preserve"> </w:t>
      </w:r>
      <w:r>
        <w:rPr>
          <w:rFonts w:ascii="Arial" w:cs="Arial" w:eastAsia="Arial" w:hAnsi="Arial"/>
          <w:sz w:val="18"/>
          <w:szCs w:val="18"/>
          <w:color w:val="191C1F"/>
        </w:rPr>
        <w:t>a recurring basis as of June 30, 2022 and December 31, 2021. There were no financial assets or liabilities that were remeasured using a quoted price in active markets for identical assets (Level 2) or using unobservable inputs (Level 3) as of June 30, 2022 or December 31, 2021.</w:t>
      </w:r>
    </w:p>
    <w:p>
      <w:pPr>
        <w:spacing w:after="0" w:line="226"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3432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89" w:lineRule="exact"/>
        <w:rPr>
          <w:sz w:val="20"/>
          <w:szCs w:val="20"/>
          <w:color w:val="auto"/>
        </w:rPr>
      </w:pPr>
    </w:p>
    <w:p>
      <w:pPr>
        <w:ind w:left="5420"/>
        <w:spacing w:after="0"/>
        <w:tabs>
          <w:tab w:leader="none" w:pos="6760" w:val="left"/>
          <w:tab w:leader="none" w:pos="8080" w:val="left"/>
          <w:tab w:leader="none" w:pos="952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Level 3</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23495</wp:posOffset>
            </wp:positionV>
            <wp:extent cx="554609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6090" cy="171450"/>
                    </a:xfrm>
                    <a:prstGeom prst="rect">
                      <a:avLst/>
                    </a:prstGeom>
                    <a:noFill/>
                  </pic:spPr>
                </pic:pic>
              </a:graphicData>
            </a:graphic>
          </wp:anchor>
        </w:drawing>
      </w:r>
    </w:p>
    <w:p>
      <w:pPr>
        <w:spacing w:after="0" w:line="5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Balance at June 30, 2022</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17780</wp:posOffset>
            </wp:positionV>
            <wp:extent cx="554609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6090" cy="171450"/>
                    </a:xfrm>
                    <a:prstGeom prst="rect">
                      <a:avLst/>
                    </a:prstGeom>
                    <a:noFill/>
                  </pic:spPr>
                </pic:pic>
              </a:graphicData>
            </a:graphic>
          </wp:anchor>
        </w:drawing>
      </w:r>
    </w:p>
    <w:p>
      <w:pPr>
        <w:spacing w:after="0" w:line="16" w:lineRule="exact"/>
        <w:rPr>
          <w:sz w:val="20"/>
          <w:szCs w:val="20"/>
          <w:color w:val="auto"/>
        </w:rPr>
      </w:pPr>
    </w:p>
    <w:p>
      <w:pPr>
        <w:ind w:left="1800"/>
        <w:spacing w:after="0"/>
        <w:tabs>
          <w:tab w:leader="none" w:pos="5040" w:val="left"/>
          <w:tab w:leader="none" w:pos="6480" w:val="left"/>
          <w:tab w:leader="none" w:pos="7280" w:val="left"/>
          <w:tab w:leader="none" w:pos="7780" w:val="left"/>
          <w:tab w:leader="none" w:pos="8600" w:val="left"/>
          <w:tab w:leader="none" w:pos="9100" w:val="left"/>
        </w:tabs>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u w:val="single" w:color="auto"/>
          <w:color w:val="auto"/>
        </w:rPr>
        <w:t>$ 30,901,701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$ 30,901,701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6985</wp:posOffset>
            </wp:positionV>
            <wp:extent cx="33432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1"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6350</wp:posOffset>
            </wp:positionV>
            <wp:extent cx="554609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46090" cy="171450"/>
                    </a:xfrm>
                    <a:prstGeom prst="rect">
                      <a:avLst/>
                    </a:prstGeom>
                    <a:noFill/>
                  </pic:spPr>
                </pic:pic>
              </a:graphicData>
            </a:graphic>
          </wp:anchor>
        </w:drawing>
      </w:r>
    </w:p>
    <w:p>
      <w:pPr>
        <w:spacing w:after="0" w:line="2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Current assets:</w:t>
      </w:r>
    </w:p>
    <w:p>
      <w:pPr>
        <w:spacing w:after="0" w:line="36" w:lineRule="exact"/>
        <w:rPr>
          <w:sz w:val="20"/>
          <w:szCs w:val="20"/>
          <w:color w:val="auto"/>
        </w:rPr>
      </w:pPr>
    </w:p>
    <w:p>
      <w:pPr>
        <w:ind w:left="1800"/>
        <w:spacing w:after="0"/>
        <w:tabs>
          <w:tab w:leader="none" w:pos="5040" w:val="left"/>
          <w:tab w:leader="none" w:pos="6480" w:val="left"/>
          <w:tab w:leader="none" w:pos="7280" w:val="left"/>
          <w:tab w:leader="none" w:pos="7780" w:val="left"/>
          <w:tab w:leader="none" w:pos="8600" w:val="left"/>
          <w:tab w:leader="none" w:pos="9100" w:val="left"/>
        </w:tabs>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u w:val="single" w:color="auto"/>
          <w:color w:val="auto"/>
        </w:rPr>
        <w:t>$ 49,666,064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$ 49,666,064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-18415</wp:posOffset>
            </wp:positionV>
            <wp:extent cx="334327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43275" cy="34290"/>
                    </a:xfrm>
                    <a:prstGeom prst="rect">
                      <a:avLst/>
                    </a:prstGeom>
                    <a:noFill/>
                  </pic:spPr>
                </pic:pic>
              </a:graphicData>
            </a:graphic>
          </wp:anchor>
        </w:drawing>
      </w:r>
    </w:p>
    <w:p>
      <w:pPr>
        <w:spacing w:after="0" w:line="247" w:lineRule="exact"/>
        <w:rPr>
          <w:sz w:val="20"/>
          <w:szCs w:val="20"/>
          <w:color w:val="auto"/>
        </w:rPr>
      </w:pPr>
    </w:p>
    <w:p>
      <w:pPr>
        <w:ind w:left="1980" w:hanging="179"/>
        <w:spacing w:after="0"/>
        <w:tabs>
          <w:tab w:leader="none" w:pos="19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Represents cash held in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 performance obligations. The Company then recognizes as revenue the amount of the transaction price allocated to the respective performance obligation when (or as) the performance obligation is satisfied.</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i w:val="1"/>
          <w:iCs w:val="1"/>
          <w:color w:val="auto"/>
        </w:rPr>
        <w:t>Collaboration Revenues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enters into collaboration and licensing agreements under which it out-licenses certain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to its products or product candidates to third parties. The terms of these arrangements typically include payment of one or more of the following to the Company: non-refundable, up-front license fees; development, regulatory and/or commercial milestone payments; and royalties on net sales of licensed products. To date, the Company has not recognized any collaboration revenues.</w:t>
      </w:r>
    </w:p>
    <w:p>
      <w:pPr>
        <w:spacing w:after="0" w:line="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a contract, the Company recognizes revenues from non-refundable, upfront fees allocated to the license when the license is transferred to the customer and the customer is able to use and benefit from the license. For licenses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recognized $10.0 million in license fee revenue, all of which represents the payment due upon the effectiveness of its license agreement for XACIATO.</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w:t>
      </w:r>
    </w:p>
    <w:p>
      <w:pPr>
        <w:spacing w:after="0" w:line="1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Product Supply. </w:t>
      </w:r>
      <w:r>
        <w:rPr>
          <w:rFonts w:ascii="Arial" w:cs="Arial" w:eastAsia="Arial" w:hAnsi="Arial"/>
          <w:sz w:val="18"/>
          <w:szCs w:val="18"/>
          <w:color w:val="auto"/>
        </w:rPr>
        <w:t>Arrangements that include a promise for future supply of product for commercial supply at the licensee’s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are generally considered as options. The Company assesses if these options provide a material right to the licensee and if so, they are accounted for as separate performance obligations. The Company evaluates whether it is the principal or agent in the arrangement. The evaluation is based on the degree the Company controls the specified product at any time before transfer to the customer. Revenues are recognized on a gross basis if the Company is in the capacity of principal and on a net basis if the Company is in the capacity of an agent. To date, the Company has not recognized any revenue associated with product supply arrangements.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3" w:name="page14"/>
    <w:bookmarkEnd w:id="13"/>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Milestones. </w:t>
      </w:r>
      <w:r>
        <w:rPr>
          <w:rFonts w:ascii="Arial" w:cs="Arial" w:eastAsia="Arial" w:hAnsi="Arial"/>
          <w:sz w:val="18"/>
          <w:szCs w:val="18"/>
          <w:color w:val="auto"/>
        </w:rPr>
        <w:t>At the inception of each arrangement in which the Company is a licensor and that includes developmental, regulatory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 the Company evaluates whether achieving the milestones is considered probable and estimates the amount to be included in the transaction price using the most likely amount method. If it is probable that a significant revenue reversal would not occur, the associated milestone value is included in the transaction price. Milestone payments not within the Company's control, such as where achievement of the specified milestone depends on activities of a third party or regulatory approval, are not considered probable of being achieved until the specified milestone occurs. To date, the Company has not recognized any milestone revenue.</w:t>
      </w:r>
    </w:p>
    <w:p>
      <w:pPr>
        <w:spacing w:after="0" w:line="290"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STRATEGIC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Agreements for Product Commercialization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Organon Exclusive License Agreement</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March 2022, the Company entered into an exclusive license agreement with Organon pursuant to which Organon will obtain exclusive worldwide rights to develop, manufacture and commercialize XACIATO and other future intravaginal or urological products for human use formulated with clindamycin that rely on intellectual property controlled by the Company. The agreement became effective on June 30, 2022 following the satisfaction of closing conditions.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Organon license agreement:</w:t>
      </w:r>
    </w:p>
    <w:p>
      <w:pPr>
        <w:spacing w:after="0" w:line="198"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i w:val="1"/>
          <w:iCs w:val="1"/>
          <w:color w:val="auto"/>
        </w:rPr>
        <w:t>Upfront Payment</w:t>
      </w:r>
      <w:r>
        <w:rPr>
          <w:rFonts w:ascii="Arial" w:cs="Arial" w:eastAsia="Arial" w:hAnsi="Arial"/>
          <w:sz w:val="18"/>
          <w:szCs w:val="18"/>
          <w:color w:val="auto"/>
        </w:rPr>
        <w:t>. Upon the effectiveness of the agreement, the Company recorded $10.0 million as license fee revenue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condensed consolidated statement of operations. The $10.0 million was received in July 2022.</w:t>
      </w:r>
    </w:p>
    <w:p>
      <w:pPr>
        <w:spacing w:after="0" w:line="1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i w:val="1"/>
          <w:iCs w:val="1"/>
          <w:color w:val="auto"/>
        </w:rPr>
        <w:t xml:space="preserve">Royalty and Milestone Payments. </w:t>
      </w:r>
      <w:r>
        <w:rPr>
          <w:rFonts w:ascii="Arial" w:cs="Arial" w:eastAsia="Arial" w:hAnsi="Arial"/>
          <w:sz w:val="18"/>
          <w:szCs w:val="18"/>
          <w:color w:val="auto"/>
        </w:rPr>
        <w:t>The Company will be entitled to receive tiered double-digit royalties based on net sales and up to</w:t>
      </w:r>
      <w:r>
        <w:rPr>
          <w:rFonts w:ascii="Arial" w:cs="Arial" w:eastAsia="Arial" w:hAnsi="Arial"/>
          <w:sz w:val="18"/>
          <w:szCs w:val="18"/>
          <w:i w:val="1"/>
          <w:iCs w:val="1"/>
          <w:color w:val="auto"/>
        </w:rPr>
        <w:t xml:space="preserve"> </w:t>
      </w:r>
      <w:r>
        <w:rPr>
          <w:rFonts w:ascii="Arial" w:cs="Arial" w:eastAsia="Arial" w:hAnsi="Arial"/>
          <w:sz w:val="18"/>
          <w:szCs w:val="18"/>
          <w:color w:val="auto"/>
        </w:rPr>
        <w:t>$182.5 million in milestone payments as follows: $2.5 million following the first commercial sale of a licensed product in the United States; and up to $180.0 million in tiered commercial sales milestones and regulatory milestones. Royalty payments will be subject to customary reductions and offsets.</w:t>
      </w:r>
    </w:p>
    <w:p>
      <w:pPr>
        <w:spacing w:after="0" w:line="1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royalty period for each licensed product will continue on a country-by-country basis from the first commercial sale of the licensed product in the country until the expiration of the later of (i) the date that no valid patent claim would be infringed in the absence of the license granted under the agreement by the sale of the licensed product in the country, (ii) 10 years after the end of the month in which the first commercial sale of the licensed product in the country occurred, and (iii) the expiration of regulatory market exclusivity for the licensed product in that country.</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concluded at inception of the agreement that the transaction price should not include the variable consideration related to unachieved regulatory milestones. This consideration was determined to be constrained as it is probable that the inclusion of such variable consideration could result in a significant reversal in cumulative revenue. 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The Company re-evaluates the transaction price at each reporting period as uncertain events are resolved and other changes in circumstances occur. For the three and six months ended June 30, 2022, no adjustments were made to the transaction price.</w:t>
      </w:r>
    </w:p>
    <w:p>
      <w:pPr>
        <w:spacing w:after="0" w:line="142"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7"/>
          <w:szCs w:val="17"/>
          <w:i w:val="1"/>
          <w:iCs w:val="1"/>
          <w:color w:val="auto"/>
        </w:rPr>
        <w:t xml:space="preserve">Regulatory Interactions and Product Supply. </w:t>
      </w:r>
      <w:r>
        <w:rPr>
          <w:rFonts w:ascii="Arial" w:cs="Arial" w:eastAsia="Arial" w:hAnsi="Arial"/>
          <w:sz w:val="17"/>
          <w:szCs w:val="17"/>
          <w:color w:val="auto"/>
        </w:rPr>
        <w:t>The Company will be responsible for regulatory interactions and for providing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supply on an interim basis until Organon assumes such responsibilities. Until such time, Organon will purchase all of its product requirements of XACIATO from the Company at a transfer price equal to the Company's manufacturing costs plus a single-digit percentage markup.</w:t>
      </w:r>
    </w:p>
    <w:p>
      <w:pPr>
        <w:spacing w:after="0" w:line="1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terminated earlier, the agreement will expire on a product-by-product and country-by-country basis upon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royalty period for each licensed product. In addition to customary termination rights for both parties, following the first anniversary of the effective date of the agreement, Organon may terminate the agreement in its entirety or on a country-by-country basis at any time in Organon's sole discretion on 120 days' advance written notice.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jc w:val="both"/>
        <w:ind w:firstLine="648"/>
        <w:spacing w:after="0" w:line="287"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The terms of the agreement provide Organon exclusive worldwide rights of first negotiation for specified potential future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of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Bayer HealthCare License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Bayer, in its sole discretion, has the right to make the license effective by paying the Company an additional $20.0 million, referred to as the Clinical Trial and Manufacturing Activities Fee. Such license would be exclusive with regard to the commercialization of Ovaprene for human contraception in the U.S. and co-exclusive with the Company with regard to development.</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June 30, 2022, neither of the foregoing had occurred. The $1.0 million payment is recorded as long-term deferred license revenue in the Company's condensed consolidated balance sheet at June 30, 2022 and December 31, 2021.</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Bayer license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Milestone &amp; Royalty Payments</w:t>
      </w:r>
      <w:r>
        <w:rPr>
          <w:rFonts w:ascii="Arial" w:cs="Arial" w:eastAsia="Arial" w:hAnsi="Arial"/>
          <w:sz w:val="18"/>
          <w:szCs w:val="18"/>
          <w:color w:val="auto"/>
        </w:rPr>
        <w:t>. The Company will be entitled to receive (a) a milestone payment in the low double-digit millions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commercial sale of Ovaprene in the U.S. and escalating milestone payments based on annual net sales of Ovaprene during a calendar year, totaling up to $310.0 million if all such milestones, including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is responsible for the pivotal trial for Ovaprene and for its development and regulatory activities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supply obligations. After payment of the Clinical Trial and Manufacturing Activities Fee, Bayer will be responsible for the commercialization of Ovaprene for human contraception in the U.S.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initial term of the agreement, which is subject to automatic renewal terms, continues until the later of (a) the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valid claim covering the 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Clinical Trial and Manufacturing Activities Fee if and when due.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Agreements for Pipeline Development</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Hammock/MilanaPharm Assignment and License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Each of the Assignment Agreement and License Amendment was amended in December 2019, and the License Agreement was further amended in September 2021 and March 2022.</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The following is a summary of other terms of the License Amendment, as amended: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A total of $235,000 in license fees were payable to MilanaPharm, the final installment of which was $110,000 paid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paid MilanaPharm $300,000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 $50,000 of which was paid in 2020 and $ 250,000 of which was paid in 2021. The Company may also pay MilanaPharm up to $500,000 upon the first commercial sale in the United States of the first licensed product for each vaginal use and urological use, and up to $250,000 upon the first commercial sale in the United States of successive licensed products for vaginal or urological use. In addition, upon achievement of $50.0 million in cumulative worldwide net sales of licensed products, the Company must pay $1.0 million to MilanaPharm.</w:t>
      </w:r>
    </w:p>
    <w:p>
      <w:pPr>
        <w:spacing w:after="0" w:line="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in connection with any sublicense granted to a third party for use outside of the United States, subject to certain exclusions.</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During the royalty term, the Company will pay MilanaPharm high single-digit to low double-digit royalties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required for the Company to exercise the licenses granted to it under the MilanaPharm License Agreement or that are strategically important or could add value to a licensed product or process in a manner expected to materially generate or increase sales.</w:t>
      </w:r>
    </w:p>
    <w:p>
      <w:pPr>
        <w:spacing w:after="0" w:line="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and resources to (1) develop and commercialize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license term continues until (1) on a licensed product-by-product (or process-by-process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Assignment Agreement, as amended:</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A total of $512,500 in fees were payable to Hammock, the final installment of which was $137,500 paid in 2020.</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will pay Hammock up to $1.1 million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 $100,000 of which was paid in 2020 and $750,000 of which was paid in 2021. The remaining milestone does not relate to a bacterial vaginosis product.</w:t>
      </w:r>
    </w:p>
    <w:p>
      <w:pPr>
        <w:spacing w:after="0" w:line="6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Assignment Agreement will terminate upon the later of (1) completion of the parties' technology transfer plan, and (2)</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to Hammock of the last of the milestone payments.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ADVA-Tec License Agreement</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 and must meet certain minimum spending amounts per year, including $2.5 million per year to cover such activities until a final premarket approval application, or PMA, is filed, or until the first commercial sale of Ovaprene, whichever occurs first. ADVA-Tec will conduct certain research and development work as necessary to allow the Company to seek a PMA from the FDA and will provide the Company with clinical trial and commercial supplies of Ovaprene, either directly or through a CMO, on commercially reasonable terms.</w:t>
      </w:r>
    </w:p>
    <w:p>
      <w:pPr>
        <w:spacing w:after="0" w:line="1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Under the license agreement, in addition to an exclusive license to ADVA-Tec's and its affiliates' intellectual property rights for all uses of Ovaprene as a human contraceptive device, the Company has a right of first refusal to license these patents and patent applications for additional indications.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ADVA-Tec license agreement:</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ADVA-Tec: (1) up to $14.6 million in the aggregate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development and regulatory milestones, $200,000 of which was paid in 2021; and (2) up to $20.0 million in the aggregate based on the achievement of certain worldwide net sales milestones. The remaining development and regulatory milestones include: the FDA's approval to commence a pivotal clinical trial; successful completion of such 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 If the Company sublicenses its rights to Ovaprene, the Company will pay to ADVA-Tec a single digit percentage of the upfront payment or license fee due on or around the effective date of the sublicense.</w:t>
      </w:r>
    </w:p>
    <w:p>
      <w:pPr>
        <w:spacing w:after="0" w:line="14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The Company will pay to ADVA-Tec tiered royalties of between 1% and 10% based on percentages of annual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Ovaprene by the Company in specified regions. If the Company sublicenses its rights to Ovaprene, in lieu of the foregoing royalties, the Company will pay to ADVA-Tec a low mid-double digit percentage of the royalty revenue the Company receives from the sublicensee.</w:t>
      </w:r>
    </w:p>
    <w:p>
      <w:pPr>
        <w:spacing w:after="0" w:line="1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license the Company received under the agreement continues on a country-by-country basis</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later of the life of the licensed patents or the Company's last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the Company and ADVA-Tec agree,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the Company’s reasonable control.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color w:val="auto"/>
        </w:rPr>
        <w:t>SST License and Collaboration Agreement</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the treatment of female sexual 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SST license and collaboration agreement:</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The Company retains rights to inventions made by its employees, SST retains rights to inventions made by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party owns a 50% undivided interest in all joint inventions.</w:t>
      </w:r>
    </w:p>
    <w:p>
      <w:pPr>
        <w:spacing w:after="0" w:line="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i w:val="1"/>
          <w:iCs w:val="1"/>
          <w:color w:val="auto"/>
        </w:rPr>
        <w:t xml:space="preserve">Joint Development Committee. </w:t>
      </w:r>
      <w:r>
        <w:rPr>
          <w:rFonts w:ascii="Arial" w:cs="Arial" w:eastAsia="Arial" w:hAnsi="Arial"/>
          <w:sz w:val="18"/>
          <w:szCs w:val="18"/>
          <w:color w:val="auto"/>
        </w:rPr>
        <w:t>The parties will collaborate through a joint development committee that will determine the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for, and generally oversee, the development efforts of both parties under the agreement.</w:t>
      </w:r>
    </w:p>
    <w:p>
      <w:pPr>
        <w:spacing w:after="0" w:line="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must use commercially reasonable efforts to develop the Licensed Products in the Field of Use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development 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SST will be eligible to receive tiered royalties based on percentages of annual net sales of Licensed Products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the single digits to the low double digits. If the Company sublicenses Licensed Products, SST will be eligible to receive the greater of a low mid-double digit percentage of the sublicense revenue the Company receives from the sublicensee or tiered royalties based on percentages of annual net sales of Licensed Products by the sublicensee in the single digits. In each case, the royalties are subject to customary reductions and offsets.</w:t>
      </w:r>
    </w:p>
    <w:p>
      <w:pPr>
        <w:spacing w:after="0" w:line="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$0.5 million to $ 18.0 million in the aggregate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 between $10.0 million to $100.0 million in the aggregate upon achieving certain commercial sales milestones. If the Company has entered into strategic development or distribution partnerships related to the Licensed Products at the time certain milestones are achieved, additional milestone payments (1) ranging from $2.0 million to $10.0 million upon achieving certain clinical and regulatory milestones, and (2) ranging from $10.0 million to $125.0 million upon achieving certain commercial sales milestones would be due to SST.</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Company’s license continues on a country-by-country basis until the later of 10 years from the date of the first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such Licensed Product or the expiration of the last valid claim of patent rights covering the Licensed Product in the Field of Use. Upon expiration (but not termination) of the agreement in a particular country, the Company will have a fully paid-up license under the licensed intellectual property to develop and commercialize the applicable Licensed Products in the applicable country on a non-exclusive basis.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In addition to customary termination rights for both parties: (1) prior to receipt of approval by a regulatory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commercialization of a Licensed Product in the corresponding jurisdiction, including NDA approval, the Company may terminate the agreement without cause upon 90 days prior written notice; (2) following receipt of approval by a regulatory authority necessary for commercialization of a Licensed Product in the corresponding jurisdiction, including NDA approval, the Company may terminate the agreement without cause upon 180 days prior written notice; and (3) SST may terminate the agreement with respect to the applicable Licensed Product(s) in the applicable country(ies) upon 30 days’ notice if the Company fails to use commercially reasonable efforts to perform development activities in substantial accordance with the development plan and do not cure such failure within 60 days of receipt of SST's notice thereof.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color w:val="auto"/>
        </w:rPr>
        <w:t>Catalent JNP License Agreement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Catalent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i w:val="1"/>
          <w:iCs w:val="1"/>
          <w:color w:val="auto"/>
        </w:rPr>
        <w:t xml:space="preserve">Annual Maintenance Fee. </w:t>
      </w:r>
      <w:r>
        <w:rPr>
          <w:rFonts w:ascii="Arial" w:cs="Arial" w:eastAsia="Arial" w:hAnsi="Arial"/>
          <w:sz w:val="18"/>
          <w:szCs w:val="18"/>
          <w:color w:val="auto"/>
        </w:rPr>
        <w:t>The Company will pay an annual license maintenance fee to Catalent on each anniversary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the amount of which will be $50,000 for the first two years and $100,000 thereafter, and which will be creditable against royalties and other payments due to Catalent in the same calendar year but may not be carried forward to any other year. The Company made the first payments in April 2019.</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potential future development and sales milestone payments of (1) up to $13.5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aggregate upon achieving certain clinical and regulatory milestones, $1.0 million of which became payable in the third quarter of 2021, and in accordance with the license agreement, the amount payable was offset by the $100,000 annual maintenance fee, resulting in a net amount of $900,000 paid during the third quarter of 2021, and (2) up to $30.3 million in the aggregate upon achieving certain commercial sales milestones for each product or process covered by the licenses granted under the agreement.</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Catalent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to develop and make at least one product or process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public, which efforts include achieving specific diligence requirements by specific dates specified in the agreement.</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term of the agreement will continue on a country-by-country basis until the later of (1)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date of the last valid 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the Company’s uncured breach of any payment obligation under the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the Company’s other obligations under the agreement. The Company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the Company terminates the agreement, Catalent will have full access including the right to use and reference all product data generated during the term of the agreement that is owned by the Company.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color w:val="auto"/>
        </w:rPr>
        <w:t>Adare Development and Option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2018, the Company entered into an exclusive development and option agreement with Adare Pharma Solutions (formerly known as Adare Pharmaceuticals and Orbis Biosciences, and which the Company refers to as Adare), for the development of two long-acting injectable etonogestrel contraceptives with 6- and 12-month durations (now referred to as ADARE-204 and ADARE-214, respectively). The agreement provides the Company with an option to negotiate an exclusive license agreement for the programs if the Company funds the conduct of specified development work by Adare.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MBI Acquisition</w:t>
      </w:r>
    </w:p>
    <w:p>
      <w:pPr>
        <w:spacing w:after="0" w:line="198"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In November 2019, the Company acquired Dare MB Inc. (formerly, Microchips Biotech, Inc.), or MBI, to secure the rights to develop a long-acting reversible contraception method that a woman can turn on or off herself, according to her own needs. This candidate is now known as DARE-LARC1.</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closing of the acquisition, the Company issued an aggregate of approximately 3.0 million shares of its common stock to the holders of shares of MBI's capital stock outstanding immediately prior to the effective time of the merger. The transaction was valued at $2.4 million, based on the fair value of the approximately 3.0 million shares issued at $0.79 per share, which was the closing price per share of the Company's common stock on the date of closing. The shares were issued in exchange for MBI’s cash and cash equivalents of $6.1 million, less net liabilities of $3.5 million and transaction costs of $202,000, which was allocated based on the relative fair value of the assets acquired and the liabilities assumed.</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also agreed to pay the following additional consideration to the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the Company in the merger; (c) tiered royalty payments ranging from low single-digit to low double-digit percentages of the proceeds from annual net sales of such products received by the Company (but not by sublicensees), subject to customary provisions permitting royalty reductions and offset; and (d) a percentage of sublicense revenue related to such products. The Company agreed to use commercially reasonable efforts to achieve specified development and regulatory objectives relating to DARE-LARC1. In June 2021, a total of $1.25 million of that additional contingent consideration became payable upon the achievement of certain of the funding and product development milestone events, $1.0 million of which was recorded as contingent consideration on the Company's consolidated balance sheets upon the completion of the MBI acquisition and $250,000 of which was expensed in 2021. In July 2021, the Company’s board of directors elected to make these milestone payments in shares of the Company’s common stock, to the extent permissible under the terms of the merger agreement with MBI, and, in September 2021, the Company issued approximately 700,000 shares of its common stock to former stockholders of MBI and paid $75,000 in cash to the stockholders’ representative in accordance with the terms of the merger agreement in satisfaction of the $1.25 million in milestone payments associated with milestones achieved in June 2021. See Note 7.</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Pear Tree Acquisition</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May 2018, the Company completed its acquisition of Pear Tree Pharmaceuticals, Inc., or Pear Tree. The Company acquired Pear Tree to secure the rights to develop a proprietary vaginal formulation of tamoxifen, now known as DARE-VVA1, as a potential treatment for vulvar and vaginal atrophy.</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must make contingent payments to certain Pear Tree licensors and former stockholders of Pear</w:t>
      </w:r>
      <w:r>
        <w:rPr>
          <w:rFonts w:ascii="Arial" w:cs="Arial" w:eastAsia="Arial" w:hAnsi="Arial"/>
          <w:sz w:val="18"/>
          <w:szCs w:val="18"/>
          <w:i w:val="1"/>
          <w:iCs w:val="1"/>
          <w:color w:val="auto"/>
        </w:rPr>
        <w:t xml:space="preserve"> </w:t>
      </w:r>
      <w:r>
        <w:rPr>
          <w:rFonts w:ascii="Arial" w:cs="Arial" w:eastAsia="Arial" w:hAnsi="Arial"/>
          <w:sz w:val="18"/>
          <w:szCs w:val="18"/>
          <w:color w:val="auto"/>
        </w:rPr>
        <w:t>Tree that become payable upon achievement of specified clinical, regulatory and commercial milestones, which may be paid, in the Company’s sole discretion, in cash or shares of the Company’s common stock.</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Subject to royalty reductions and offsets, the former stockholders of Pear Tree and certain Pear Tree licensors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eligible to receive tiered royalties based on percentages of net sales of certain products by the Company and a percentage of royalties the Company receives based on net sales of certain products by sublicensees.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2021 ATM Sales Agreement</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2021, the Company entered into a sales agreement with SVB Securities LLC (formerly known as SVB Leerink LLC) to sell shares of its common stock from time to time through an "at-the-market," or ATM, equity offering program under which SVB Leerink acts as the Company's agent. The Company agreed to pay a commission equal to 3% of the gross proceeds of any common stock sold under the agreement, plus certain legal expenses.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October 13, 2021 relating to the offering of up to $50.0 million in shares of the Company's common stock under this sales agreement, and any subsequent prospectus supplement filed with the SEC related to this ATM equity offering program.</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During the six months ended June 30, 2022, the Company sold approximately 0.8 million shares of common stock under this agreement for gross proceeds of approximately $1.3 million and incurred offering expenses of approximately $42,000.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2021 ATM Sales Agreement</w:t>
      </w:r>
    </w:p>
    <w:p>
      <w:pPr>
        <w:spacing w:after="0" w:line="1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April 2021, the Company entered into a sales agreement with SVB Securities LLC to sell shares of its common stock from time to time through an ATM, equity offering program under which SVB Securities acts as the Company's agent. Under the sales agreement, the Company may issue and sell up to $50.0 million of shares of its common stock. The Company agreed to pay a commission equal to 3% of the gross proceeds of any common stock sold under the agreement, plus certain legal expenses. Any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April 7, 2021 filed with the SEC on April 8, 2021.</w:t>
      </w:r>
    </w:p>
    <w:p>
      <w:pPr>
        <w:spacing w:after="0" w:line="1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During the six months ended June 30, 2022, the Company sold no shares under this agreement. During the six months ended June 30, 2021, the Company sold approximately 7.7 million shares of common stock under this agreement for gross proceeds of approximately $10.7 million and incurred offering expenses of approximately $363,000.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ATM Sales Agreement</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January 2018 the Company entered into a common stock sales agreement with H.C. Wainwright &amp; Co., LLC, or Wainwright, relating to the offering and sale of shares of its common stock from time to time in an ATM equity offering program through Wainwright, acting as sales agent. Under the agreement, Wainwright was entitled to a commission at a fixed commission rate equal to 3.0% of the gross proceeds per share sold under the agreement. In March 2021, the Company provided notice to Wainwright to terminate the agreement, and the agreement terminated in April 2021. During the six months ended June 30, 2021, the Company sold approximately 3.3 million shares of common stock under this agreement for gross proceeds of approximately $7.7 million and incurred offering expenses of approximately $245,000.</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April 2020, the Company entered into a purchase agreement, or the Purchase Agreement, and a registration rights agreement with Lincoln Park Capital Fund, LLC, or Lincoln Park. Under the terms and subject to the conditions of the Purchase Agreement, the Company had the right, but not the obligation, to sell to Lincoln Park, and Lincoln Park was obligated to purchase up to $15.0 million of the Company’s common stock. The Company incurred legal, accounting, and other fees related to the Purchase Agreement of approximately $374,000. These costs were amortized and expensed as shares were sold under the Purchase Agreement. As of December 31, 2021, the Company had sold and Lincoln Park had purchased $15.0 million of the Company's common stock under the Purchase Agreement, there were no unamortized costs, and no more shares of common stock may be sold by the Company to Lincoln Park under the Purchase Agreement. During the six months ended June 30, 2021, the Company sold, and Lincoln Park purchased, 4.8 million shares under the Purchase Agreement for gross proceeds to the Company of approximately $7.0 million and recognized offering expenses of approximately $207,000.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February 2018, the Company closed an underwritten public offering in connection with which the Company issued to the investors in that offering warrants exercisable through February 2023 and that initially had an exercise price of $3.00 per share. 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$ 3.0 million which was recorded in equity as of the grant date. The Company early adopted ASU 2017-11 as of January 1, 2018 and recorded the fair value of the warrants as equity.</w:t>
      </w:r>
    </w:p>
    <w:p>
      <w:pPr>
        <w:spacing w:after="0" w:line="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April 2019 and July 2020, in accordance with the price-based anti-dilution provision discussed above, the exercise price of these warrants was automatically reduced to $0.98 per share and to $0.96 per share, respectively, and as a result of the triggering of the anti-dilution provision, $0.8 million and $6,863, respectively, was recorded to additional paid-in capital.</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During the six months ended June 30, 2022, no warrants were exercised. During the six months ended June 30, 2021, warrants to purchase 52,500 shares of common stock were exercised for gross proceeds of $50,400. As of June 30, 2022, the Company had the following warrants outstanding:</w:t>
      </w:r>
    </w:p>
    <w:p>
      <w:pPr>
        <w:spacing w:after="0" w:line="14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vMerge w:val="restart"/>
          </w:tcPr>
          <w:p>
            <w:pPr>
              <w:spacing w:after="0"/>
              <w:rPr>
                <w:sz w:val="14"/>
                <w:szCs w:val="14"/>
                <w:color w:val="auto"/>
              </w:rPr>
            </w:pP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85"/>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4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CCEEFF"/>
            </w:tcBorders>
            <w:vMerge w:val="continue"/>
          </w:tcPr>
          <w:p>
            <w:pPr>
              <w:spacing w:after="0"/>
              <w:rPr>
                <w:sz w:val="16"/>
                <w:szCs w:val="16"/>
                <w:color w:val="auto"/>
              </w:rPr>
            </w:pPr>
          </w:p>
        </w:tc>
        <w:tc>
          <w:tcPr>
            <w:tcW w:w="2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6,500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21"/>
                <w:szCs w:val="21"/>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04/04/2026</w:t>
            </w:r>
          </w:p>
        </w:tc>
        <w:tc>
          <w:tcPr>
            <w:tcW w:w="0" w:type="dxa"/>
            <w:vAlign w:val="bottom"/>
          </w:tcPr>
          <w:p>
            <w:pPr>
              <w:spacing w:after="0"/>
              <w:rPr>
                <w:sz w:val="1"/>
                <w:szCs w:val="1"/>
                <w:color w:val="auto"/>
              </w:rPr>
            </w:pPr>
          </w:p>
        </w:tc>
      </w:tr>
      <w:tr>
        <w:trPr>
          <w:trHeight w:val="270"/>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1,374,515</w:t>
            </w:r>
          </w:p>
        </w:tc>
        <w:tc>
          <w:tcPr>
            <w:tcW w:w="94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tcPr>
          <w:p>
            <w:pPr>
              <w:jc w:val="right"/>
              <w:ind w:right="816"/>
              <w:spacing w:after="0"/>
              <w:rPr>
                <w:sz w:val="20"/>
                <w:szCs w:val="20"/>
                <w:color w:val="auto"/>
              </w:rPr>
            </w:pPr>
            <w:r>
              <w:rPr>
                <w:rFonts w:ascii="Arial" w:cs="Arial" w:eastAsia="Arial" w:hAnsi="Arial"/>
                <w:sz w:val="18"/>
                <w:szCs w:val="18"/>
                <w:color w:val="auto"/>
              </w:rPr>
              <w:t>0.96</w:t>
            </w:r>
          </w:p>
        </w:tc>
        <w:tc>
          <w:tcPr>
            <w:tcW w:w="420" w:type="dxa"/>
            <w:vAlign w:val="bottom"/>
            <w:tcBorders>
              <w:bottom w:val="single" w:sz="8" w:color="CCEEFF"/>
            </w:tcBorders>
          </w:tcPr>
          <w:p>
            <w:pPr>
              <w:spacing w:after="0"/>
              <w:rPr>
                <w:sz w:val="23"/>
                <w:szCs w:val="23"/>
                <w:color w:val="auto"/>
              </w:rPr>
            </w:pPr>
          </w:p>
        </w:tc>
        <w:tc>
          <w:tcPr>
            <w:tcW w:w="28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02/15/2023</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1,381,015</w:t>
            </w: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2014 Employee Stock Purchase Plan, or the ESPP, became effective in April 2014, but no offering period has been initiated thereunder since January 2017. There was no stock-based compensation related to the ESPP for the six months ended June 30, 2022 or June 30,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Amended and Restated 2014 Stock Incentive Plan, or the Amended 2014 Plan, provided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increased annually on the first day of each fiscal year by the least of (i) 2,000,000, (ii) 4% of the number of outstanding shares of common stock on such date, or (iii) an amount determined by the Company’s board of directors. On January 1, 2022, the number of authorized shares increased by 2,000,000 to 2,201,855. On June 23, 2022, the Amended 2014 Plan was superseded by the 2022 Plan (as defined below), and no further awards will be granted under the Amended 2014 Plan. Awards outstanding under the Amended 2014 Plan will continue to remain outstanding pursuant to their terms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Stock Incentive Plan</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April 11, 2022, the Company's board of directors approved the Daré Bioscience, Inc. 2022 Stock Incentive Plan, or the 2022 Plan, which was subsequently approved by the Company's stockholders on June 23, 2022, and became effective as of that date. The 2022 Plan provides for the grant of stock-based incentive awards to employees, consultants, advisors, and directors.</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number of shares of common stock authorized for issuance under the 2022 Plan is (a) 10,117,305; plus (b) up to 6,144,682 shares subject to awards granted under the Amended 2014 Plan or the 2007 Stock Incentive Plan that expire, terminate or are otherwise forfeited on or after June 23,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summarizes stock option activity under the Company's stock incentive plans and related information for the six months ended June 30, 2022. The exercise price of all options granted during the six months ended June 30, 2022 was equal to the market value of the Company’s common stock on the date of grant. As of June 30, 2022, unamortized stock-based compensation expense of approximately $5.0 million will be amortized over a weighted average period of 2.68 years. At June 30, 2022, 9,776,225 shares of common stock were available for future awards granted under the 2022 Plan.</w:t>
      </w:r>
    </w:p>
    <w:p>
      <w:pPr>
        <w:spacing w:after="0" w:line="388"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20" w:type="dxa"/>
            <w:vAlign w:val="bottom"/>
          </w:tcPr>
          <w:p>
            <w:pPr>
              <w:jc w:val="right"/>
              <w:ind w:right="17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65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Exercise Price</w:t>
            </w: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4,717,602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2,125,692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1.54</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0.96</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Canceled/forfeited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(300,062)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Outstanding at June 30, 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6,417,533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1.62</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24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3,007,697</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5"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condensed consolidated statements of operations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342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1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38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7"/>
                <w:szCs w:val="17"/>
                <w:color w:val="auto"/>
              </w:rPr>
            </w:pPr>
          </w:p>
        </w:tc>
      </w:tr>
      <w:tr>
        <w:trPr>
          <w:trHeight w:val="251"/>
        </w:trPr>
        <w:tc>
          <w:tcPr>
            <w:tcW w:w="1000" w:type="dxa"/>
            <w:vAlign w:val="bottom"/>
          </w:tcPr>
          <w:p>
            <w:pPr>
              <w:spacing w:after="0"/>
              <w:rPr>
                <w:sz w:val="21"/>
                <w:szCs w:val="21"/>
                <w:color w:val="auto"/>
              </w:rPr>
            </w:pP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w w:val="98"/>
              </w:rPr>
              <w:t>171,938</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129,397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346,552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245,022</w:t>
            </w:r>
          </w:p>
        </w:tc>
        <w:tc>
          <w:tcPr>
            <w:tcW w:w="1000" w:type="dxa"/>
            <w:vAlign w:val="bottom"/>
          </w:tcPr>
          <w:p>
            <w:pPr>
              <w:spacing w:after="0"/>
              <w:rPr>
                <w:sz w:val="21"/>
                <w:szCs w:val="21"/>
                <w:color w:val="auto"/>
              </w:rPr>
            </w:pPr>
          </w:p>
        </w:tc>
      </w:tr>
      <w:tr>
        <w:trPr>
          <w:trHeight w:val="270"/>
        </w:trPr>
        <w:tc>
          <w:tcPr>
            <w:tcW w:w="1000" w:type="dxa"/>
            <w:vAlign w:val="bottom"/>
          </w:tcPr>
          <w:p>
            <w:pPr>
              <w:spacing w:after="0"/>
              <w:rPr>
                <w:sz w:val="23"/>
                <w:szCs w:val="23"/>
                <w:color w:val="auto"/>
              </w:rPr>
            </w:pPr>
          </w:p>
        </w:tc>
        <w:tc>
          <w:tcPr>
            <w:tcW w:w="38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38"/>
              <w:spacing w:after="0"/>
              <w:rPr>
                <w:sz w:val="20"/>
                <w:szCs w:val="20"/>
                <w:color w:val="auto"/>
              </w:rPr>
            </w:pPr>
            <w:r>
              <w:rPr>
                <w:rFonts w:ascii="Arial" w:cs="Arial" w:eastAsia="Arial" w:hAnsi="Arial"/>
                <w:sz w:val="18"/>
                <w:szCs w:val="18"/>
                <w:color w:val="auto"/>
                <w:w w:val="98"/>
              </w:rPr>
              <w:t>365,583</w:t>
            </w:r>
          </w:p>
        </w:tc>
        <w:tc>
          <w:tcPr>
            <w:tcW w:w="1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276,081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723,378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526,367</w:t>
            </w:r>
          </w:p>
        </w:tc>
        <w:tc>
          <w:tcPr>
            <w:tcW w:w="1000" w:type="dxa"/>
            <w:vAlign w:val="bottom"/>
          </w:tcPr>
          <w:p>
            <w:pPr>
              <w:spacing w:after="0"/>
              <w:rPr>
                <w:sz w:val="23"/>
                <w:szCs w:val="23"/>
                <w:color w:val="auto"/>
              </w:rPr>
            </w:pPr>
          </w:p>
        </w:tc>
      </w:tr>
      <w:tr>
        <w:trPr>
          <w:trHeight w:val="248"/>
        </w:trPr>
        <w:tc>
          <w:tcPr>
            <w:tcW w:w="1000" w:type="dxa"/>
            <w:vAlign w:val="bottom"/>
          </w:tcPr>
          <w:p>
            <w:pPr>
              <w:spacing w:after="0"/>
              <w:rPr>
                <w:sz w:val="21"/>
                <w:szCs w:val="21"/>
                <w:color w:val="auto"/>
              </w:rPr>
            </w:pPr>
          </w:p>
        </w:tc>
        <w:tc>
          <w:tcPr>
            <w:tcW w:w="38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38"/>
              <w:spacing w:after="0"/>
              <w:rPr>
                <w:sz w:val="20"/>
                <w:szCs w:val="20"/>
                <w:color w:val="auto"/>
              </w:rPr>
            </w:pPr>
            <w:r>
              <w:rPr>
                <w:rFonts w:ascii="Arial" w:cs="Arial" w:eastAsia="Arial" w:hAnsi="Arial"/>
                <w:sz w:val="18"/>
                <w:szCs w:val="18"/>
                <w:color w:val="auto"/>
                <w:w w:val="98"/>
              </w:rPr>
              <w:t>537,521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405,478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1,069,930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771,389</w:t>
            </w:r>
          </w:p>
        </w:tc>
        <w:tc>
          <w:tcPr>
            <w:tcW w:w="1000" w:type="dxa"/>
            <w:vAlign w:val="bottom"/>
          </w:tcPr>
          <w:p>
            <w:pPr>
              <w:spacing w:after="0"/>
              <w:rPr>
                <w:sz w:val="21"/>
                <w:szCs w:val="21"/>
                <w:color w:val="auto"/>
              </w:rPr>
            </w:pPr>
          </w:p>
        </w:tc>
      </w:tr>
      <w:tr>
        <w:trPr>
          <w:trHeight w:val="20"/>
        </w:trPr>
        <w:tc>
          <w:tcPr>
            <w:tcW w:w="1000" w:type="dxa"/>
            <w:vAlign w:val="bottom"/>
          </w:tcPr>
          <w:p>
            <w:pPr>
              <w:spacing w:after="0" w:line="20" w:lineRule="exact"/>
              <w:rPr>
                <w:sz w:val="1"/>
                <w:szCs w:val="1"/>
                <w:color w:val="auto"/>
              </w:rPr>
            </w:pPr>
          </w:p>
        </w:tc>
        <w:tc>
          <w:tcPr>
            <w:tcW w:w="38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42"/>
        </w:trPr>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1"/>
        </w:trPr>
        <w:tc>
          <w:tcPr>
            <w:tcW w:w="100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3" w:name="page24"/>
    <w:bookmarkEnd w:id="23"/>
    <w:p>
      <w:pPr>
        <w:ind w:right="160" w:firstLine="648"/>
        <w:spacing w:after="0" w:line="287"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three and six months ended June 30, 2022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r>
      <w:tr>
        <w:trPr>
          <w:trHeight w:val="144"/>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rPr>
              <w:t>Ended</w:t>
            </w: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Ended</w:t>
            </w:r>
          </w:p>
        </w:tc>
      </w:tr>
      <w:tr>
        <w:trPr>
          <w:trHeight w:val="189"/>
        </w:trPr>
        <w:tc>
          <w:tcPr>
            <w:tcW w:w="6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2022</w:t>
            </w:r>
          </w:p>
        </w:tc>
      </w:tr>
      <w:tr>
        <w:trPr>
          <w:trHeight w:val="25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Expected life in years</w:t>
            </w:r>
          </w:p>
        </w:tc>
        <w:tc>
          <w:tcPr>
            <w:tcW w:w="1220" w:type="dxa"/>
            <w:vAlign w:val="bottom"/>
          </w:tcPr>
          <w:p>
            <w:pPr>
              <w:jc w:val="center"/>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5.94</w:t>
            </w:r>
          </w:p>
        </w:tc>
      </w:tr>
      <w:tr>
        <w:trPr>
          <w:trHeight w:val="270"/>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3.11%</w:t>
            </w:r>
          </w:p>
        </w:tc>
        <w:tc>
          <w:tcPr>
            <w:tcW w:w="120" w:type="dxa"/>
            <w:vAlign w:val="bottom"/>
            <w:shd w:val="clear" w:color="auto" w:fill="CFF0FC"/>
          </w:tcPr>
          <w:p>
            <w:pPr>
              <w:spacing w:after="0"/>
              <w:rPr>
                <w:sz w:val="23"/>
                <w:szCs w:val="23"/>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1.90%</w:t>
            </w:r>
          </w:p>
        </w:tc>
      </w:tr>
      <w:tr>
        <w:trPr>
          <w:trHeight w:val="27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120%</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121%</w:t>
            </w:r>
          </w:p>
        </w:tc>
      </w:tr>
      <w:tr>
        <w:trPr>
          <w:trHeight w:val="270"/>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 rate</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0.0%</w:t>
            </w:r>
          </w:p>
        </w:tc>
        <w:tc>
          <w:tcPr>
            <w:tcW w:w="120" w:type="dxa"/>
            <w:vAlign w:val="bottom"/>
            <w:shd w:val="clear" w:color="auto" w:fill="CFF0FC"/>
          </w:tcPr>
          <w:p>
            <w:pPr>
              <w:spacing w:after="0"/>
              <w:rPr>
                <w:sz w:val="23"/>
                <w:szCs w:val="23"/>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0.0%</w:t>
            </w:r>
          </w:p>
        </w:tc>
      </w:tr>
      <w:tr>
        <w:trPr>
          <w:trHeight w:val="27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0.0%</w:t>
            </w:r>
          </w:p>
        </w:tc>
        <w:tc>
          <w:tcPr>
            <w:tcW w:w="1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0.0%</w:t>
            </w:r>
          </w:p>
        </w:tc>
      </w:tr>
      <w:tr>
        <w:trPr>
          <w:trHeight w:val="270"/>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fair value of options granted</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$1.11</w:t>
            </w:r>
          </w:p>
        </w:tc>
        <w:tc>
          <w:tcPr>
            <w:tcW w:w="120" w:type="dxa"/>
            <w:vAlign w:val="bottom"/>
            <w:shd w:val="clear" w:color="auto" w:fill="CFF0FC"/>
          </w:tcPr>
          <w:p>
            <w:pPr>
              <w:spacing w:after="0"/>
              <w:rPr>
                <w:sz w:val="23"/>
                <w:szCs w:val="23"/>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$1.33</w:t>
            </w:r>
          </w:p>
        </w:tc>
      </w:tr>
    </w:tbl>
    <w:p>
      <w:pPr>
        <w:spacing w:after="0" w:line="251"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LEASED PROPERTIES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lease for its corporate headquarters (3,169 square feet of office space) commenced on July 1, 2018. In February 2022, the Company entered into an amendment to extend the term of the lease for two years such that the term now expires on August 31, 2024.</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MBI, a wholly owned subsidiary the Company acquired in November 2019, leases general office space in Lexington, Massachusetts. The lease for that space commenced on July 1, 2013. In February 2022, the Company entered into an amendment to extend the term of the lease for three years such that the term now expires on December 31, 2025, subject to the landlord's right to terminate the lease on December 31, 2023. MBI previously leased warehouse space in Billerica, Massachusetts, under a lease that commenced on October 1, 2016 and terminated on March 31, 2022.</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color w:val="191C1F"/>
        </w:rPr>
        <w:t>the terms of each lease, the lessee pays base annual rent (subject to an annual fixed percentage increase), plus property</w:t>
      </w:r>
      <w:r>
        <w:rPr>
          <w:rFonts w:ascii="Arial" w:cs="Arial" w:eastAsia="Arial" w:hAnsi="Arial"/>
          <w:sz w:val="18"/>
          <w:szCs w:val="18"/>
          <w:color w:val="auto"/>
        </w:rPr>
        <w:t xml:space="preserve"> </w:t>
      </w:r>
      <w:r>
        <w:rPr>
          <w:rFonts w:ascii="Arial" w:cs="Arial" w:eastAsia="Arial" w:hAnsi="Arial"/>
          <w:sz w:val="18"/>
          <w:szCs w:val="18"/>
          <w:color w:val="191C1F"/>
        </w:rPr>
        <w:t xml:space="preserve">taxes, and other normal and necessary expenses, such as utilities, repairs, and maintenance. </w:t>
      </w:r>
      <w:r>
        <w:rPr>
          <w:rFonts w:ascii="Arial" w:cs="Arial" w:eastAsia="Arial" w:hAnsi="Arial"/>
          <w:sz w:val="18"/>
          <w:szCs w:val="18"/>
          <w:color w:val="000000"/>
        </w:rPr>
        <w:t>The Company evaluates renewal options at</w:t>
      </w:r>
      <w:r>
        <w:rPr>
          <w:rFonts w:ascii="Arial" w:cs="Arial" w:eastAsia="Arial" w:hAnsi="Arial"/>
          <w:sz w:val="18"/>
          <w:szCs w:val="18"/>
          <w:color w:val="191C1F"/>
        </w:rPr>
        <w:t xml:space="preserve"> </w:t>
      </w:r>
      <w:r>
        <w:rPr>
          <w:rFonts w:ascii="Arial" w:cs="Arial" w:eastAsia="Arial" w:hAnsi="Arial"/>
          <w:sz w:val="18"/>
          <w:szCs w:val="18"/>
          <w:color w:val="000000"/>
        </w:rPr>
        <w:t>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of 7% for operating leases that commenced prior to January 2019 (and all of the Company's operating leases commenced prior to such date). The depreciable lives of operating leases and leasehold improvements are limited by the expected lease term.</w:t>
      </w:r>
    </w:p>
    <w:p>
      <w:pPr>
        <w:spacing w:after="0" w:line="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At June 30, 2022, the Company reported operating lease ROU assets of approximately $1.1 million in other non-current assets, and approximately $324,000 and $824,000, respectively, in current portion of lease liabilities and lease liabilities long-term on the condensed consolidated balance sheet.</w:t>
      </w:r>
    </w:p>
    <w:p>
      <w:pPr>
        <w:spacing w:after="0" w:line="6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Total operating lease costs were approximately $150,000 and $151,000 for the three months ended June 30, 2022 and June 30, 2021, respectively, and $340,000 and $286,000 for the six months ended June 30, 2022 and June 30, 2021, respectively. Operating lease costs consist of monthly lease payments expense, common area maintenance and other repair and maintenance costs and are included in general and administrative expenses in the condensed consolidated statements of operations.</w:t>
      </w:r>
    </w:p>
    <w:p>
      <w:pPr>
        <w:spacing w:after="0" w:line="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Cash paid for amounts included in the measurement of operating lease liabilities was approximately $80,000 and $ 114,000 for the three months ended June 30, 2022 and June 30, 2021, respectively, and $203,000 and $226,000 for the six months ended June 30, 2022 and June 30, 2021, respectively. These amounts are included in operating activities in the condensed consolidated statements of cash flows. At June 30, 2022, operating leases had a weighted average remaining lease term of 2.88 years.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As of June 30, 2022, future minimum lease payments under the Company's operating leases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1020" w:type="dxa"/>
        <w:tblCellMar>
          <w:top w:w="0" w:type="dxa"/>
          <w:left w:w="0" w:type="dxa"/>
          <w:bottom w:w="0" w:type="dxa"/>
          <w:right w:w="0" w:type="dxa"/>
        </w:tblCellMar>
      </w:tblPr>
      <w:tr>
        <w:trPr>
          <w:trHeight w:val="257"/>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185,000</w:t>
            </w:r>
          </w:p>
        </w:tc>
      </w:tr>
      <w:tr>
        <w:trPr>
          <w:trHeight w:val="257"/>
        </w:trPr>
        <w:tc>
          <w:tcPr>
            <w:tcW w:w="7900" w:type="dxa"/>
            <w:vAlign w:val="bottom"/>
          </w:tcPr>
          <w:p>
            <w:pPr>
              <w:ind w:left="2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422,000</w:t>
            </w:r>
          </w:p>
        </w:tc>
      </w:tr>
      <w:tr>
        <w:trPr>
          <w:trHeight w:val="257"/>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384,000</w:t>
            </w:r>
          </w:p>
        </w:tc>
      </w:tr>
      <w:tr>
        <w:trPr>
          <w:trHeight w:val="256"/>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2025</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297,000</w:t>
            </w:r>
          </w:p>
        </w:tc>
      </w:tr>
      <w:tr>
        <w:trPr>
          <w:trHeight w:val="237"/>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future minimum lease payments</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1,288,000</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color w:val="auto"/>
              </w:rPr>
              <w:t>Less: accreted interest</w:t>
            </w:r>
          </w:p>
        </w:tc>
        <w:tc>
          <w:tcPr>
            <w:tcW w:w="2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140,000</w:t>
            </w:r>
          </w:p>
        </w:tc>
      </w:tr>
      <w:tr>
        <w:trPr>
          <w:trHeight w:val="255"/>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1,148,000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COMMITMENTS AND CONTINGENCIES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CRADA with NICHD for the Pivotal Phase 3 Study of Ovaprene</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 contractor Health Decisions Inc., a contract research organization, providing clinical coordination and data collection and management services for the Ovaprene Phase 3. The Company and NICHD will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to NICHD to be applied toward the costs of conducting the Ovaprene Phase 3. NICHD will be responsible for the other costs related to the conduct of the Ovaprene Phase 3. In accordance with the payment schedule under the CRADA, the Company has paid $5.0 million of the total amount payable to NICHD, $3.5 million of which was paid during the first quarter of 2022. At June 30, 2022, the remaining amount of the Company's payment obligation under the CRADA was $0.5 million, which is due in the second quarter of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in Note 3 above, in connection with the acquisition of MBI, the Company agreed to pay additional consideration of up to $46.5 million to the former stockholders of MBI contingent upon the achievement of specified funding, product development and regulatory milestones. In June 2021, $1.25 million of that additional consideration became payable upon the achievement of certain of the funding and product development milestone events, $1.0 million of which was previously recorded as contingent consideration on the Company's consolidated balance sheets upon the completion of the MBI acquisition and $250,000 of which was expensed in 2021. In July 2021, the Company’s board of directors elected to make these milestone payments in shares of the Company’s common stock, to the extent permissible under the terms of the merger agreement with MBI, and, in September 2021, the Company issued approximately 700,000 shares of its common stock to former stockholders of MBI and paid $75,000 to the stockholders’ representative in accordance with the terms of the merger agreement in satisfaction of the $1.25 million in milestone payments associated with milestones achieved in June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2020, due to the economic uncertainty resulting from the impact of the COVID-19 pandemic on the Company's operations and to support its ongoing operations and retain all employees, the Company applied for and received a loan of $367,285 under the Paycheck Protection Program, or the PPP, of the Coronavirus Aid, Relief, and Economic Security Act, or CARES Act, administered by the U.S. Small Business Administration, or the SBA. Under the terms of the PPP, the loan proceeds could be used for "qualifying expenses" and, subject to specified limitations in the CARES Act and under the terms of the PPP, certain amounts of the loan, including accrued interest, may be forgiven if used for qualifying expenses. In January 2021, the Company was notified that the principal balance of its PPP loan and all accrued interest, which together totaled $369,887, were fully forgiven by the SBA. The Company recorded a gain on extinguishment of note payable and debt forgiveness income with respect to such loan forgiveness in the first quarter of 2021.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NICHD Non-Dilutive Grant Funding</w:t>
      </w:r>
    </w:p>
    <w:p>
      <w:pPr>
        <w:spacing w:after="0" w:line="2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received notices of awards and non-dilutive grant funding from NICHD to support the development of Ovaprene, DARE-PTB1, DARE-LARC1, and ADARE-204/214.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Ovaprene</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From 2018 through 2021, the Company received approximately $ 1.9 million of non-dilutive grant funding from NICHD for clinical development efforts supporting Ovaprene. All funds under the final notice of award had been disbursed as of December 31, 2021.</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DARE-PTB1</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2020, the Company received a notice of award of a grant from NICHD to support the development of DARE-PTB1. The award in the amount of $300,000 was for the "Phase I" segment of the project outlined in the Company's grant application, which is ongoing.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w:t>
      </w:r>
    </w:p>
    <w:p>
      <w:pPr>
        <w:spacing w:after="0" w:line="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recorded credits to research and development expense for costs related to the NICHD award of approximately $2,500 and $19,000 during the three and six months ended June 30, 2022, respectively. At June 30, 2022, the Company recorded a receivable of approximately $21,000 for expenses incurred through such date that it believes are eligible for reimbursement under the grant.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DARE-LARC1</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September 2021, the Company received a notice of award of a grant from NICHD to support the development of DARE-LARC1. The award in the amount of approximately $300,000 is to be used to explore device insertion and removal in non-clinical studies, which is ongoing.</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recorded credits to research and development expense of approximately $28,000 and $193,000 for costs related to the NICHD award during the three and six months ended June 30, 2022, respectively. At June 30, 2022, the Company recorded a receivable of approximately $201,000 for expenses incurred through such date that it believes are eligible for reimbursement under the grant.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ADARE-204 and ADARE-214</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May 2022, the Company received a notice of award of a grant from NICHD of approximately $249,000 to support end-user research to better understand women's preferences for a long-acting injectable contraceptive method. The findings from the research will inform the Company's target product profile and guide its development priorities for ADARE-204 and ADARE-214.</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did not record any credits to research and development expense for costs related to the NICHD award during the three and six months ended June 30, 2022, and did not record a receivable for expenses incurred through such date that it believes is eligible for reimbursement under the grant.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DARE-LARC1 Non-Dilutive Grant Funding</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MBI Grant Agreement</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wholly-owned subsidiary, MBI, was awarded $5.4 million to support the development of DARE-LARC1 under a grant agreement with the Bill &amp; Melinda Gates Foundation, or the Foundation. The funding period under this agreement ended on June 30, 2021. Expenses eligible for funding were incurred, tracked and reported to the Foundation. MBI received aggregate payments under this agreement of approximately $5.4 million. At June 30, 2021, all payments under this agreement associated with research and development expenses for DARE-LARC1 had been incurred and reported to the Foundation.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2021 DARE-LARC1 Grant Agreement</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2021, the Company entered into an agreement with the Foundation, or the 2021 DARE-LARC1 Grant Agreement, under which the Company was awarded up to $48.95 million to support the development of DARE-LARC1. The 2021 DARE-LARC1 Grant Agreement will support technology development and preclinical activities over the period of June 30, 2021 to November 1, 2026, to advance DARE-LARC1 in non-clinical proof of principle studies. Under the 2021 DARE-LARC1 Grant Agreement, the Company receives funding in advance and tracks and reports eligible expenses incurred to the Foundation. Any unspent funds are recorded as a deferred grant funding liability in the Company's condensed consolidated balance sheet.</w:t>
      </w:r>
    </w:p>
    <w:p>
      <w:pPr>
        <w:spacing w:after="0" w:line="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of June 30, 2022, the Company received a total of approximately $11.45 million in non-dilutive funding under the 2021 DARE-LARC1 Grant Agreement and recorded approximately $8.8 million of deferred grant funding liability in the Company's condensed consolidated balance sheet. Additional payments under the 2021 DARE-LARC1 Grant Agreement are contingent upon the DARE-LARC1 program’s achievement of specified development and reporting milestones.</w:t>
      </w:r>
    </w:p>
    <w:p>
      <w:pPr>
        <w:spacing w:after="0" w:line="28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3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Company computes basic net income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Calibri" w:cs="Calibri" w:eastAsia="Calibri" w:hAnsi="Calibri"/>
          <w:sz w:val="19"/>
          <w:szCs w:val="19"/>
          <w:color w:val="auto"/>
        </w:rPr>
        <w:t>.</w:t>
      </w:r>
      <w:r>
        <w:rPr>
          <w:rFonts w:ascii="Arial" w:cs="Arial" w:eastAsia="Arial" w:hAnsi="Arial"/>
          <w:sz w:val="18"/>
          <w:szCs w:val="18"/>
          <w:color w:val="auto"/>
        </w:rPr>
        <w:t xml:space="preserve"> Dilutive securities are excluded from the diluted EPS calculation if their effect is anti-dilutive.</w:t>
      </w:r>
    </w:p>
    <w:p>
      <w:pPr>
        <w:spacing w:after="0" w:line="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following potentially dilutive outstanding securities were excluded from diluted EPS for the period indicated because of their anti-dilutive effect:</w:t>
      </w:r>
    </w:p>
    <w:p>
      <w:pPr>
        <w:spacing w:after="0" w:line="17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Potentially dilutive securities</w:t>
            </w:r>
          </w:p>
        </w:tc>
        <w:tc>
          <w:tcPr>
            <w:tcW w:w="27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2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3800" w:type="dxa"/>
            <w:vAlign w:val="bottom"/>
            <w:gridSpan w:val="2"/>
            <w:vMerge w:val="continue"/>
          </w:tcPr>
          <w:p>
            <w:pPr>
              <w:spacing w:after="0"/>
              <w:rPr>
                <w:sz w:val="16"/>
                <w:szCs w:val="16"/>
                <w:color w:val="auto"/>
              </w:rPr>
            </w:pPr>
          </w:p>
        </w:tc>
        <w:tc>
          <w:tcPr>
            <w:tcW w:w="1680" w:type="dxa"/>
            <w:vAlign w:val="bottom"/>
            <w:gridSpan w:val="3"/>
          </w:tcPr>
          <w:p>
            <w:pPr>
              <w:jc w:val="center"/>
              <w:ind w:left="879"/>
              <w:spacing w:after="0"/>
              <w:rPr>
                <w:sz w:val="20"/>
                <w:szCs w:val="20"/>
                <w:color w:val="auto"/>
              </w:rPr>
            </w:pPr>
            <w:r>
              <w:rPr>
                <w:rFonts w:ascii="Arial" w:cs="Arial" w:eastAsia="Arial" w:hAnsi="Arial"/>
                <w:sz w:val="14"/>
                <w:szCs w:val="14"/>
                <w:b w:val="1"/>
                <w:bCs w:val="1"/>
                <w:color w:val="auto"/>
                <w:w w:val="99"/>
              </w:rPr>
              <w:t>June 30,</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3"/>
          </w:tcPr>
          <w:p>
            <w:pPr>
              <w:jc w:val="center"/>
              <w:ind w:left="879"/>
              <w:spacing w:after="0"/>
              <w:rPr>
                <w:sz w:val="20"/>
                <w:szCs w:val="20"/>
                <w:color w:val="auto"/>
              </w:rPr>
            </w:pPr>
            <w:r>
              <w:rPr>
                <w:rFonts w:ascii="Arial" w:cs="Arial" w:eastAsia="Arial" w:hAnsi="Arial"/>
                <w:sz w:val="14"/>
                <w:szCs w:val="14"/>
                <w:b w:val="1"/>
                <w:bCs w:val="1"/>
                <w:color w:val="auto"/>
                <w:w w:val="99"/>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60" w:type="dxa"/>
            <w:vAlign w:val="bottom"/>
            <w:tcBorders>
              <w:top w:val="single" w:sz="8" w:color="auto"/>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1"/>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6,053,156</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4,656,666</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6,417,533</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4,656,666</w:t>
            </w:r>
          </w:p>
        </w:tc>
        <w:tc>
          <w:tcPr>
            <w:tcW w:w="0" w:type="dxa"/>
            <w:vAlign w:val="bottom"/>
          </w:tcPr>
          <w:p>
            <w:pPr>
              <w:spacing w:after="0"/>
              <w:rPr>
                <w:sz w:val="1"/>
                <w:szCs w:val="1"/>
                <w:color w:val="auto"/>
              </w:rPr>
            </w:pPr>
          </w:p>
        </w:tc>
      </w:tr>
      <w:tr>
        <w:trPr>
          <w:trHeight w:val="270"/>
        </w:trPr>
        <w:tc>
          <w:tcPr>
            <w:tcW w:w="3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Warrants</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1,058,733</w:t>
            </w:r>
          </w:p>
        </w:tc>
        <w:tc>
          <w:tcPr>
            <w:tcW w:w="12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1,856,143</w:t>
            </w:r>
          </w:p>
        </w:tc>
        <w:tc>
          <w:tcPr>
            <w:tcW w:w="140" w:type="dxa"/>
            <w:vAlign w:val="bottom"/>
            <w:tcBorders>
              <w:bottom w:val="single" w:sz="8" w:color="CFF0FC"/>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1,381,015</w:t>
            </w:r>
          </w:p>
        </w:tc>
        <w:tc>
          <w:tcPr>
            <w:tcW w:w="12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1,856,143</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7,111,889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6,512,809</w:t>
            </w:r>
          </w:p>
        </w:tc>
        <w:tc>
          <w:tcPr>
            <w:tcW w:w="1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7,798,548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6,512,809</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SUBSEQUENT EVENTS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Receipt of Payment Under XACIATO License Agreement</w:t>
      </w:r>
    </w:p>
    <w:p>
      <w:pPr>
        <w:spacing w:after="0" w:line="223"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In July 2022, the Company received the $10.0 million payment due under its XACIATO license agreement after it became effective on June 30, 2022 (see Note 3).</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Receipt of Payment Under 2021 DARE-LARC1 Grant Agreement</w:t>
      </w:r>
    </w:p>
    <w:p>
      <w:pPr>
        <w:spacing w:after="0" w:line="2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July 2022, the Company received approximately $7.96 million from the Foundation under the 2021 DARE-LARC1 Grant Agreement (see Note 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Authorized Shares of Common Stock</w:t>
      </w: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its 2022 annual meeting of stockholders held in July 2022, the Company's stockholders approved an increase in the number of the Company's authorized shares of common stock from 120,000,000 to 240,000,000. Following receipt of such stockholder approval, the Company filed a Certificate of Amendment to the Company's Restated Certificate of Incorporation with the State of Delaware to effect such increase in authorized shares.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2021 included in our Annual Report on Form 10-K for the year ended December 31, 2021, or our 2021 10-K, filed with the Securities and Exchange Commission, or SEC, on March 31, 2022. Past operating results are not necessarily indicative of results that may occur in future periods.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2021 10-K, and in our subsequent filings with the SEC, including any discussed in Part II, Item 1A of this report under the heading “Risk Factors,” which are incorporated herein by reference.</w:t>
      </w:r>
    </w:p>
    <w:p>
      <w:pPr>
        <w:spacing w:after="0" w:line="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and XACIATO™ is a trademark of Daré Bioscience, Inc. with registration pending.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fertility and vaginal and sexual health.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 owned subsidiaries operate in one business segment.</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first product, XACIATO [zah-she-AH-toe] (clindamycin phosphate) vaginal gel, 2%, was approved by the FDA in December 2021, as a single-dose prescription medication for the treatment of bacterial vaginosis in female patients 12 years of age and older. In March 2022, we entered into an exclusive global license agreement with an affiliate of Organon &amp; Co., Organon International GmbH, or Organon, to commercialize XACIATO. XACIATO is expected to be available commercially in the United States in the fourth quarter of 2022.</w:t>
      </w:r>
    </w:p>
    <w:p>
      <w:pPr>
        <w:spacing w:after="0" w:line="1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pipeline includes diverse programs that target unmet needs in women's health in the areas of contraception, fertility and vaginal and sexual health and aim to expand treatment options, enhance outcomes and improve ease of use for women. We are primarily focused on progressing the development of our existing product candidates. We are also exploring opportunities to expand our portfolio by leveraging assets to which we hold rights or obtaining rights to new assets, with continued focus solely on women's health. Our current portfolio includes two product candidates in advanced clinical development:</w:t>
      </w:r>
    </w:p>
    <w:p>
      <w:pPr>
        <w:spacing w:after="0" w:line="152"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contraceptive; and</w:t>
      </w:r>
    </w:p>
    <w:p>
      <w:pPr>
        <w:spacing w:after="0" w:line="117" w:lineRule="exact"/>
        <w:rPr>
          <w:rFonts w:ascii="Arial" w:cs="Arial" w:eastAsia="Arial" w:hAnsi="Arial"/>
          <w:sz w:val="18"/>
          <w:szCs w:val="18"/>
          <w:b w:val="1"/>
          <w:bCs w:val="1"/>
          <w:color w:val="auto"/>
        </w:rPr>
      </w:pPr>
    </w:p>
    <w:p>
      <w:pPr>
        <w:ind w:left="1300" w:right="20" w:hanging="320"/>
        <w:spacing w:after="0" w:line="28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 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 or FSAD.</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also includes four product candidates in Phase 1 clinical development or that we believe are Phase 1-ready:</w:t>
      </w:r>
    </w:p>
    <w:p>
      <w:pPr>
        <w:spacing w:after="0" w:line="185" w:lineRule="exact"/>
        <w:rPr>
          <w:sz w:val="20"/>
          <w:szCs w:val="20"/>
          <w:color w:val="auto"/>
        </w:rPr>
      </w:pPr>
    </w:p>
    <w:p>
      <w:pPr>
        <w:ind w:left="1300" w:right="20" w:hanging="320"/>
        <w:spacing w:after="0" w:line="287" w:lineRule="auto"/>
        <w:tabs>
          <w:tab w:leader="none" w:pos="129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 a combination bio-identical estradiol and progesterone intravaginal ring, or IVR,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menopausal symptoms, including vasomotor symptoms, as part of hormone therapy following menopause;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9" w:name="page30"/>
    <w:bookmarkEnd w:id="29"/>
    <w:p>
      <w:pPr>
        <w:ind w:left="1300" w:hanging="320"/>
        <w:spacing w:after="0" w:line="287" w:lineRule="auto"/>
        <w:tabs>
          <w:tab w:leader="none" w:pos="129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 a vaginally delivered formulation of tamoxifen to treat vulvar vaginal atrophy as an option for women with</w:t>
      </w:r>
      <w:r>
        <w:rPr>
          <w:rFonts w:ascii="Arial" w:cs="Arial" w:eastAsia="Arial" w:hAnsi="Arial"/>
          <w:sz w:val="18"/>
          <w:szCs w:val="18"/>
          <w:b w:val="1"/>
          <w:bCs w:val="1"/>
          <w:color w:val="auto"/>
        </w:rPr>
        <w:t xml:space="preserve"> </w:t>
      </w:r>
      <w:r>
        <w:rPr>
          <w:rFonts w:ascii="Arial" w:cs="Arial" w:eastAsia="Arial" w:hAnsi="Arial"/>
          <w:sz w:val="18"/>
          <w:szCs w:val="18"/>
          <w:color w:val="auto"/>
        </w:rPr>
        <w:t>hormone-receptor positive breast cancer;</w:t>
      </w:r>
    </w:p>
    <w:p>
      <w:pPr>
        <w:spacing w:after="0" w:line="125" w:lineRule="exact"/>
        <w:rPr>
          <w:rFonts w:ascii="Arial" w:cs="Arial" w:eastAsia="Arial" w:hAnsi="Arial"/>
          <w:sz w:val="18"/>
          <w:szCs w:val="18"/>
          <w:b w:val="1"/>
          <w:bCs w:val="1"/>
          <w:color w:val="auto"/>
        </w:rPr>
      </w:pPr>
    </w:p>
    <w:p>
      <w:pPr>
        <w:ind w:left="1300" w:right="20" w:hanging="320"/>
        <w:spacing w:after="0" w:line="287" w:lineRule="auto"/>
        <w:tabs>
          <w:tab w:leader="none" w:pos="129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 an intravaginal ring containing bio-identical progesterone for broader luteal phase support as part of an 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fertilization treatment plan; and</w:t>
      </w:r>
    </w:p>
    <w:p>
      <w:pPr>
        <w:spacing w:after="0" w:line="112" w:lineRule="exact"/>
        <w:rPr>
          <w:rFonts w:ascii="Arial" w:cs="Arial" w:eastAsia="Arial" w:hAnsi="Arial"/>
          <w:sz w:val="18"/>
          <w:szCs w:val="18"/>
          <w:b w:val="1"/>
          <w:bCs w:val="1"/>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DARE-PTB1</w:t>
      </w:r>
      <w:r>
        <w:rPr>
          <w:rFonts w:ascii="Arial" w:cs="Arial" w:eastAsia="Arial" w:hAnsi="Arial"/>
          <w:sz w:val="18"/>
          <w:szCs w:val="18"/>
          <w:color w:val="auto"/>
        </w:rPr>
        <w:t>, an intravaginal ring containing bio-identical progesterone for the prevention of preterm birth.</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portfolio includes these pre-clinical stage potential product candidates:</w:t>
      </w:r>
    </w:p>
    <w:p>
      <w:pPr>
        <w:spacing w:after="0" w:line="239" w:lineRule="exact"/>
        <w:rPr>
          <w:sz w:val="20"/>
          <w:szCs w:val="20"/>
          <w:color w:val="auto"/>
        </w:rPr>
      </w:pPr>
    </w:p>
    <w:p>
      <w:pPr>
        <w:ind w:left="1300" w:right="20" w:hanging="320"/>
        <w:spacing w:after="0" w:line="237" w:lineRule="auto"/>
        <w:tabs>
          <w:tab w:leader="none" w:pos="1295" w:val="left"/>
        </w:tabs>
        <w:numPr>
          <w:ilvl w:val="0"/>
          <w:numId w:val="18"/>
        </w:numPr>
        <w:rPr>
          <w:rFonts w:ascii="Arial" w:cs="Arial" w:eastAsia="Arial" w:hAnsi="Arial"/>
          <w:sz w:val="22"/>
          <w:szCs w:val="22"/>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contraceptive implant delivering levonorgestrel with a woman-centered design that has the potential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long-acting, yet convenient and user-controlled contraceptive option;</w:t>
      </w:r>
    </w:p>
    <w:p>
      <w:pPr>
        <w:spacing w:after="0" w:line="153" w:lineRule="exact"/>
        <w:rPr>
          <w:rFonts w:ascii="Arial" w:cs="Arial" w:eastAsia="Arial" w:hAnsi="Arial"/>
          <w:sz w:val="22"/>
          <w:szCs w:val="22"/>
          <w:color w:val="auto"/>
        </w:rPr>
      </w:pPr>
    </w:p>
    <w:p>
      <w:pPr>
        <w:ind w:left="1300" w:right="20" w:hanging="320"/>
        <w:spacing w:after="0" w:line="28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ADARE-204 and ADARE-214</w:t>
      </w:r>
      <w:r>
        <w:rPr>
          <w:rFonts w:ascii="Arial" w:cs="Arial" w:eastAsia="Arial" w:hAnsi="Arial"/>
          <w:sz w:val="18"/>
          <w:szCs w:val="18"/>
          <w:color w:val="auto"/>
        </w:rPr>
        <w:t>, injectable formulations of etonogestrel designed to provide contraceptive protection over 6-month and 12-month periods, respectively; and</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operations have consisted of research and development activities to advance our portfolio of product candidates through clinical development and regulatory approval. We expect our research and development expenses will continue to represent the majority of our operating expenses for at least the next twelve months. For the remainder of 2022, we expect to continue to focus our resources on advancement of Ovaprene and Sildenafil Cream, 3.6%, and our other product candidates that have reached the human clinical study development phase. In addition, we expect to incur significant research and development expenses for the DARE-LARC1 program for the next several years, but we also expect such expenses will be supported by non-dilutive funding provided under a grant agreement we entered into in June 2021.</w:t>
      </w:r>
    </w:p>
    <w:p>
      <w:pPr>
        <w:spacing w:after="0" w:line="1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date we have generated $10.0 million in revenue, all of which represents the payment due upon the effectiveness of our license agreement with Organon to commercialize XACIATO. We are subject to several risks common to biopharmaceutical companies, including dependence on key employees, dependence on third-party collaborators and service providers,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success of third parties in the marketing, sale and distribution of our products, competition from substitute products and larger companies, compliance with government regulations, protection of proprietary technology, and product liability.</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COVID-19 pandemic remains an evolving and uncertain risk to our business, operating results, financial condition and stock price. To date, we believe the pandemic contributed to a slower than expected initial pace of enrollment in our Phase 2b clinical study of Sildenafil Cream, 3.6% and delays in commencement of clinical studies and nonclinical testing for more than one of our earlier stage clinical programs, but has not had a material adverse effect on our business as a whole. Continued uncertainty regarding the duration and impact of the pandemic on the U.S. and global economies, healthcare systems, workplace environments and capital markets, preclude any prediction as to the ultimate effect of the pandemic on our business. See the risk factor in Part I, Item 1A of our 2021 10-K titled, </w:t>
      </w:r>
      <w:r>
        <w:rPr>
          <w:rFonts w:ascii="Arial" w:cs="Arial" w:eastAsia="Arial" w:hAnsi="Arial"/>
          <w:sz w:val="18"/>
          <w:szCs w:val="18"/>
          <w:i w:val="1"/>
          <w:iCs w:val="1"/>
          <w:color w:val="auto"/>
        </w:rPr>
        <w:t>The COVID-19</w:t>
      </w:r>
      <w:r>
        <w:rPr>
          <w:rFonts w:ascii="Arial" w:cs="Arial" w:eastAsia="Arial" w:hAnsi="Arial"/>
          <w:sz w:val="18"/>
          <w:szCs w:val="18"/>
          <w:color w:val="auto"/>
        </w:rPr>
        <w:t xml:space="preserve"> </w:t>
      </w:r>
      <w:r>
        <w:rPr>
          <w:rFonts w:ascii="Arial" w:cs="Arial" w:eastAsia="Arial" w:hAnsi="Arial"/>
          <w:sz w:val="18"/>
          <w:szCs w:val="18"/>
          <w:i w:val="1"/>
          <w:iCs w:val="1"/>
          <w:color w:val="auto"/>
        </w:rPr>
        <w:t>pandemic has negatively impacted our business and, in the future, may materially and adversely affect our business, financial condition and results and stock price, including by increasing the cost and timelines for our clinical development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XACIATO</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2022, we entered into an exclusive license agreement with Organon to develop, manufacture and commercialize XACIATO. The agreement became effective on June 30, 2022 following the satisfaction of closing conditions, and in July 2022, we received the $10.0 million non-refundable and non-creditable payment from Organon. We are entitled to receive a $2.5 million milestone payment following the first commercial sale of a licensed product in the United States. XACIATO is expected to be available commercially in the U.S. in the fourth quarter of 2022. We will also be eligible to receive future potential milestone payments of up to $180.0 million and tiered double-digit royalties based on net sales.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jc w:val="both"/>
        <w:ind w:firstLine="648"/>
        <w:spacing w:after="0" w:line="259" w:lineRule="auto"/>
        <w:rPr>
          <w:sz w:val="20"/>
          <w:szCs w:val="20"/>
          <w:color w:val="auto"/>
        </w:rPr>
      </w:pPr>
      <w:r>
        <w:rPr>
          <w:rFonts w:ascii="Arial" w:cs="Arial" w:eastAsia="Arial" w:hAnsi="Arial"/>
          <w:sz w:val="18"/>
          <w:szCs w:val="18"/>
          <w:color w:val="auto"/>
        </w:rPr>
        <w:t>Under the agreement, we will be responsible for all regulatory interactions and for providing commercial product supply on an interim basis until Organon assumes such responsibilities. Until such time, Organon will purchase all of its product requirements of XACIATO from us at a transfer price equal to our manufacturing costs plus a single-digit percentage markup. We will fulfill our commercial supply obligations through the contract manufacturer that provided clinical supplies of XACIATO for our pivotal Phase 3 DARE-BVFREE clinical study of XACIATO. We will not be responsible for other costs of commercializing XACIATO.</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Clinical-Stage Programs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Ovaprene</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January 2022, we initiated an Investigational Device Exemption, or IDE, review process with the FDA for a multi-center, non-comparative, pivotal Phase 3 clinical study of the safety and efficacy of Ovaprene to prevent pregnancy. Our IDE submission was subsequently converted to an IDE pre-submission so that the FDA could engage in a collaborative discussion with us regarding items that must be addressed prior to enrollment of any subjects in the Phase 3 study. The IDE pre-submission process has helped inform the design of certain biocompatibility, chemical and animal studies to support the safety profile of Ovaprene (including a sheep study, which was completed</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and demonstrated that Ovaprene was well-tolerated over several months of use). We have also been discussing the Phase 3 study protocol with the FDA. Bayer, our commercialization collaborator for Ovaprene, has contributed to those and other discussions with the FDA.</w:t>
      </w:r>
    </w:p>
    <w:p>
      <w:pPr>
        <w:spacing w:after="0" w:line="11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There is no predicate device for Ovaprene (i.e., there is no existing FDA approved product that the FDA can use to compare with Ovaprene). As such, Ovaprene will be reviewed via a PMA and not a 510(k) premarket submission. While the regulatory process for such a novel product can require more interactions and research to support FDA approval, the benefit is a clearly differentiated product.</w:t>
      </w:r>
    </w:p>
    <w:p>
      <w:pPr>
        <w:spacing w:after="0" w:line="1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Based on the ongoing interactions with the FDA, we anticipate the IDE process continuing into the third quarter of 2022. Subject to the FDA’s approval of the IDE, we are targeting the investigator meeting, the preparative step to commencing the pivotal study, for the fourth</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quarter of 2022. Based on communications with the FDA, in terms of study sample size and duration, we expect at least 200 subjects completing 12 months of Ovaprene use. If the Phase 3 study is successful, we expect the data to support the submission of a PMA to the FDA, as well as regulatory filings in Europe and other countries worldwide, to allow for marketing approvals of Ovaprene.</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Phase 3 study will be conducted under our Cooperative Research and Development Agreement, or CRADA, with the U.S. Department of Health and Human Services, as represented by the Eunice Kennedy Shriver National Institute of Child Health and Human Development, or the NICHD, part of the National Institutes of Health, and within NICHD’s Contraceptive Clinical Trial Network.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to NICHD to be applied toward the costs of conducting the Phase 3 study, $5.0 million of which has been paid and the remaining amount is due in the second quarter of 2023. NICHD will be responsible for the other costs related to the conduct of the Phase 3 study and will manage the payment of expenses to the contract research organization for the study, Health Decisions Inc., the clinical sites, and other parties involved with the study.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Sildenafil Cream, 3.6%</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ongoing Phase 2b RESPOND clinical study of Sildenafil Cream, 3.6% in women with FSAD is designed to evaluate Sildenafil Cream, 3.6% compared to placebo cream over 12 weeks of dosing in the participants’ home setting following both a non-drug and placebo run-in period. The primary efficacy endpoint of the study is a composite endpoint that includes patient-reported improvement in genital sensations of arousal and reduction in distress associated with FSAD. The study was designed to randomize 400 to 590 subjects into the double-blind dosing period at 40 to 50 clinical sites in the U.S. to ensure a total of 300 (150:150) to 440 (220:220) subjects complete the 12-week double-blind dosing period. However, the final size of the study will be determined by a single interim analysis for sample size re-estimation based on evaluation of confidence intervals for the primary, secondary, and several exploratory endpoints. The unblinded third-party statistician will make a recommendation on the randomization and completer targets based on this analysis. We anticipate that the planned interim analysis will be conducted in the second half of 2022, after which we should be able to provide an updated timeframe for announcement of topline data from this trial.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i w:val="1"/>
          <w:iCs w:val="1"/>
          <w:u w:val="single" w:color="auto"/>
          <w:color w:val="auto"/>
        </w:rPr>
        <w:t>DARE-HRT1</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2022, we announced initiation of our Phase 1/2 clinical study of DARE-HRT1. The open-label study will evaluate the pharmacokinetics (PK) of two versions of DARE-HRT1 (estradiol 80 µg/progesterone 4 mg IVR and estradiol 160 µg/progesterone 8 mg IVR) in approximately 20 healthy, post-menopausal women over approximately three consecutive months of use. The study will also collect safety, usability, acceptability and symptom-relief data. The study is being conducted by our wholly owned subsidiary in Australia. In 2021, we reported positive topline data from a Phase 1 clinical study that evaluated the PK of the same two versions of DARE-HRT1 over 28 days. We anticipate reporting topline data from the Phase 1/2 study in the fourth quarter of 2022.</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DARE-VVA1</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September 2021, we announced initiation of our Phase 1/2 clinical study of DARE-VVA1. The randomized, multi-center, double-blind, parallel-arm, placebo-controlled, dose-ranging study will evaluate the safety, tolerability, PK, and pharmacodynamics (PD) of DARE-VVA1 in postmenopausal participants with moderate to severe VVA in 15 to 20 postmenopausal women, including a cohort of women with a history of hormone-receptor positive breast cancer, at three study sites. The study is being conducted by our wholly owned subsidiary in Australia. Eligible participants will be randomly allocated to one of five treatment groups (approximately five participants per group) that will evaluate four dose levels (1 mg, 5 mg, 10 mg, and 20 mg) and a placebo. Following a screening visit, DARE-VVA1 will be self-administered intravaginally once a day for the first two weeks, and then twice a week for the following six weeks for a total treatment period of 56 days. In each treatment group, participants will have serial blood sampling for PK analysis and undergo safety evaluations and preliminary assessments of effectiveness. Following the completion of the treatment period, participants will attend a safety follow-up visit. The primary endpoints of the study will evaluate the safety and tolerability of DARE-VVA1 by vaginal administration and determine the plasma PK of DARE-VVA1 after intravaginal application. Secondary endpoints will evaluate the preliminary efficacy and PD of DARE-VVA1 in terms of the most bothersome symptom and changes in vaginal cytology and pH. We anticipate reporting topline data from the study in the fourth quarter of 2022.</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DARE-FRT1 and DARE-PTB1</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are conducting development activities in preparation for Phase 1 clinical studies of DARE-FRT1 and DARE-PTB1. We do not expect to commence clinical development activities of these product candidates in 2022.</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ADARE-204 and ADARE-214</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We are conducting development activities in preparation for Phase 1 clinical studies of ADARE-204 and ADARE-214. We do not expect to commence clinical development activities of these product candidates in 2022.</w:t>
      </w:r>
    </w:p>
    <w:p>
      <w:pPr>
        <w:spacing w:after="0" w:line="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Our currently anticipated timelines and aggregate costs for the development of our product candidates could be delayed and could increase as a result of the COVID-19 pandemic, or otherwise. See the risk factor titled, </w:t>
      </w:r>
      <w:r>
        <w:rPr>
          <w:rFonts w:ascii="Arial" w:cs="Arial" w:eastAsia="Arial" w:hAnsi="Arial"/>
          <w:sz w:val="18"/>
          <w:szCs w:val="18"/>
          <w:i w:val="1"/>
          <w:iCs w:val="1"/>
          <w:color w:val="auto"/>
        </w:rPr>
        <w:t>The COVID-19 pandemic has negatively impacted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business and, in the future, may materially and adversely affect our business, financial condition and results and stock price, including by increasing the cost and timelines for our clinical development programs, </w:t>
      </w:r>
      <w:r>
        <w:rPr>
          <w:rFonts w:ascii="Arial" w:cs="Arial" w:eastAsia="Arial" w:hAnsi="Arial"/>
          <w:sz w:val="18"/>
          <w:szCs w:val="18"/>
          <w:color w:val="auto"/>
        </w:rPr>
        <w:t>in Part I, Item 1A, Risk Factors of our 2021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NICHD Grant Award</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May 2022, we received a notice of award of a grant from NICHD of approximately $249,000 to support end-user research to better understand women's preferences for a long acting injectable contraceptive method. The findings from the research will inform our target product profile and guide our development priorities for ADARE-204 and ADARE-214.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Receipt of Payment Under XACIATO License Agreement</w:t>
      </w:r>
    </w:p>
    <w:p>
      <w:pPr>
        <w:spacing w:after="0" w:line="19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As discussed above, the license agreement we entered into with Organon to commercialize XACIATO became effective on June 30, 2022, and in July 2022, we received the $10.0 million payment due upon its effectiveness.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Receipt of Payment Under DARE-LARC1 Grant Agreement</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2022, we received a grant payment of approximately $7.96 million under our grant agreement with the Bill &amp; Melinda Gates Foundation dated as of June 30, 2021. We may receive up to a total of $48.95 million under this agreement to support technology development and preclinical activities over the period of June 30, 2021 to November 1, 2026 to advance DARE-LARC1 in nonclinical proof of principle studies. As of the date of this report, we have received a total of approximately $19.41 million in non-dilutive funding under this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date we have generated $10.0 million in revenue, all of which represents the payment due upon the effectiveness of our license agreement with Organon to commercialize XACIATO. In the future, we may generate revenue from royalties and commercial milestones based on the net sales of XACIATO, from product sales of other approved products, if any, and from license fees, milestone payments, research and development payments in connection with strategic collaborations. Our ability to generate such revenue, with respect to XACIATO, will depend on the extent to which its commercialization is successful, and with respect to our product candidates, will depend on their successful clinical development, the receipt of regulatory approvals to market such product candidates and the eventual successful commercialization of products. If the commercialization of XACIATO is not successful or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63" w:lineRule="exact"/>
        <w:rPr>
          <w:sz w:val="20"/>
          <w:szCs w:val="20"/>
          <w:color w:val="auto"/>
        </w:rPr>
      </w:pPr>
    </w:p>
    <w:p>
      <w:pPr>
        <w:ind w:left="980" w:hanging="405"/>
        <w:spacing w:after="0" w:line="281"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incurred under agreements with clinical trial sites and consultants that conduct research and development and regulatory affairs activities on our behalf;</w:t>
      </w:r>
    </w:p>
    <w:p>
      <w:pPr>
        <w:spacing w:after="0" w:line="1" w:lineRule="exact"/>
        <w:rPr>
          <w:rFonts w:ascii="Arial" w:cs="Arial" w:eastAsia="Arial" w:hAnsi="Arial"/>
          <w:sz w:val="18"/>
          <w:szCs w:val="18"/>
          <w:color w:val="auto"/>
        </w:rPr>
      </w:pPr>
    </w:p>
    <w:p>
      <w:pPr>
        <w:ind w:left="980" w:hanging="405"/>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nonclinical studies and clinical trials;</w:t>
      </w:r>
    </w:p>
    <w:p>
      <w:pPr>
        <w:spacing w:after="0" w:line="63" w:lineRule="exact"/>
        <w:rPr>
          <w:rFonts w:ascii="Arial" w:cs="Arial" w:eastAsia="Arial" w:hAnsi="Arial"/>
          <w:sz w:val="18"/>
          <w:szCs w:val="18"/>
          <w:color w:val="auto"/>
        </w:rPr>
      </w:pPr>
    </w:p>
    <w:p>
      <w:pPr>
        <w:ind w:left="980" w:hanging="405"/>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63" w:lineRule="exact"/>
        <w:rPr>
          <w:rFonts w:ascii="Arial" w:cs="Arial" w:eastAsia="Arial" w:hAnsi="Arial"/>
          <w:sz w:val="18"/>
          <w:szCs w:val="18"/>
          <w:color w:val="auto"/>
        </w:rPr>
      </w:pPr>
    </w:p>
    <w:p>
      <w:pPr>
        <w:ind w:left="980" w:hanging="405"/>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 costs related to acquisitions of companies, technologies and related intellectual property, and other assets;</w:t>
      </w:r>
    </w:p>
    <w:p>
      <w:pPr>
        <w:spacing w:after="0" w:line="63" w:lineRule="exact"/>
        <w:rPr>
          <w:rFonts w:ascii="Arial" w:cs="Arial" w:eastAsia="Arial" w:hAnsi="Arial"/>
          <w:sz w:val="18"/>
          <w:szCs w:val="18"/>
          <w:color w:val="auto"/>
        </w:rPr>
      </w:pPr>
    </w:p>
    <w:p>
      <w:pPr>
        <w:ind w:left="980" w:hanging="405"/>
        <w:spacing w:after="0" w:line="281"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milestone payments due to third parties under acquisition and in-licensing arrangements we incur, or the incurrence of which we deem probable; and</w:t>
      </w:r>
    </w:p>
    <w:p>
      <w:pPr>
        <w:spacing w:after="0" w:line="1" w:lineRule="exact"/>
        <w:rPr>
          <w:rFonts w:ascii="Arial" w:cs="Arial" w:eastAsia="Arial" w:hAnsi="Arial"/>
          <w:sz w:val="18"/>
          <w:szCs w:val="18"/>
          <w:color w:val="auto"/>
        </w:rPr>
      </w:pPr>
    </w:p>
    <w:p>
      <w:pPr>
        <w:ind w:left="980" w:hanging="405"/>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internal costs associated with activities performed by our research and development organization and generally benefit multiple programs.</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2021, our research and development expenses consisted primarily of costs associated with the continued development of XACIATO, Ovaprene and Sildenafil Cream, 3.6%, and during the first two quarters of 2022, our research and development expenses consisted primarily of costs associated with the continued development of Ovaprene and Sildenafil Cream 3.6%. We expect research and development expenses to increase in the future as we continue to invest in the development of and seek regulatory approval for our clinical-stage and Phase 1-ready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License fees consist of up-front license fees and annual license fees due under our in-licensing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condensed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condensed consolidated interim financial statements, refer to Item 7 in Management’s Discussion and Analysis of Financial Condition and Results of Operations and Note 2 to our financial statements contained in our 2021 10-K, and Note 2 to our unaudited condensed consolidated financial statements contained in this report.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2022 and 2021 (Unaudited)</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following table summarizes our condensed consolidated results of operations for the periods indicated, together with the changes in those items in dollars:</w:t>
      </w:r>
    </w:p>
    <w:p>
      <w:pPr>
        <w:spacing w:after="0" w:line="271" w:lineRule="exact"/>
        <w:rPr>
          <w:sz w:val="20"/>
          <w:szCs w:val="20"/>
          <w:color w:val="auto"/>
        </w:rPr>
      </w:pPr>
    </w:p>
    <w:tbl>
      <w:tblPr>
        <w:tblLayout w:type="fixed"/>
        <w:tblInd w:w="124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7"/>
                <w:szCs w:val="17"/>
                <w:color w:val="auto"/>
              </w:rPr>
            </w:pPr>
          </w:p>
        </w:tc>
        <w:tc>
          <w:tcPr>
            <w:tcW w:w="1620" w:type="dxa"/>
            <w:vAlign w:val="bottom"/>
            <w:gridSpan w:val="3"/>
          </w:tcPr>
          <w:p>
            <w:pPr>
              <w:ind w:left="9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7"/>
                <w:szCs w:val="17"/>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r>
      <w:tr>
        <w:trPr>
          <w:trHeight w:val="231"/>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70"/>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License fee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10,000,000</w:t>
            </w:r>
          </w:p>
        </w:tc>
        <w:tc>
          <w:tcPr>
            <w:tcW w:w="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50"/>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9"/>
        </w:trPr>
        <w:tc>
          <w:tcPr>
            <w:tcW w:w="3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1"/>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2,792,894</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1,797,637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995,257</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70"/>
        </w:trPr>
        <w:tc>
          <w:tcPr>
            <w:tcW w:w="35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6,797,784</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7,340,289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(542,505)</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License fees</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5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9,615,678</w:t>
            </w: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9,162,926</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452,752</w:t>
            </w:r>
          </w:p>
        </w:tc>
        <w:tc>
          <w:tcPr>
            <w:tcW w:w="1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5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384,322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(9,162,926)</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9,547,248</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29,676</w:t>
            </w:r>
          </w:p>
        </w:tc>
        <w:tc>
          <w:tcPr>
            <w:tcW w:w="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29,501</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16858 %</w:t>
            </w:r>
          </w:p>
        </w:tc>
      </w:tr>
      <w:tr>
        <w:trPr>
          <w:trHeight w:val="25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413,998</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(9,162,751)</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9,576,749</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9"/>
        </w:trPr>
        <w:tc>
          <w:tcPr>
            <w:tcW w:w="35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1"/>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(135,869)</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(126,989)</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1430 %</w:t>
            </w: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278,129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(9,171,631)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9,449,760</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License fee revenue relates to our license agreement with Organon to commercialize XACIATO. We earned $10.0 million in revenue during the three months ended June 30, 2022, related to the transfer of the license and related know-how to Organon upon effectiveness of the agreement. If XACIATO becomes available commercially in the U.S. in the fourth quarter of 2022 as expected, we may receive an additional $2.5 million under this agreement as a milestone payment following the first commercial sale of a licensed product in the U.S.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 for the three months ended June 30,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of approximately $1.0 million in general and administrative expenses for the three months ended June 30, 2022 as compared to the three months ended June 30, 2021 was primarily attributable to increases in (i) professional services expense of approximately $485,000, (ii) commercial-readiness expenses of approximately $123,000, (iii) insurance expense of approximately $101,000,</w:t>
      </w:r>
    </w:p>
    <w:p>
      <w:pPr>
        <w:spacing w:after="0" w:line="1" w:lineRule="exact"/>
        <w:rPr>
          <w:sz w:val="20"/>
          <w:szCs w:val="20"/>
          <w:color w:val="auto"/>
        </w:rPr>
      </w:pPr>
    </w:p>
    <w:p>
      <w:pPr>
        <w:ind w:right="20" w:firstLine="8"/>
        <w:spacing w:after="0" w:line="266" w:lineRule="auto"/>
        <w:tabs>
          <w:tab w:leader="none" w:pos="3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rent and facilities expenses of $98,000, (v) stock-based compensation expense of approximately $90,000, and (vi) personnel costs of approximately $52,000.</w:t>
      </w:r>
    </w:p>
    <w:p>
      <w:pPr>
        <w:spacing w:after="0" w:line="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an increase in general and administrative expenses of approximately 25% in 2022 compared to 2021 primarily due to increased personnel expenses and other general corporate overhead. Our general and administrative expenses in 2021 were approximately $8.4 million. Our 2022 general and administrative expenses will include costs related to commercial-readiness activities and obtaining commercial supplies of XACIATO from our contract manufacturer. Following commercial launch of XACIATO, we expect our general and administrative expenses will include payments by us under our in-license agreement for XACIATO, including royalty payments at rates in the high single-digit to low double-digits based on annual net sales of XACIATO. In 2022, these payments may include a $500,000 milestone payment upon first commercial sale and royalty payments at a high single digit 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decrease of approximately $0.5 million in research and development expenses for the three months ended June 30, 2022 as compared to the three months ended June 30, 2021 was attributable to decreases in (i) development costs of approximately $789,000 as a result of the completion of the Phase 3 clinical trial for XACIATO in December 2020, (ii) costs related to development activities for our preclinical programs of approximately $121,000, (iii) rent and facilities expenses of approximately $8,000. These decreases were partially offset by increases in (a) personnel costs of approximately $186,000, (b) costs related to the ongoing Sildenafil Cream, 3.6% Phase 2b RESPOND clinical trial and manufacturing and regulatory affairs activities for Ovaprene of approximately $123,000, (c) stock-based compensation expense of approximately $43,000, and (d) costs related to development activities for our Phase 1 and Phase 1-ready programs of approximately $29,000.</w:t>
      </w:r>
    </w:p>
    <w:p>
      <w:pPr>
        <w:spacing w:after="0" w:line="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an increase in research and development expenses of approximately 45% in 2022 compared to 2021 as we continue to develop our product candidates. Our research and development expenses in 2021 were approximately $30.6 million. The pace and extent of our research and development activities and, therefore, our research and development spend, will depend on our cash resources. We expect our research and development spend to vary across our fiscal quarters. Development and regulatory milestone payments we previously estimated would be paid in 2022 by us under in-license and acquisition agreements related to our product candidates are now estimated to become payable in 2023. In regard to Sildenafil Cream, 3.6%, we anticipate that the costs of the Phase 2b RESPOND clinical trial will be approximately $20.0 million, approximately $9.5 million of which was recorded in prior fiscal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each of the three months ended June 30, 2022 and June 30, 2021, we accrued $25,000 of the $100,000 annual license maintenance fee payable under our license agreement related to DARE-HRT1.</w:t>
      </w:r>
    </w:p>
    <w:p>
      <w:pPr>
        <w:spacing w:after="0" w:line="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further discussion of these license fees, see Note 3 to our unaudited condensed consolidated financial statements contained in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increase of $29,501 in other income for the three months ended June 30, 2022 as compared to the three months ended June 30, 2021 was primarily due to an increase in interest earned on cash balances in the current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Comparison of Six Months Ended June 30, 2022 and 2021 (Unaudited)</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following table summarizes our condensed consolidated results of operations for the periods indicated, together with the changes in those items in dollars: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7"/>
                <w:szCs w:val="17"/>
                <w:color w:val="auto"/>
              </w:rPr>
            </w:pPr>
          </w:p>
        </w:tc>
        <w:tc>
          <w:tcPr>
            <w:tcW w:w="1780" w:type="dxa"/>
            <w:vAlign w:val="bottom"/>
            <w:gridSpan w:val="3"/>
          </w:tcPr>
          <w:p>
            <w:pPr>
              <w:ind w:left="102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7"/>
                <w:szCs w:val="17"/>
                <w:color w:val="auto"/>
              </w:rPr>
            </w:pPr>
          </w:p>
        </w:tc>
      </w:tr>
      <w:tr>
        <w:trPr>
          <w:trHeight w:val="196"/>
        </w:trPr>
        <w:tc>
          <w:tcPr>
            <w:tcW w:w="46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w:t>
            </w: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License fee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46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5,362,881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3,737,965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12,603,247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13,068,495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(465,248)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License fees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46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18,016,128</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16,856,460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1,159,668</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(8,016,128)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(16,856,460)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8,840,332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31,456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17572 %</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note payable</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(7,984,672)</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(16,486,395)</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8,501,723</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(129,298)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822 %</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(8,129,691)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(16,502,116)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8,372,425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License fee revenue relates to our license agreement with Organon to commercialize XACIATO. See "—C</w:t>
      </w:r>
      <w:r>
        <w:rPr>
          <w:rFonts w:ascii="Arial" w:cs="Arial" w:eastAsia="Arial" w:hAnsi="Arial"/>
          <w:sz w:val="18"/>
          <w:szCs w:val="18"/>
          <w:i w:val="1"/>
          <w:iCs w:val="1"/>
          <w:color w:val="auto"/>
        </w:rPr>
        <w:t>omparison of Three</w:t>
      </w:r>
      <w:r>
        <w:rPr>
          <w:rFonts w:ascii="Arial" w:cs="Arial" w:eastAsia="Arial" w:hAnsi="Arial"/>
          <w:sz w:val="18"/>
          <w:szCs w:val="18"/>
          <w:color w:val="auto"/>
        </w:rPr>
        <w:t xml:space="preserve"> </w:t>
      </w:r>
      <w:r>
        <w:rPr>
          <w:rFonts w:ascii="Arial" w:cs="Arial" w:eastAsia="Arial" w:hAnsi="Arial"/>
          <w:sz w:val="18"/>
          <w:szCs w:val="18"/>
          <w:i w:val="1"/>
          <w:iCs w:val="1"/>
          <w:color w:val="auto"/>
        </w:rPr>
        <w:t>Months Ended June 30, 2022 and 2021 (Unaudited)—Revenues,</w:t>
      </w:r>
      <w:r>
        <w:rPr>
          <w:rFonts w:ascii="Arial" w:cs="Arial" w:eastAsia="Arial" w:hAnsi="Arial"/>
          <w:sz w:val="18"/>
          <w:szCs w:val="18"/>
          <w:color w:val="auto"/>
        </w:rPr>
        <w:t>" above.</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 for the six months ended June 30, 2021.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increase of approximately $1.6 million in general and administrative expenses for the six months ended June 30, 2022 as compared to the six months ended June 30, 2021 was primarily attributable to increases in (i) professional services expense of approximately $832,000, (ii) commercial-readiness expenses of approximately $215,000, (iii) stock-based compensation expense of approximately $197,000, (iv) personnel costs of approximately $153,000, and (v) insurance costs of $120,000.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decrease of approximately $0.5 million in research and development expenses for the six months ended June 30, 2022 as compared to the six months ended June 30, 2021 was attributable to decreases in (i) development costs of approximately $1.7 million as a result of the completion of the Phase 3 clinical trial for XACIATO in December 2020, (ii) costs related to development activities for our Phase 1 and Phase 1-ready programs of approximately $812,000, and (iii) costs related to development activities for our preclinical programs of approximately $393,000. Such decreases were partially offset by increases in (a) costs for two of our clinical-stage product candidates, Sildenafil Cream 3.6% and Ovaprene, of approximately $1.7 million related to the ongoing Sildenafil Cream, 3.6% Phase 2b RESPOND clinical trial and manufacturing and regulatory affairs activities for Ovaprene, (b) personnel costs of approximately $434,000, (c) rent and facilities expenses of $161,000 attributable to the allocation of a portion of rent and facilities expense included in general and administrative in 2021 to research and development in 2022, and (d) stock-based compensation expense of approximately $102,000.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each of the six months ended June 30, 2022 and June 30, 2021, we accrued $50,000 of the $100,000 annual license maintenance fee payable under our license agreement related to DARE-HRT1.</w:t>
      </w:r>
    </w:p>
    <w:p>
      <w:pPr>
        <w:spacing w:after="0" w:line="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further discussion of these license fees, see Note 3 to our unaudited condensed consolidated financial statements contained in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The increase of $ 31,278 in other income for the six months ended June 30, 2022 as compared to the six months ended June 30, 2021 was primarily due to an increase in interest earned on cash balances in the current period.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note payable</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$ 369,887 recorded as a gain on extinguishment of note payable and debt forgiveness income in 2021 represents the forgiveness of all the principal and accrued interest of the loan we obtained under the Paycheck Protection Program of the Coronavirus Aid, Relief, and Economic Security 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prepared the accompanying condensed consolidated financial statements on a going concern basis, which assumes that we will realize our assets and satisfy our liabilities in the normal course of business. We have a history of losses from operations, we expect negative cash flows from our operations to continue for the foreseeable future, and we expect that our net losses will continue for at least the next several years as we develop and seek to bring to market our existing product candidates and as we seek to potentially acquire, license and develop additional product candidates. These circumstances raise substantial doubt about our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2022, our accumulated deficit was approximately $118.1 million, our cash and cash equivalents were approximately $32.1 million, our deferred grant funding liability under our grant agreement related to DARE-LARC1 was $8.8 million (representing grant funds received that may be applied solely for the development of DARE-LARC1 and which are included in cash and cash equivalents), and our working capital was approximately $33.6 million. We incurred a loss from operations of approximately $8.0 million and had negative cash flow from operations of approximately $20.8 million during the six months ended June 30, 2022.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8" w:name="page39"/>
    <w:bookmarkEnd w:id="38"/>
    <w:p>
      <w:pPr>
        <w:jc w:val="both"/>
        <w:ind w:firstLine="648"/>
        <w:spacing w:after="0" w:line="256" w:lineRule="auto"/>
        <w:rPr>
          <w:sz w:val="20"/>
          <w:szCs w:val="20"/>
          <w:color w:val="auto"/>
        </w:rPr>
      </w:pPr>
      <w:r>
        <w:rPr>
          <w:rFonts w:ascii="Arial" w:cs="Arial" w:eastAsia="Arial" w:hAnsi="Arial"/>
          <w:sz w:val="18"/>
          <w:szCs w:val="18"/>
          <w:color w:val="auto"/>
        </w:rPr>
        <w:t>We expect our primary uses of capital to be staff-related expenses, the cost of clinical trials and regulatory activities related to our product candidates, costs associated with contract manufacturing services and third-party clinical research and development services, payments to third-parties upon the occurrence of commercial milestones for XACIATO and development milestones for our product candidates pursuant to terms of the agreements under which we acquired or in-licensed rights to those programs, legal expenses, other regulatory expenses and general overhead costs. Our future funding requirements could also include significant costs related to commercialization of our product candidates, if approved, depending on the type, nature and terms of commercial collaborations we establish.</w:t>
      </w:r>
    </w:p>
    <w:p>
      <w:pPr>
        <w:spacing w:after="0" w:line="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discussed above, we expect our expenses, and in particular our research and development expenses, to increase significantly in 2022 compared to 2021 as we continue to develop and seek to bring to market our product candidates, with a focus on our product candidates that have reached the human clinical study development phase. Under the terms of our license agreement with Organon, Organon will purchase all of its product requirements of XACIATO from us at a price equal to our manufacturing costs plus a single digit percentage markup. As a result, we do not anticipate our costs of providing XACIATO commercial supplies will have a material impact on our cash resources and requirements.</w:t>
      </w:r>
    </w:p>
    <w:p>
      <w:pPr>
        <w:spacing w:after="0" w:line="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Based on our current operating plan estimates, we do not have sufficient cash to satisfy our working capital needs and other liquidity requirements over at least the next 12 months from the date of issuance of the accompanying condensed consolidated financial statements. Historically, the cash used to fund our operations has come from a variety of sources and predominantly from sales of shares of our common stock. During the six months ended June 30, 2022, we generated approximately $1.2 million in net proceeds from sales of our common stock. Subsequent to June 30, 2022, we received $10.0 million in license fee revenue under our license agreement for XACIATO, which amount was reported in accounts receivable and in total revenue in our unaudited condensed consolidated financial statements as of June 30, 2022, and $7.96 million under our grant agreement for pre-clinical development of DARE-LARC1.</w:t>
      </w:r>
    </w:p>
    <w:p>
      <w:pPr>
        <w:spacing w:after="0" w:line="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will need to raise substantial additional capital to continue to fund our operations and to successfully execute our current business strategy. We will continue to seek to raise capital through the sale of shares of our common stock under our ATM sales agreements, however, when we effect such sales and the amount of shares we can sell depends on a variety of factors including, among others, market conditions, the trading price of our common stock, and our determination as to the appropriate sources of funding for our operations. For the foreseeable future, we will evaluate and may pursue a variety of capital raising options on an on-going basis, including equity and debt financings, government or other grant funding, collaborations and strategic alliances or other similar types of arrangements, to cover our operating expenses, and the cost of any license or other acquisition of new product candidates or technologies. The amount and timing of our capital needs have been and will continue to depend highly on many factors, including the product development programs we choose to pursue, the pace and results of our clinical development efforts, and the nature and extent of expansion of our product candidate portfolio, if any. If we raise capital through collaborations, strategic alliances or other similar types of arrangements, we may have to relinquish, on terms that are not favorable to us, rights to some of our technologies or product candidates we would otherwise seek to develop or commercialize.</w:t>
      </w:r>
    </w:p>
    <w:p>
      <w:pPr>
        <w:spacing w:after="0" w:line="1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There can be no assurance that capital will be available when needed or that, if available, it will be obtained on terms favorable to us and our stockholders. In addition, equity or debt financings may have a dilutive effect on the holdings of our existing stockholders, and debt financings may subject us to restrictive covenants, operational restrictions and security interests in our assets.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the risk factor in Part I, Item 1A of our 2021 10-K titled </w:t>
      </w:r>
      <w:r>
        <w:rPr>
          <w:rFonts w:ascii="Arial" w:cs="Arial" w:eastAsia="Arial" w:hAnsi="Arial"/>
          <w:sz w:val="18"/>
          <w:szCs w:val="18"/>
          <w:i w:val="1"/>
          <w:iCs w:val="1"/>
          <w:color w:val="auto"/>
        </w:rPr>
        <w:t>We will</w:t>
      </w:r>
      <w:r>
        <w:rPr>
          <w:rFonts w:ascii="Arial" w:cs="Arial" w:eastAsia="Arial" w:hAnsi="Arial"/>
          <w:sz w:val="18"/>
          <w:szCs w:val="18"/>
          <w:color w:val="auto"/>
        </w:rPr>
        <w:t xml:space="preserve"> </w:t>
      </w:r>
      <w:r>
        <w:rPr>
          <w:rFonts w:ascii="Arial" w:cs="Arial" w:eastAsia="Arial" w:hAnsi="Arial"/>
          <w:sz w:val="18"/>
          <w:szCs w:val="18"/>
          <w:i w:val="1"/>
          <w:iCs w:val="1"/>
          <w:color w:val="auto"/>
        </w:rPr>
        <w:t>need to raise additional capital to continue our operations and execute our business strategy</w:t>
      </w:r>
      <w:r>
        <w:rPr>
          <w:rFonts w:ascii="Arial" w:cs="Arial" w:eastAsia="Arial" w:hAnsi="Arial"/>
          <w:sz w:val="18"/>
          <w:szCs w:val="18"/>
          <w:color w:val="auto"/>
        </w:rPr>
        <w: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cash used in operating activities</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-127635</wp:posOffset>
            </wp:positionV>
            <wp:extent cx="594931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49315" cy="163195"/>
                    </a:xfrm>
                    <a:prstGeom prst="rect">
                      <a:avLst/>
                    </a:prstGeom>
                    <a:noFill/>
                  </pic:spPr>
                </pic:pic>
              </a:graphicData>
            </a:graphic>
          </wp:anchor>
        </w:drawing>
      </w:r>
    </w:p>
    <w:p>
      <w:pPr>
        <w:spacing w:after="0" w:line="3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Net cash provided by financing activities</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-127635</wp:posOffset>
            </wp:positionV>
            <wp:extent cx="594931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49315" cy="163195"/>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Net increase (decrease) in cash and cash equivalents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817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ind w:left="520"/>
        <w:spacing w:after="0"/>
        <w:tabs>
          <w:tab w:leader="none" w:pos="20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8173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9"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(20,791,986)  $  (20,168,469)</w:t>
      </w:r>
    </w:p>
    <w:p>
      <w:pPr>
        <w:spacing w:after="0" w:line="49"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(5,369)—</w:t>
      </w:r>
    </w:p>
    <w:p>
      <w:pPr>
        <w:spacing w:after="0" w:line="50" w:lineRule="exact"/>
        <w:rPr>
          <w:sz w:val="20"/>
          <w:szCs w:val="20"/>
          <w:color w:val="auto"/>
        </w:rPr>
      </w:pPr>
    </w:p>
    <w:p>
      <w:pPr>
        <w:ind w:left="460"/>
        <w:spacing w:after="0"/>
        <w:tabs>
          <w:tab w:leader="none" w:pos="1840" w:val="left"/>
        </w:tabs>
        <w:rPr>
          <w:sz w:val="20"/>
          <w:szCs w:val="20"/>
          <w:color w:val="auto"/>
        </w:rPr>
      </w:pPr>
      <w:r>
        <w:rPr>
          <w:rFonts w:ascii="Arial" w:cs="Arial" w:eastAsia="Arial" w:hAnsi="Arial"/>
          <w:sz w:val="18"/>
          <w:szCs w:val="18"/>
          <w:color w:val="auto"/>
        </w:rPr>
        <w:t>1,338,899</w:t>
      </w:r>
      <w:r>
        <w:rPr>
          <w:sz w:val="20"/>
          <w:szCs w:val="20"/>
          <w:color w:val="auto"/>
        </w:rPr>
        <w:tab/>
      </w:r>
      <w:r>
        <w:rPr>
          <w:rFonts w:ascii="Arial" w:cs="Arial" w:eastAsia="Arial" w:hAnsi="Arial"/>
          <w:sz w:val="18"/>
          <w:szCs w:val="18"/>
          <w:color w:val="auto"/>
        </w:rPr>
        <w:t>24,626,464</w:t>
      </w:r>
    </w:p>
    <w:p>
      <w:pPr>
        <w:spacing w:after="0" w:line="50" w:lineRule="exact"/>
        <w:rPr>
          <w:sz w:val="20"/>
          <w:szCs w:val="20"/>
          <w:color w:val="auto"/>
        </w:rPr>
      </w:pPr>
    </w:p>
    <w:p>
      <w:pPr>
        <w:jc w:val="both"/>
        <w:ind w:left="540"/>
        <w:spacing w:after="0"/>
        <w:tabs>
          <w:tab w:leader="none" w:pos="2120" w:val="left"/>
        </w:tabs>
        <w:rPr>
          <w:sz w:val="20"/>
          <w:szCs w:val="20"/>
          <w:color w:val="auto"/>
        </w:rPr>
      </w:pPr>
      <w:r>
        <w:rPr>
          <w:rFonts w:ascii="Arial" w:cs="Arial" w:eastAsia="Arial" w:hAnsi="Arial"/>
          <w:sz w:val="18"/>
          <w:szCs w:val="18"/>
          <w:color w:val="auto"/>
        </w:rPr>
        <w:t>(145,019)</w:t>
      </w:r>
      <w:r>
        <w:rPr>
          <w:sz w:val="20"/>
          <w:szCs w:val="20"/>
          <w:color w:val="auto"/>
        </w:rPr>
        <w:tab/>
      </w:r>
      <w:r>
        <w:rPr>
          <w:rFonts w:ascii="Arial" w:cs="Arial" w:eastAsia="Arial" w:hAnsi="Arial"/>
          <w:sz w:val="18"/>
          <w:szCs w:val="18"/>
          <w:color w:val="auto"/>
        </w:rPr>
        <w:t>(15,721)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817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 w:lineRule="exact"/>
        <w:rPr>
          <w:sz w:val="20"/>
          <w:szCs w:val="20"/>
          <w:color w:val="auto"/>
        </w:rPr>
      </w:pPr>
    </w:p>
    <w:p>
      <w:pPr>
        <w:jc w:val="center"/>
        <w:ind w:right="700"/>
        <w:spacing w:after="0"/>
        <w:tabs>
          <w:tab w:leader="none" w:pos="180" w:val="left"/>
          <w:tab w:leader="none" w:pos="160" w:val="left"/>
          <w:tab w:leader="none" w:pos="340" w:val="left"/>
        </w:tabs>
        <w:rPr>
          <w:sz w:val="20"/>
          <w:szCs w:val="20"/>
          <w:color w:val="auto"/>
        </w:rPr>
      </w:pPr>
      <w:r>
        <w:rPr>
          <w:rFonts w:ascii="Arial" w:cs="Arial" w:eastAsia="Arial" w:hAnsi="Arial"/>
          <w:sz w:val="18"/>
          <w:szCs w:val="18"/>
          <w:color w:val="auto"/>
        </w:rPr>
        <w:t>$</w:t>
        <w:tab/>
        <w:t>(19,603,475)</w:t>
        <w:tab/>
        <w:t>$</w:t>
      </w:r>
      <w:r>
        <w:rPr>
          <w:sz w:val="20"/>
          <w:szCs w:val="20"/>
          <w:color w:val="auto"/>
        </w:rPr>
        <w:tab/>
      </w:r>
      <w:r>
        <w:rPr>
          <w:rFonts w:ascii="Arial" w:cs="Arial" w:eastAsia="Arial" w:hAnsi="Arial"/>
          <w:sz w:val="17"/>
          <w:szCs w:val="17"/>
          <w:color w:val="auto"/>
        </w:rPr>
        <w:t>4,442,274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81737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17370" cy="34290"/>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7080" w:space="700"/>
            <w:col w:w="3460"/>
          </w:cols>
          <w:pgMar w:left="320" w:top="1149" w:right="339" w:bottom="1440" w:gutter="0" w:footer="0" w:header="0"/>
        </w:sectPr>
      </w:pPr>
    </w:p>
    <w:p>
      <w:pPr>
        <w:jc w:val="both"/>
        <w:ind w:firstLine="648"/>
        <w:spacing w:after="0" w:line="257" w:lineRule="auto"/>
        <w:rPr>
          <w:sz w:val="20"/>
          <w:szCs w:val="20"/>
          <w:color w:val="auto"/>
        </w:rPr>
      </w:pPr>
      <w:r>
        <w:rPr>
          <w:rFonts w:ascii="Arial" w:cs="Arial" w:eastAsia="Arial" w:hAnsi="Arial"/>
          <w:sz w:val="18"/>
          <w:szCs w:val="18"/>
          <w:color w:val="auto"/>
        </w:rPr>
        <w:t>Cash used in operating activities for the six months ended June 30, 2022 included the net loss of $8.0 million, decreased by non-cash stock-based compensation expense of approximately $1.1 million. A component providing operating cash was an increase in accrued expenses of approximately $3.2 million. Components reducing operating cash were an increase in accounts receivable of $10.0 million related to our exclusive license agreement for XACIATO, an increase in prepaid expenses of approximately $3.4 million, a decrease in deferred grant funding of approximately $1.8 million, an increase in other receivables of approximately $1.0 million, and a decrease in accounts payable of approximately $1.0 million.</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used in operating activities for the six months ended June 30, 2021 included the net loss of $16.5 million, decreased by non-cash stock-based compensation expense of approximately $ 771,000 and increased by the non-cash gain on the extinguishment of the note payable and accrued interest of approximately $370,000. A component providing operating cash was an increase in accrued expenses of approximately $1.0 million. Components reducing operating cash were an increase in other receivables of approximately $2.5 million related to the PDUFA application fee paid in June 2021, which was refunded in the third quarter of 2021, a decrease in deferred grant funding of approximately $1.6 million, a decrease in accounts payable of approximately $805,000 and an increase in prepaid expenses of approximately $138,000.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8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Cash used in investing activities for the six months ended June 30, 2022 was approximately $5,400. No cash was provided by or used in investing activities for the six months ended June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Cash provided by financing activities for the six months ended June 30, 2022 and June 30, 2021 consisted of approximately $1.2 million and $24.6 million in the aggregate, respectively, primarily from sales of our common stock under our ATM sales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agreed to make royalty and milestone payments under the license and development agreements related to XACIATO, Ovaprene, and Sildenafil Cream, 3.6%, and under other agreements related to our other clinical and preclinical candidates. For further discussion of these potential payments, see Note 3 to our unaudited condensed consolidated financial statements contained in this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19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Based on an evaluation performed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June 30, 2022 at the reasonable assurance level.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2021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2021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w:t>
      </w:r>
    </w:p>
    <w:p>
      <w:pPr>
        <w:spacing w:after="0" w:line="27"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w:t>
      </w:r>
    </w:p>
    <w:p>
      <w:pPr>
        <w:spacing w:after="0" w:line="13" w:lineRule="exact"/>
        <w:rPr>
          <w:rFonts w:ascii="Arial" w:cs="Arial" w:eastAsia="Arial" w:hAnsi="Arial"/>
          <w:sz w:val="18"/>
          <w:szCs w:val="18"/>
          <w:color w:val="auto"/>
        </w:rPr>
      </w:pPr>
    </w:p>
    <w:p>
      <w:pPr>
        <w:ind w:left="1060" w:hanging="40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w:t>
      </w:r>
      <w:r>
        <w:rPr>
          <w:rFonts w:ascii="Arial" w:cs="Arial" w:eastAsia="Arial" w:hAnsi="Arial"/>
          <w:sz w:val="21"/>
          <w:szCs w:val="21"/>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8" w:lineRule="exact"/>
        <w:rPr>
          <w:sz w:val="20"/>
          <w:szCs w:val="20"/>
          <w:color w:val="auto"/>
        </w:rPr>
      </w:pPr>
    </w:p>
    <w:p>
      <w:pPr>
        <w:ind w:left="1120" w:hanging="464"/>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27" w:lineRule="exact"/>
        <w:rPr>
          <w:rFonts w:ascii="Arial" w:cs="Arial" w:eastAsia="Arial" w:hAnsi="Arial"/>
          <w:sz w:val="18"/>
          <w:szCs w:val="18"/>
          <w:color w:val="auto"/>
        </w:rPr>
      </w:pPr>
    </w:p>
    <w:p>
      <w:pPr>
        <w:ind w:left="1120" w:hanging="464"/>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7"/>
        </w:trPr>
        <w:tc>
          <w:tcPr>
            <w:tcW w:w="5020" w:type="dxa"/>
            <w:vAlign w:val="bottom"/>
            <w:gridSpan w:val="23"/>
          </w:tcPr>
          <w:p>
            <w:pPr>
              <w:spacing w:after="0"/>
              <w:rPr>
                <w:sz w:val="20"/>
                <w:szCs w:val="20"/>
                <w:color w:val="auto"/>
              </w:rPr>
            </w:pPr>
            <w:r>
              <w:rPr>
                <w:rFonts w:ascii="Arial" w:cs="Arial" w:eastAsia="Arial" w:hAnsi="Arial"/>
                <w:sz w:val="18"/>
                <w:szCs w:val="18"/>
                <w:b w:val="1"/>
                <w:bCs w:val="1"/>
                <w:color w:val="auto"/>
              </w:rPr>
              <w:t>Item 6. Exhibits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3"/>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gridSpan w:val="6"/>
          </w:tcPr>
          <w:p>
            <w:pPr>
              <w:spacing w:after="0"/>
              <w:rPr>
                <w:sz w:val="20"/>
                <w:szCs w:val="20"/>
                <w:color w:val="auto"/>
              </w:rPr>
            </w:pPr>
            <w:r>
              <w:rPr>
                <w:rFonts w:ascii="Arial" w:cs="Arial" w:eastAsia="Arial" w:hAnsi="Arial"/>
                <w:sz w:val="18"/>
                <w:szCs w:val="18"/>
                <w:b w:val="1"/>
                <w:bCs w:val="1"/>
                <w:color w:val="auto"/>
              </w:rPr>
              <w:t>Incorporated by Reference</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7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55"/>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17"/>
          </w:tcPr>
          <w:p>
            <w:pPr>
              <w:ind w:left="60"/>
              <w:spacing w:after="0"/>
              <w:rPr>
                <w:sz w:val="20"/>
                <w:szCs w:val="20"/>
                <w:color w:val="auto"/>
              </w:rPr>
            </w:pPr>
            <w:r>
              <w:rPr>
                <w:rFonts w:ascii="Arial" w:cs="Arial" w:eastAsia="Arial" w:hAnsi="Arial"/>
                <w:sz w:val="18"/>
                <w:szCs w:val="18"/>
                <w:b w:val="1"/>
                <w:bCs w:val="1"/>
                <w:color w:val="auto"/>
              </w:rPr>
              <w:t>Description of Exhibit</w:t>
            </w:r>
          </w:p>
        </w:tc>
        <w:tc>
          <w:tcPr>
            <w:tcW w:w="100" w:type="dxa"/>
            <w:vAlign w:val="bottom"/>
          </w:tcPr>
          <w:p>
            <w:pPr>
              <w:spacing w:after="0"/>
              <w:rPr>
                <w:sz w:val="22"/>
                <w:szCs w:val="22"/>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2"/>
                <w:szCs w:val="22"/>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w:t>
            </w:r>
          </w:p>
        </w:tc>
        <w:tc>
          <w:tcPr>
            <w:tcW w:w="70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0000FF"/>
              </w:rPr>
              <w:t>Restated Certificate of Incorporation, as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amended to date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Arial" w:cs="Arial" w:eastAsia="Arial" w:hAnsi="Arial"/>
                <w:sz w:val="18"/>
                <w:szCs w:val="18"/>
                <w:color w:val="auto"/>
              </w:rPr>
              <w:t>10.1(a)*</w:t>
            </w:r>
          </w:p>
        </w:tc>
        <w:tc>
          <w:tcPr>
            <w:tcW w:w="1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Borders>
              <w:bottom w:val="single" w:sz="8" w:color="0000FF"/>
            </w:tcBorders>
            <w:gridSpan w:val="17"/>
          </w:tcPr>
          <w:p>
            <w:pPr>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Daré Bioscience, Inc. 2022 Stock Incentive</w:t>
              </w:r>
            </w:hyperlink>
          </w:p>
        </w:tc>
        <w:tc>
          <w:tcPr>
            <w:tcW w:w="300" w:type="dxa"/>
            <w:vAlign w:val="bottom"/>
            <w:gridSpan w:val="3"/>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8-K</w:t>
            </w:r>
          </w:p>
        </w:tc>
        <w:tc>
          <w:tcPr>
            <w:tcW w:w="1520" w:type="dxa"/>
            <w:vAlign w:val="bottom"/>
            <w:gridSpan w:val="3"/>
          </w:tcPr>
          <w:p>
            <w:pPr>
              <w:jc w:val="right"/>
              <w:ind w:right="230"/>
              <w:spacing w:after="0"/>
              <w:rPr>
                <w:sz w:val="20"/>
                <w:szCs w:val="20"/>
                <w:color w:val="auto"/>
              </w:rPr>
            </w:pPr>
            <w:r>
              <w:rPr>
                <w:rFonts w:ascii="Arial" w:cs="Arial" w:eastAsia="Arial" w:hAnsi="Arial"/>
                <w:sz w:val="18"/>
                <w:szCs w:val="18"/>
                <w:color w:val="auto"/>
              </w:rPr>
              <w:t>001-36395</w:t>
            </w:r>
          </w:p>
        </w:tc>
        <w:tc>
          <w:tcPr>
            <w:tcW w:w="10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6/24/2022</w:t>
            </w:r>
          </w:p>
        </w:tc>
        <w:tc>
          <w:tcPr>
            <w:tcW w:w="12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8"/>
                <w:szCs w:val="18"/>
                <w:color w:val="auto"/>
              </w:rPr>
              <w:t>10.1(a)</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Plan</w:t>
              </w:r>
            </w:hyperlink>
          </w:p>
        </w:tc>
        <w:tc>
          <w:tcPr>
            <w:tcW w:w="3360" w:type="dxa"/>
            <w:vAlign w:val="bottom"/>
            <w:gridSpan w:val="19"/>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10.1(b)*</w:t>
            </w:r>
          </w:p>
        </w:tc>
        <w:tc>
          <w:tcPr>
            <w:tcW w:w="140" w:type="dxa"/>
            <w:vAlign w:val="bottom"/>
          </w:tcPr>
          <w:p>
            <w:pPr>
              <w:spacing w:after="0"/>
              <w:rPr>
                <w:sz w:val="24"/>
                <w:szCs w:val="24"/>
                <w:color w:val="auto"/>
              </w:rPr>
            </w:pPr>
          </w:p>
        </w:tc>
        <w:tc>
          <w:tcPr>
            <w:tcW w:w="3400" w:type="dxa"/>
            <w:vAlign w:val="bottom"/>
            <w:tcBorders>
              <w:bottom w:val="single" w:sz="8" w:color="0000FF"/>
            </w:tcBorders>
            <w:gridSpan w:val="16"/>
          </w:tcPr>
          <w:p>
            <w:pPr>
              <w:spacing w:after="0"/>
              <w:rPr>
                <w:rFonts w:ascii="Arial" w:cs="Arial" w:eastAsia="Arial" w:hAnsi="Arial"/>
                <w:sz w:val="18"/>
                <w:szCs w:val="18"/>
                <w:color w:val="0000FF"/>
                <w:w w:val="99"/>
              </w:rPr>
            </w:pPr>
            <w:hyperlink r:id="rId72">
              <w:r>
                <w:rPr>
                  <w:rFonts w:ascii="Arial" w:cs="Arial" w:eastAsia="Arial" w:hAnsi="Arial"/>
                  <w:sz w:val="18"/>
                  <w:szCs w:val="18"/>
                  <w:color w:val="0000FF"/>
                  <w:w w:val="99"/>
                </w:rPr>
                <w:t>Form of Incentive Stock Option Agreement</w:t>
              </w:r>
            </w:hyperlink>
          </w:p>
        </w:tc>
        <w:tc>
          <w:tcPr>
            <w:tcW w:w="320" w:type="dxa"/>
            <w:vAlign w:val="bottom"/>
            <w:gridSpan w:val="4"/>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8-K</w:t>
            </w:r>
          </w:p>
        </w:tc>
        <w:tc>
          <w:tcPr>
            <w:tcW w:w="1520" w:type="dxa"/>
            <w:vAlign w:val="bottom"/>
            <w:gridSpan w:val="3"/>
          </w:tcPr>
          <w:p>
            <w:pPr>
              <w:jc w:val="right"/>
              <w:ind w:right="230"/>
              <w:spacing w:after="0"/>
              <w:rPr>
                <w:sz w:val="20"/>
                <w:szCs w:val="20"/>
                <w:color w:val="auto"/>
              </w:rPr>
            </w:pPr>
            <w:r>
              <w:rPr>
                <w:rFonts w:ascii="Arial" w:cs="Arial" w:eastAsia="Arial" w:hAnsi="Arial"/>
                <w:sz w:val="18"/>
                <w:szCs w:val="18"/>
                <w:color w:val="auto"/>
              </w:rPr>
              <w:t>001-36395</w:t>
            </w:r>
          </w:p>
        </w:tc>
        <w:tc>
          <w:tcPr>
            <w:tcW w:w="10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6/24/2022</w:t>
            </w:r>
          </w:p>
        </w:tc>
        <w:tc>
          <w:tcPr>
            <w:tcW w:w="12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8"/>
                <w:szCs w:val="18"/>
                <w:color w:val="auto"/>
              </w:rPr>
              <w:t>10.1(b)</w:t>
            </w:r>
          </w:p>
        </w:tc>
        <w:tc>
          <w:tcPr>
            <w:tcW w:w="1760" w:type="dxa"/>
            <w:vAlign w:val="bottom"/>
            <w:gridSpan w:val="2"/>
          </w:tcPr>
          <w:p>
            <w:pPr>
              <w:ind w:left="140"/>
              <w:spacing w:after="0"/>
              <w:rPr>
                <w:sz w:val="20"/>
                <w:szCs w:val="20"/>
                <w:color w:val="auto"/>
              </w:rPr>
            </w:pPr>
            <w:r>
              <w:rPr>
                <w:rFonts w:ascii="Arial" w:cs="Arial" w:eastAsia="Arial" w:hAnsi="Arial"/>
                <w:sz w:val="18"/>
                <w:szCs w:val="18"/>
                <w:color w:val="auto"/>
              </w:rPr>
              <w:t>10.1(a)</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FF"/>
            </w:tcBorders>
            <w:gridSpan w:val="14"/>
          </w:tcPr>
          <w:p>
            <w:pPr>
              <w:spacing w:after="0" w:line="196" w:lineRule="exact"/>
              <w:rPr>
                <w:rFonts w:ascii="Arial" w:cs="Arial" w:eastAsia="Arial" w:hAnsi="Arial"/>
                <w:sz w:val="18"/>
                <w:szCs w:val="18"/>
                <w:color w:val="0000FF"/>
                <w:w w:val="99"/>
              </w:rPr>
            </w:pPr>
            <w:hyperlink r:id="rId72">
              <w:r>
                <w:rPr>
                  <w:rFonts w:ascii="Arial" w:cs="Arial" w:eastAsia="Arial" w:hAnsi="Arial"/>
                  <w:sz w:val="18"/>
                  <w:szCs w:val="18"/>
                  <w:color w:val="0000FF"/>
                  <w:w w:val="99"/>
                </w:rPr>
                <w:t>for grants under the Daré Bioscience, Inc.</w:t>
              </w:r>
            </w:hyperlink>
          </w:p>
        </w:tc>
        <w:tc>
          <w:tcPr>
            <w:tcW w:w="4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FF"/>
            </w:tcBorders>
            <w:gridSpan w:val="5"/>
          </w:tcPr>
          <w:p>
            <w:pPr>
              <w:spacing w:after="0" w:line="196" w:lineRule="exact"/>
              <w:rPr>
                <w:rFonts w:ascii="Arial" w:cs="Arial" w:eastAsia="Arial" w:hAnsi="Arial"/>
                <w:sz w:val="18"/>
                <w:szCs w:val="18"/>
                <w:color w:val="0000FF"/>
                <w:w w:val="98"/>
              </w:rPr>
            </w:pPr>
            <w:hyperlink r:id="rId72">
              <w:r>
                <w:rPr>
                  <w:rFonts w:ascii="Arial" w:cs="Arial" w:eastAsia="Arial" w:hAnsi="Arial"/>
                  <w:sz w:val="18"/>
                  <w:szCs w:val="18"/>
                  <w:color w:val="0000FF"/>
                  <w:w w:val="98"/>
                </w:rPr>
                <w:t>2022 Stock Incentive Plan</w:t>
              </w:r>
            </w:hyperlink>
          </w:p>
        </w:tc>
        <w:tc>
          <w:tcPr>
            <w:tcW w:w="164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w:t>
            </w:r>
          </w:p>
        </w:tc>
        <w:tc>
          <w:tcPr>
            <w:tcW w:w="140" w:type="dxa"/>
            <w:vAlign w:val="bottom"/>
          </w:tcPr>
          <w:p>
            <w:pPr>
              <w:spacing w:after="0"/>
              <w:rPr>
                <w:sz w:val="24"/>
                <w:szCs w:val="24"/>
                <w:color w:val="auto"/>
              </w:rPr>
            </w:pPr>
          </w:p>
        </w:tc>
        <w:tc>
          <w:tcPr>
            <w:tcW w:w="3720" w:type="dxa"/>
            <w:vAlign w:val="bottom"/>
            <w:gridSpan w:val="20"/>
          </w:tcPr>
          <w:p>
            <w:pPr>
              <w:spacing w:after="0"/>
              <w:rPr>
                <w:rFonts w:ascii="Arial" w:cs="Arial" w:eastAsia="Arial" w:hAnsi="Arial"/>
                <w:sz w:val="18"/>
                <w:szCs w:val="18"/>
                <w:color w:val="0000FF"/>
              </w:rPr>
            </w:pPr>
            <w:hyperlink r:id="rId73">
              <w:r>
                <w:rPr>
                  <w:rFonts w:ascii="Arial" w:cs="Arial" w:eastAsia="Arial" w:hAnsi="Arial"/>
                  <w:sz w:val="18"/>
                  <w:szCs w:val="18"/>
                  <w:color w:val="0000FF"/>
                </w:rPr>
                <w:t>Form of Nonstatutory Stock Option</w:t>
              </w:r>
            </w:hyperlink>
          </w:p>
        </w:tc>
        <w:tc>
          <w:tcPr>
            <w:tcW w:w="560" w:type="dxa"/>
            <w:vAlign w:val="bottom"/>
          </w:tcPr>
          <w:p>
            <w:pPr>
              <w:ind w:left="140"/>
              <w:spacing w:after="0"/>
              <w:rPr>
                <w:sz w:val="20"/>
                <w:szCs w:val="20"/>
                <w:color w:val="auto"/>
              </w:rPr>
            </w:pPr>
            <w:r>
              <w:rPr>
                <w:rFonts w:ascii="Arial" w:cs="Arial" w:eastAsia="Arial" w:hAnsi="Arial"/>
                <w:sz w:val="18"/>
                <w:szCs w:val="18"/>
                <w:color w:val="auto"/>
              </w:rPr>
              <w:t>8-K</w:t>
            </w:r>
          </w:p>
        </w:tc>
        <w:tc>
          <w:tcPr>
            <w:tcW w:w="1520" w:type="dxa"/>
            <w:vAlign w:val="bottom"/>
            <w:gridSpan w:val="3"/>
          </w:tcPr>
          <w:p>
            <w:pPr>
              <w:jc w:val="right"/>
              <w:ind w:right="230"/>
              <w:spacing w:after="0"/>
              <w:rPr>
                <w:sz w:val="20"/>
                <w:szCs w:val="20"/>
                <w:color w:val="auto"/>
              </w:rPr>
            </w:pPr>
            <w:r>
              <w:rPr>
                <w:rFonts w:ascii="Arial" w:cs="Arial" w:eastAsia="Arial" w:hAnsi="Arial"/>
                <w:sz w:val="18"/>
                <w:szCs w:val="18"/>
                <w:color w:val="auto"/>
              </w:rPr>
              <w:t>001-36395</w:t>
            </w:r>
          </w:p>
        </w:tc>
        <w:tc>
          <w:tcPr>
            <w:tcW w:w="10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6/24/2022</w:t>
            </w:r>
          </w:p>
        </w:tc>
        <w:tc>
          <w:tcPr>
            <w:tcW w:w="12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8"/>
                <w:szCs w:val="18"/>
                <w:color w:val="auto"/>
              </w:rPr>
              <w:t>10.1(c)</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Agreement for grants under the Daré</w:t>
              </w:r>
            </w:hyperlink>
          </w:p>
        </w:tc>
        <w:tc>
          <w:tcPr>
            <w:tcW w:w="78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20"/>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Bioscience, Inc. 2022 Stock Incentive Plan</w:t>
              </w:r>
            </w:hyperlink>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9"/>
              </w:rPr>
              <w:t>Certification of principal executive officer</w:t>
            </w:r>
          </w:p>
        </w:tc>
        <w:tc>
          <w:tcPr>
            <w:tcW w:w="160" w:type="dxa"/>
            <w:vAlign w:val="bottom"/>
            <w:tcBorders>
              <w:top w:val="single" w:sz="8" w:color="0000FF"/>
            </w:tcBorders>
            <w:gridSpan w:val="4"/>
          </w:tcPr>
          <w:p>
            <w:pPr>
              <w:spacing w:after="0"/>
              <w:rPr>
                <w:sz w:val="24"/>
                <w:szCs w:val="24"/>
                <w:color w:val="auto"/>
              </w:rPr>
            </w:pPr>
          </w:p>
        </w:tc>
        <w:tc>
          <w:tcPr>
            <w:tcW w:w="34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18"/>
                <w:szCs w:val="18"/>
                <w:color w:val="0000FF"/>
                <w:w w:val="99"/>
              </w:rPr>
              <w:t>pursuant to Rule 13a-14(a)/15d-14(a) of the</w:t>
            </w:r>
          </w:p>
        </w:tc>
        <w:tc>
          <w:tcPr>
            <w:tcW w:w="2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20"/>
          </w:tcPr>
          <w:p>
            <w:pPr>
              <w:spacing w:after="0" w:line="196" w:lineRule="exact"/>
              <w:rPr>
                <w:sz w:val="20"/>
                <w:szCs w:val="20"/>
                <w:color w:val="auto"/>
              </w:rPr>
            </w:pPr>
            <w:r>
              <w:rPr>
                <w:rFonts w:ascii="Arial" w:cs="Arial" w:eastAsia="Arial" w:hAnsi="Arial"/>
                <w:sz w:val="18"/>
                <w:szCs w:val="18"/>
                <w:color w:val="0000FF"/>
              </w:rPr>
              <w:t>Securities Exchange Act of 1934, as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FF"/>
            </w:tcBorders>
            <w:gridSpan w:val="7"/>
          </w:tcPr>
          <w:p>
            <w:pPr>
              <w:spacing w:after="0" w:line="196" w:lineRule="exact"/>
              <w:rPr>
                <w:sz w:val="20"/>
                <w:szCs w:val="20"/>
                <w:color w:val="auto"/>
              </w:rPr>
            </w:pPr>
            <w:r>
              <w:rPr>
                <w:rFonts w:ascii="Arial" w:cs="Arial" w:eastAsia="Arial" w:hAnsi="Arial"/>
                <w:sz w:val="18"/>
                <w:szCs w:val="18"/>
                <w:color w:val="0000FF"/>
              </w:rPr>
              <w:t>amended</w:t>
            </w:r>
          </w:p>
        </w:tc>
        <w:tc>
          <w:tcPr>
            <w:tcW w:w="84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Certification of principal financial officer</w:t>
            </w:r>
          </w:p>
        </w:tc>
        <w:tc>
          <w:tcPr>
            <w:tcW w:w="60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18"/>
                <w:szCs w:val="18"/>
                <w:color w:val="0000FF"/>
                <w:w w:val="99"/>
              </w:rPr>
              <w:t>pursuant to Rule 13a-14(a)/15d-14(a) of the</w:t>
            </w:r>
          </w:p>
        </w:tc>
        <w:tc>
          <w:tcPr>
            <w:tcW w:w="2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20"/>
          </w:tcPr>
          <w:p>
            <w:pPr>
              <w:spacing w:after="0" w:line="196" w:lineRule="exact"/>
              <w:rPr>
                <w:sz w:val="20"/>
                <w:szCs w:val="20"/>
                <w:color w:val="auto"/>
              </w:rPr>
            </w:pPr>
            <w:r>
              <w:rPr>
                <w:rFonts w:ascii="Arial" w:cs="Arial" w:eastAsia="Arial" w:hAnsi="Arial"/>
                <w:sz w:val="18"/>
                <w:szCs w:val="18"/>
                <w:color w:val="0000FF"/>
              </w:rPr>
              <w:t>Securities Exchange Act of 1934, as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FF"/>
            </w:tcBorders>
            <w:gridSpan w:val="7"/>
          </w:tcPr>
          <w:p>
            <w:pPr>
              <w:spacing w:after="0" w:line="196" w:lineRule="exact"/>
              <w:rPr>
                <w:sz w:val="20"/>
                <w:szCs w:val="20"/>
                <w:color w:val="auto"/>
              </w:rPr>
            </w:pPr>
            <w:r>
              <w:rPr>
                <w:rFonts w:ascii="Arial" w:cs="Arial" w:eastAsia="Arial" w:hAnsi="Arial"/>
                <w:sz w:val="18"/>
                <w:szCs w:val="18"/>
                <w:color w:val="0000FF"/>
              </w:rPr>
              <w:t>amended</w:t>
            </w:r>
          </w:p>
        </w:tc>
        <w:tc>
          <w:tcPr>
            <w:tcW w:w="84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Certification of principal executive officer</w:t>
            </w:r>
          </w:p>
        </w:tc>
        <w:tc>
          <w:tcPr>
            <w:tcW w:w="50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20"/>
          </w:tcPr>
          <w:p>
            <w:pPr>
              <w:spacing w:after="0" w:line="196" w:lineRule="exact"/>
              <w:rPr>
                <w:sz w:val="20"/>
                <w:szCs w:val="20"/>
                <w:color w:val="auto"/>
              </w:rPr>
            </w:pPr>
            <w:r>
              <w:rPr>
                <w:rFonts w:ascii="Arial" w:cs="Arial" w:eastAsia="Arial" w:hAnsi="Arial"/>
                <w:sz w:val="18"/>
                <w:szCs w:val="18"/>
                <w:color w:val="0000FF"/>
              </w:rPr>
              <w:t>pursuant to 18 U.S.C. §1350, as adopted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pursuant to Section 906 of the Sarbanes-</w:t>
            </w:r>
          </w:p>
        </w:tc>
        <w:tc>
          <w:tcPr>
            <w:tcW w:w="44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8"/>
              </w:rPr>
              <w:t>Oxley Act of 2002</w:t>
            </w:r>
          </w:p>
        </w:tc>
        <w:tc>
          <w:tcPr>
            <w:tcW w:w="230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Certification of principal financial officer</w:t>
            </w:r>
          </w:p>
        </w:tc>
        <w:tc>
          <w:tcPr>
            <w:tcW w:w="60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20"/>
          </w:tcPr>
          <w:p>
            <w:pPr>
              <w:spacing w:after="0" w:line="196" w:lineRule="exact"/>
              <w:rPr>
                <w:sz w:val="20"/>
                <w:szCs w:val="20"/>
                <w:color w:val="auto"/>
              </w:rPr>
            </w:pPr>
            <w:r>
              <w:rPr>
                <w:rFonts w:ascii="Arial" w:cs="Arial" w:eastAsia="Arial" w:hAnsi="Arial"/>
                <w:sz w:val="18"/>
                <w:szCs w:val="18"/>
                <w:color w:val="0000FF"/>
              </w:rPr>
              <w:t>pursuant to 18 U.S.C. §1350, as adopted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12"/>
            <w:shd w:val="clear" w:color="auto" w:fill="0000FF"/>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pursuant to Section 906 of the Sarbanes-</w:t>
            </w:r>
          </w:p>
        </w:tc>
        <w:tc>
          <w:tcPr>
            <w:tcW w:w="44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8"/>
              </w:rPr>
              <w:t>Oxley Act of 2002</w:t>
            </w:r>
          </w:p>
        </w:tc>
        <w:tc>
          <w:tcPr>
            <w:tcW w:w="2300" w:type="dxa"/>
            <w:vAlign w:val="bottom"/>
            <w:gridSpan w:val="16"/>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1"/>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XBRL Taxonomy Extension Schema</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XBRL Taxonomy Extension Calculation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XBRL Taxonomy Extension Definition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gridSpan w:val="20"/>
          </w:tcPr>
          <w:p>
            <w:pPr>
              <w:spacing w:after="0"/>
              <w:rPr>
                <w:sz w:val="20"/>
                <w:szCs w:val="20"/>
                <w:color w:val="auto"/>
              </w:rPr>
            </w:pPr>
            <w:r>
              <w:rPr>
                <w:rFonts w:ascii="Arial" w:cs="Arial" w:eastAsia="Arial" w:hAnsi="Arial"/>
                <w:sz w:val="18"/>
                <w:szCs w:val="18"/>
                <w:color w:val="auto"/>
              </w:rPr>
              <w:t>Linkbase Document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300" w:hanging="807"/>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ind w:left="829" w:hanging="829"/>
        <w:spacing w:after="0" w:line="225" w:lineRule="auto"/>
        <w:tabs>
          <w:tab w:leader="none" w:pos="8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5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9"/>
          </w:cols>
          <w:pgMar w:left="811" w:top="1066" w:right="3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Daré Bioscience, Inc.</w:t>
            </w:r>
          </w:p>
        </w:tc>
      </w:tr>
      <w:tr>
        <w:trPr>
          <w:trHeight w:val="495"/>
        </w:trPr>
        <w:tc>
          <w:tcPr>
            <w:tcW w:w="3460" w:type="dxa"/>
            <w:vAlign w:val="bottom"/>
          </w:tcPr>
          <w:p>
            <w:pPr>
              <w:spacing w:after="0"/>
              <w:rPr>
                <w:sz w:val="20"/>
                <w:szCs w:val="20"/>
                <w:color w:val="auto"/>
              </w:rPr>
            </w:pPr>
            <w:r>
              <w:rPr>
                <w:rFonts w:ascii="Arial" w:cs="Arial" w:eastAsia="Arial" w:hAnsi="Arial"/>
                <w:sz w:val="18"/>
                <w:szCs w:val="18"/>
                <w:color w:val="auto"/>
              </w:rPr>
              <w:t>Date: August 9, 2022</w:t>
            </w:r>
          </w:p>
        </w:tc>
        <w:tc>
          <w:tcPr>
            <w:tcW w:w="2040" w:type="dxa"/>
            <w:vAlign w:val="bottom"/>
          </w:tcPr>
          <w:p>
            <w:pPr>
              <w:ind w:left="178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18"/>
        </w:trPr>
        <w:tc>
          <w:tcPr>
            <w:tcW w:w="3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29"/>
        </w:trPr>
        <w:tc>
          <w:tcPr>
            <w:tcW w:w="34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3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3460" w:type="dxa"/>
            <w:vAlign w:val="bottom"/>
          </w:tcPr>
          <w:p>
            <w:pPr>
              <w:spacing w:after="0"/>
              <w:rPr>
                <w:sz w:val="20"/>
                <w:szCs w:val="20"/>
                <w:color w:val="auto"/>
              </w:rPr>
            </w:pPr>
            <w:r>
              <w:rPr>
                <w:rFonts w:ascii="Arial" w:cs="Arial" w:eastAsia="Arial" w:hAnsi="Arial"/>
                <w:sz w:val="18"/>
                <w:szCs w:val="18"/>
                <w:color w:val="auto"/>
              </w:rPr>
              <w:t>Date: August 9, 2022</w:t>
            </w:r>
          </w:p>
        </w:tc>
        <w:tc>
          <w:tcPr>
            <w:tcW w:w="2040" w:type="dxa"/>
            <w:vAlign w:val="bottom"/>
          </w:tcPr>
          <w:p>
            <w:pPr>
              <w:ind w:left="178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Walters-Hoffert</w:t>
            </w:r>
          </w:p>
        </w:tc>
      </w:tr>
      <w:tr>
        <w:trPr>
          <w:trHeight w:val="218"/>
        </w:trPr>
        <w:tc>
          <w:tcPr>
            <w:tcW w:w="3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Lisa Walters-Hoffert</w:t>
            </w:r>
          </w:p>
        </w:tc>
      </w:tr>
      <w:tr>
        <w:trPr>
          <w:trHeight w:val="230"/>
        </w:trPr>
        <w:tc>
          <w:tcPr>
            <w:tcW w:w="34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3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04"/>
        </w:trPr>
        <w:tc>
          <w:tcPr>
            <w:tcW w:w="3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700" w:type="dxa"/>
            <w:vAlign w:val="bottom"/>
            <w:gridSpan w:val="2"/>
          </w:tcPr>
          <w:p>
            <w:pPr>
              <w:jc w:val="right"/>
              <w:ind w:right="5410"/>
              <w:spacing w:after="0"/>
              <w:rPr>
                <w:sz w:val="20"/>
                <w:szCs w:val="20"/>
                <w:color w:val="auto"/>
              </w:rPr>
            </w:pPr>
            <w:r>
              <w:rPr>
                <w:rFonts w:ascii="Arial" w:cs="Arial" w:eastAsia="Arial" w:hAnsi="Arial"/>
                <w:sz w:val="18"/>
                <w:szCs w:val="18"/>
                <w:color w:val="auto"/>
                <w:w w:val="89"/>
              </w:rPr>
              <w:t>41</w:t>
            </w:r>
          </w:p>
        </w:tc>
      </w:tr>
    </w:tbl>
    <w:p>
      <w:pPr>
        <w:sectPr>
          <w:pgSz w:w="11900" w:h="16838" w:orient="portrait"/>
          <w:cols w:equalWidth="0" w:num="1">
            <w:col w:w="11220"/>
          </w:cols>
          <w:pgMar w:left="320" w:top="1106" w:right="3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540"/>
        <w:spacing w:after="0"/>
        <w:rPr>
          <w:sz w:val="20"/>
          <w:szCs w:val="20"/>
          <w:color w:val="auto"/>
        </w:rPr>
      </w:pPr>
      <w:r>
        <w:rPr>
          <w:rFonts w:ascii="Times New Roman" w:cs="Times New Roman" w:eastAsia="Times New Roman" w:hAnsi="Times New Roman"/>
          <w:sz w:val="20"/>
          <w:szCs w:val="20"/>
          <w:b w:val="1"/>
          <w:bCs w:val="1"/>
          <w:color w:val="080808"/>
        </w:rPr>
        <w:t>State of Delaware</w:t>
      </w:r>
    </w:p>
    <w:p>
      <w:pPr>
        <w:spacing w:after="0" w:line="32" w:lineRule="exact"/>
        <w:rPr>
          <w:sz w:val="20"/>
          <w:szCs w:val="20"/>
          <w:color w:val="auto"/>
        </w:rPr>
      </w:pPr>
    </w:p>
    <w:p>
      <w:pPr>
        <w:jc w:val="center"/>
        <w:ind w:right="6540"/>
        <w:spacing w:after="0"/>
        <w:rPr>
          <w:sz w:val="20"/>
          <w:szCs w:val="20"/>
          <w:color w:val="auto"/>
        </w:rPr>
      </w:pPr>
      <w:r>
        <w:rPr>
          <w:rFonts w:ascii="Times New Roman" w:cs="Times New Roman" w:eastAsia="Times New Roman" w:hAnsi="Times New Roman"/>
          <w:sz w:val="20"/>
          <w:szCs w:val="20"/>
          <w:b w:val="1"/>
          <w:bCs w:val="1"/>
          <w:color w:val="080808"/>
        </w:rPr>
        <w:t>Secretary of State</w:t>
      </w:r>
    </w:p>
    <w:p>
      <w:pPr>
        <w:spacing w:after="0" w:line="13" w:lineRule="exact"/>
        <w:rPr>
          <w:sz w:val="20"/>
          <w:szCs w:val="20"/>
          <w:color w:val="auto"/>
        </w:rPr>
      </w:pPr>
    </w:p>
    <w:p>
      <w:pPr>
        <w:jc w:val="center"/>
        <w:ind w:right="6540"/>
        <w:spacing w:after="0"/>
        <w:rPr>
          <w:sz w:val="20"/>
          <w:szCs w:val="20"/>
          <w:color w:val="auto"/>
        </w:rPr>
      </w:pPr>
      <w:r>
        <w:rPr>
          <w:rFonts w:ascii="Times New Roman" w:cs="Times New Roman" w:eastAsia="Times New Roman" w:hAnsi="Times New Roman"/>
          <w:sz w:val="20"/>
          <w:szCs w:val="20"/>
          <w:b w:val="1"/>
          <w:bCs w:val="1"/>
          <w:color w:val="080808"/>
        </w:rPr>
        <w:t>Division of Corporations</w:t>
      </w:r>
    </w:p>
    <w:p>
      <w:pPr>
        <w:spacing w:after="0" w:line="13" w:lineRule="exact"/>
        <w:rPr>
          <w:sz w:val="20"/>
          <w:szCs w:val="20"/>
          <w:color w:val="auto"/>
        </w:rPr>
      </w:pPr>
    </w:p>
    <w:p>
      <w:pPr>
        <w:jc w:val="center"/>
        <w:ind w:right="6540"/>
        <w:spacing w:after="0"/>
        <w:rPr>
          <w:sz w:val="20"/>
          <w:szCs w:val="20"/>
          <w:color w:val="auto"/>
        </w:rPr>
      </w:pPr>
      <w:r>
        <w:rPr>
          <w:rFonts w:ascii="Times New Roman" w:cs="Times New Roman" w:eastAsia="Times New Roman" w:hAnsi="Times New Roman"/>
          <w:sz w:val="20"/>
          <w:szCs w:val="20"/>
          <w:b w:val="1"/>
          <w:bCs w:val="1"/>
          <w:color w:val="080808"/>
        </w:rPr>
        <w:t>Delivered 01:12 PM 07/14/2022</w:t>
      </w:r>
    </w:p>
    <w:p>
      <w:pPr>
        <w:spacing w:after="0" w:line="13" w:lineRule="exact"/>
        <w:rPr>
          <w:sz w:val="20"/>
          <w:szCs w:val="20"/>
          <w:color w:val="auto"/>
        </w:rPr>
      </w:pPr>
    </w:p>
    <w:p>
      <w:pPr>
        <w:jc w:val="center"/>
        <w:ind w:right="6540"/>
        <w:spacing w:after="0"/>
        <w:rPr>
          <w:sz w:val="20"/>
          <w:szCs w:val="20"/>
          <w:color w:val="auto"/>
        </w:rPr>
      </w:pPr>
      <w:r>
        <w:rPr>
          <w:rFonts w:ascii="Times New Roman" w:cs="Times New Roman" w:eastAsia="Times New Roman" w:hAnsi="Times New Roman"/>
          <w:sz w:val="20"/>
          <w:szCs w:val="20"/>
          <w:b w:val="1"/>
          <w:bCs w:val="1"/>
          <w:color w:val="080808"/>
        </w:rPr>
        <w:t>FILED 01:12 PM 07/14/22</w:t>
      </w:r>
    </w:p>
    <w:p>
      <w:pPr>
        <w:spacing w:after="0" w:line="13" w:lineRule="exact"/>
        <w:rPr>
          <w:sz w:val="20"/>
          <w:szCs w:val="20"/>
          <w:color w:val="auto"/>
        </w:rPr>
      </w:pPr>
    </w:p>
    <w:p>
      <w:pPr>
        <w:jc w:val="center"/>
        <w:ind w:right="6540"/>
        <w:spacing w:after="0"/>
        <w:rPr>
          <w:sz w:val="20"/>
          <w:szCs w:val="20"/>
          <w:color w:val="auto"/>
        </w:rPr>
      </w:pPr>
      <w:r>
        <w:rPr>
          <w:rFonts w:ascii="Times New Roman" w:cs="Times New Roman" w:eastAsia="Times New Roman" w:hAnsi="Times New Roman"/>
          <w:sz w:val="20"/>
          <w:szCs w:val="20"/>
          <w:b w:val="1"/>
          <w:bCs w:val="1"/>
          <w:color w:val="080808"/>
        </w:rPr>
        <w:t>SR 20222989692 – File Number 4067151</w:t>
      </w:r>
    </w:p>
    <w:p>
      <w:pPr>
        <w:spacing w:after="0" w:line="200" w:lineRule="exact"/>
        <w:rPr>
          <w:sz w:val="20"/>
          <w:szCs w:val="20"/>
          <w:color w:val="auto"/>
        </w:rPr>
      </w:pPr>
    </w:p>
    <w:p>
      <w:pPr>
        <w:spacing w:after="0" w:line="370"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CERTIFICATE OF AMENDMENT</w:t>
      </w:r>
    </w:p>
    <w:p>
      <w:pPr>
        <w:ind w:left="5480"/>
        <w:spacing w:after="0" w:line="197" w:lineRule="auto"/>
        <w:rPr>
          <w:sz w:val="20"/>
          <w:szCs w:val="20"/>
          <w:color w:val="auto"/>
        </w:rPr>
      </w:pPr>
      <w:r>
        <w:rPr>
          <w:rFonts w:ascii="Arial" w:cs="Arial" w:eastAsia="Arial" w:hAnsi="Arial"/>
          <w:sz w:val="20"/>
          <w:szCs w:val="20"/>
          <w:b w:val="1"/>
          <w:bCs w:val="1"/>
          <w:color w:val="auto"/>
        </w:rPr>
        <w:t>OF</w:t>
      </w:r>
    </w:p>
    <w:p>
      <w:pPr>
        <w:jc w:val="center"/>
        <w:spacing w:after="0" w:line="211" w:lineRule="auto"/>
        <w:rPr>
          <w:sz w:val="20"/>
          <w:szCs w:val="20"/>
          <w:color w:val="auto"/>
        </w:rPr>
      </w:pPr>
      <w:r>
        <w:rPr>
          <w:rFonts w:ascii="Arial" w:cs="Arial" w:eastAsia="Arial" w:hAnsi="Arial"/>
          <w:sz w:val="20"/>
          <w:szCs w:val="20"/>
          <w:b w:val="1"/>
          <w:bCs w:val="1"/>
          <w:color w:val="auto"/>
        </w:rPr>
        <w:t>RESTATED CERTIFICATE OF INCORPORATION</w:t>
      </w:r>
    </w:p>
    <w:p>
      <w:pPr>
        <w:jc w:val="center"/>
        <w:spacing w:after="0" w:line="211" w:lineRule="auto"/>
        <w:rPr>
          <w:sz w:val="20"/>
          <w:szCs w:val="20"/>
          <w:color w:val="auto"/>
        </w:rPr>
      </w:pPr>
      <w:r>
        <w:rPr>
          <w:rFonts w:ascii="Arial" w:cs="Arial" w:eastAsia="Arial" w:hAnsi="Arial"/>
          <w:sz w:val="20"/>
          <w:szCs w:val="20"/>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DARÉ BIOSCIENCE, INC.</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Daré Bioscience, Inc. (the “Corporation”), a corporation organized and existing under the General Corporation Law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State of Delaware (the “DGCL”), hereby certifies as follows:</w:t>
      </w:r>
    </w:p>
    <w:p>
      <w:pPr>
        <w:spacing w:after="0" w:line="117" w:lineRule="exact"/>
        <w:rPr>
          <w:sz w:val="20"/>
          <w:szCs w:val="20"/>
          <w:color w:val="auto"/>
        </w:rPr>
      </w:pPr>
    </w:p>
    <w:p>
      <w:pPr>
        <w:jc w:val="both"/>
        <w:ind w:firstLine="8"/>
        <w:spacing w:after="0" w:line="223" w:lineRule="auto"/>
        <w:tabs>
          <w:tab w:leader="none" w:pos="51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This Certificate of Amendment (this “Certificate of Amendment”) amends the provisions of the Corporation’s Restated Certificate of Incorporation filed with the Secretary of State on April 15, 2014, as amended by the Certificate of Amendment thereto filed with the Secretary of State on July 19, 2017 and by another Certificate of Amendment thereto filed with the Secretary of State on July 19, 2017 (as amended to date, the “Certificate of Incorporation”).</w:t>
      </w:r>
    </w:p>
    <w:p>
      <w:pPr>
        <w:spacing w:after="0" w:line="90" w:lineRule="exact"/>
        <w:rPr>
          <w:rFonts w:ascii="Arial" w:cs="Arial" w:eastAsia="Arial" w:hAnsi="Arial"/>
          <w:sz w:val="20"/>
          <w:szCs w:val="20"/>
          <w:color w:val="auto"/>
        </w:rPr>
      </w:pP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Article FOURTH of the Certificate of Incorporation is hereby amended and restated in its entirety as follows: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“FOURTH. The total number of shares of all classes of stock which the Corporation shall have authority to issue</w:t>
      </w:r>
    </w:p>
    <w:p>
      <w:pPr>
        <w:ind w:left="660" w:right="820"/>
        <w:spacing w:after="0" w:line="225" w:lineRule="auto"/>
        <w:rPr>
          <w:sz w:val="20"/>
          <w:szCs w:val="20"/>
          <w:color w:val="auto"/>
        </w:rPr>
      </w:pPr>
      <w:r>
        <w:rPr>
          <w:rFonts w:ascii="Arial" w:cs="Arial" w:eastAsia="Arial" w:hAnsi="Arial"/>
          <w:sz w:val="20"/>
          <w:szCs w:val="20"/>
          <w:color w:val="auto"/>
        </w:rPr>
        <w:t>is 245,000,000 shares, consisting of (i) 240,000,000 shares of Common Stock, $.0001 par value per share (“Common Stock”), and (ii) 5,000,000 shares of Preferred Stock, $.01 par value per share (“Preferred Stock”).”</w:t>
      </w:r>
    </w:p>
    <w:p>
      <w:pPr>
        <w:spacing w:after="0" w:line="104"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This amendment was duly adopted in accordance with the provisions of Section 242 of the DGCL.</w:t>
      </w:r>
    </w:p>
    <w:p>
      <w:pPr>
        <w:spacing w:after="0" w:line="121" w:lineRule="exact"/>
        <w:rPr>
          <w:rFonts w:ascii="Arial" w:cs="Arial" w:eastAsia="Arial" w:hAnsi="Arial"/>
          <w:sz w:val="20"/>
          <w:szCs w:val="20"/>
          <w:color w:val="auto"/>
        </w:rPr>
      </w:pP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All other provisions of the Certificate of Incorporation shall remain in full force and effect.</w:t>
      </w:r>
    </w:p>
    <w:p>
      <w:pPr>
        <w:spacing w:after="0" w:line="135" w:lineRule="exact"/>
        <w:rPr>
          <w:sz w:val="20"/>
          <w:szCs w:val="20"/>
          <w:color w:val="auto"/>
        </w:rPr>
      </w:pPr>
    </w:p>
    <w:p>
      <w:pPr>
        <w:ind w:firstLine="648"/>
        <w:spacing w:after="0" w:line="264" w:lineRule="auto"/>
        <w:rPr>
          <w:sz w:val="20"/>
          <w:szCs w:val="20"/>
          <w:color w:val="auto"/>
        </w:rPr>
      </w:pPr>
      <w:r>
        <w:rPr>
          <w:rFonts w:ascii="Arial" w:cs="Arial" w:eastAsia="Arial" w:hAnsi="Arial"/>
          <w:sz w:val="20"/>
          <w:szCs w:val="20"/>
          <w:color w:val="auto"/>
        </w:rPr>
        <w:t>IN WITNESS WHEREOF, the Corporation has caused this Certificate of Amendment to be executed by its duly authorized officer on this this 14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2022.</w:t>
      </w:r>
    </w:p>
    <w:p>
      <w:pPr>
        <w:spacing w:after="0" w:line="92"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Daré Bioscience, Inc.</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By:  /s/ Sabrina Martucci Johnson</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-142875</wp:posOffset>
            </wp:positionV>
            <wp:extent cx="40119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20"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Title: Chief Executive Officer, President and Secretary</w:t>
      </w:r>
    </w:p>
    <w:p>
      <w:pPr>
        <w:sectPr>
          <w:pgSz w:w="11900" w:h="16838" w:orient="portrait"/>
          <w:cols w:equalWidth="0" w:num="1">
            <w:col w:w="11240"/>
          </w:cols>
          <w:pgMar w:left="320" w:top="100" w:right="339" w:bottom="1440" w:gutter="0" w:footer="0" w:header="0"/>
        </w:sectPr>
      </w:pPr>
    </w:p>
    <w:bookmarkStart w:id="47" w:name="page48"/>
    <w:bookmarkEnd w:id="47"/>
    <w:p>
      <w:pPr>
        <w:spacing w:after="0" w:line="32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20"/>
          <w:szCs w:val="20"/>
          <w:b w:val="1"/>
          <w:bCs w:val="1"/>
          <w:color w:val="080808"/>
        </w:rPr>
        <w:t>S</w:t>
      </w:r>
      <w:r>
        <w:rPr>
          <w:rFonts w:ascii="Times New Roman" w:cs="Times New Roman" w:eastAsia="Times New Roman" w:hAnsi="Times New Roman"/>
          <w:sz w:val="20"/>
          <w:szCs w:val="20"/>
          <w:b w:val="1"/>
          <w:bCs w:val="1"/>
          <w:color w:val="262324"/>
        </w:rPr>
        <w:t>t</w:t>
      </w:r>
      <w:r>
        <w:rPr>
          <w:rFonts w:ascii="Times New Roman" w:cs="Times New Roman" w:eastAsia="Times New Roman" w:hAnsi="Times New Roman"/>
          <w:sz w:val="20"/>
          <w:szCs w:val="20"/>
          <w:b w:val="1"/>
          <w:bCs w:val="1"/>
          <w:color w:val="080808"/>
        </w:rPr>
        <w:t>at</w:t>
      </w:r>
      <w:r>
        <w:rPr>
          <w:rFonts w:ascii="Times New Roman" w:cs="Times New Roman" w:eastAsia="Times New Roman" w:hAnsi="Times New Roman"/>
          <w:sz w:val="20"/>
          <w:szCs w:val="20"/>
          <w:b w:val="1"/>
          <w:bCs w:val="1"/>
          <w:color w:val="262324"/>
        </w:rPr>
        <w:t>e o</w:t>
      </w:r>
      <w:r>
        <w:rPr>
          <w:rFonts w:ascii="Times New Roman" w:cs="Times New Roman" w:eastAsia="Times New Roman" w:hAnsi="Times New Roman"/>
          <w:sz w:val="20"/>
          <w:szCs w:val="20"/>
          <w:b w:val="1"/>
          <w:bCs w:val="1"/>
          <w:color w:val="080808"/>
        </w:rPr>
        <w:t>f Delaware</w:t>
      </w:r>
    </w:p>
    <w:p>
      <w:pPr>
        <w:spacing w:after="0" w:line="3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0"/>
          <w:szCs w:val="20"/>
          <w:b w:val="1"/>
          <w:bCs w:val="1"/>
          <w:color w:val="080808"/>
        </w:rPr>
        <w:t>Secreta</w:t>
      </w:r>
      <w:r>
        <w:rPr>
          <w:rFonts w:ascii="Times New Roman" w:cs="Times New Roman" w:eastAsia="Times New Roman" w:hAnsi="Times New Roman"/>
          <w:sz w:val="20"/>
          <w:szCs w:val="20"/>
          <w:b w:val="1"/>
          <w:bCs w:val="1"/>
          <w:color w:val="363438"/>
        </w:rPr>
        <w:t>ry</w:t>
      </w:r>
      <w:r>
        <w:rPr>
          <w:rFonts w:ascii="Times New Roman" w:cs="Times New Roman" w:eastAsia="Times New Roman" w:hAnsi="Times New Roman"/>
          <w:sz w:val="20"/>
          <w:szCs w:val="20"/>
          <w:b w:val="1"/>
          <w:bCs w:val="1"/>
          <w:color w:val="080808"/>
        </w:rPr>
        <w:t xml:space="preserve"> of Stat</w:t>
      </w:r>
      <w:r>
        <w:rPr>
          <w:rFonts w:ascii="Times New Roman" w:cs="Times New Roman" w:eastAsia="Times New Roman" w:hAnsi="Times New Roman"/>
          <w:sz w:val="20"/>
          <w:szCs w:val="20"/>
          <w:b w:val="1"/>
          <w:bCs w:val="1"/>
          <w:color w:val="262324"/>
        </w:rPr>
        <w:t>e</w:t>
      </w:r>
    </w:p>
    <w:p>
      <w:pPr>
        <w:spacing w:after="0" w:line="1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20"/>
          <w:szCs w:val="20"/>
          <w:b w:val="1"/>
          <w:bCs w:val="1"/>
          <w:color w:val="080808"/>
        </w:rPr>
        <w:t>Divi</w:t>
      </w:r>
      <w:r>
        <w:rPr>
          <w:rFonts w:ascii="Times New Roman" w:cs="Times New Roman" w:eastAsia="Times New Roman" w:hAnsi="Times New Roman"/>
          <w:sz w:val="20"/>
          <w:szCs w:val="20"/>
          <w:b w:val="1"/>
          <w:bCs w:val="1"/>
          <w:color w:val="262324"/>
        </w:rPr>
        <w:t>s</w:t>
      </w:r>
      <w:r>
        <w:rPr>
          <w:rFonts w:ascii="Times New Roman" w:cs="Times New Roman" w:eastAsia="Times New Roman" w:hAnsi="Times New Roman"/>
          <w:sz w:val="20"/>
          <w:szCs w:val="20"/>
          <w:b w:val="1"/>
          <w:bCs w:val="1"/>
          <w:color w:val="080808"/>
        </w:rPr>
        <w:t xml:space="preserve">ion of </w:t>
      </w:r>
      <w:r>
        <w:rPr>
          <w:rFonts w:ascii="Times New Roman" w:cs="Times New Roman" w:eastAsia="Times New Roman" w:hAnsi="Times New Roman"/>
          <w:sz w:val="20"/>
          <w:szCs w:val="20"/>
          <w:b w:val="1"/>
          <w:bCs w:val="1"/>
          <w:color w:val="262324"/>
        </w:rPr>
        <w:t>Co</w:t>
      </w:r>
      <w:r>
        <w:rPr>
          <w:rFonts w:ascii="Times New Roman" w:cs="Times New Roman" w:eastAsia="Times New Roman" w:hAnsi="Times New Roman"/>
          <w:sz w:val="20"/>
          <w:szCs w:val="20"/>
          <w:b w:val="1"/>
          <w:bCs w:val="1"/>
          <w:color w:val="080808"/>
        </w:rPr>
        <w:t>rp</w:t>
      </w:r>
      <w:r>
        <w:rPr>
          <w:rFonts w:ascii="Times New Roman" w:cs="Times New Roman" w:eastAsia="Times New Roman" w:hAnsi="Times New Roman"/>
          <w:sz w:val="20"/>
          <w:szCs w:val="20"/>
          <w:b w:val="1"/>
          <w:bCs w:val="1"/>
          <w:color w:val="262324"/>
        </w:rPr>
        <w:t>o</w:t>
      </w:r>
      <w:r>
        <w:rPr>
          <w:rFonts w:ascii="Times New Roman" w:cs="Times New Roman" w:eastAsia="Times New Roman" w:hAnsi="Times New Roman"/>
          <w:sz w:val="20"/>
          <w:szCs w:val="20"/>
          <w:b w:val="1"/>
          <w:bCs w:val="1"/>
          <w:color w:val="080808"/>
        </w:rPr>
        <w:t>rations</w:t>
      </w:r>
    </w:p>
    <w:p>
      <w:pPr>
        <w:spacing w:after="0" w:line="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0"/>
          <w:szCs w:val="20"/>
          <w:b w:val="1"/>
          <w:bCs w:val="1"/>
          <w:color w:val="080808"/>
        </w:rPr>
        <w:t>Deli</w:t>
      </w:r>
      <w:r>
        <w:rPr>
          <w:rFonts w:ascii="Times New Roman" w:cs="Times New Roman" w:eastAsia="Times New Roman" w:hAnsi="Times New Roman"/>
          <w:sz w:val="20"/>
          <w:szCs w:val="20"/>
          <w:b w:val="1"/>
          <w:bCs w:val="1"/>
          <w:color w:val="363438"/>
        </w:rPr>
        <w:t>v</w:t>
      </w:r>
      <w:r>
        <w:rPr>
          <w:rFonts w:ascii="Times New Roman" w:cs="Times New Roman" w:eastAsia="Times New Roman" w:hAnsi="Times New Roman"/>
          <w:sz w:val="20"/>
          <w:szCs w:val="20"/>
          <w:b w:val="1"/>
          <w:bCs w:val="1"/>
          <w:color w:val="080808"/>
        </w:rPr>
        <w:t>ered 10</w:t>
      </w:r>
      <w:r>
        <w:rPr>
          <w:rFonts w:ascii="Times New Roman" w:cs="Times New Roman" w:eastAsia="Times New Roman" w:hAnsi="Times New Roman"/>
          <w:sz w:val="20"/>
          <w:szCs w:val="20"/>
          <w:b w:val="1"/>
          <w:bCs w:val="1"/>
          <w:color w:val="262324"/>
        </w:rPr>
        <w:t>:</w:t>
      </w:r>
      <w:r>
        <w:rPr>
          <w:rFonts w:ascii="Times New Roman" w:cs="Times New Roman" w:eastAsia="Times New Roman" w:hAnsi="Times New Roman"/>
          <w:sz w:val="20"/>
          <w:szCs w:val="20"/>
          <w:b w:val="1"/>
          <w:bCs w:val="1"/>
          <w:color w:val="080808"/>
        </w:rPr>
        <w:t>43</w:t>
      </w:r>
      <w:r>
        <w:rPr>
          <w:rFonts w:ascii="Times New Roman" w:cs="Times New Roman" w:eastAsia="Times New Roman" w:hAnsi="Times New Roman"/>
          <w:sz w:val="20"/>
          <w:szCs w:val="20"/>
          <w:b w:val="1"/>
          <w:bCs w:val="1"/>
          <w:color w:val="262324"/>
        </w:rPr>
        <w:t>AM 07</w:t>
      </w:r>
      <w:r>
        <w:rPr>
          <w:rFonts w:ascii="Times New Roman" w:cs="Times New Roman" w:eastAsia="Times New Roman" w:hAnsi="Times New Roman"/>
          <w:sz w:val="20"/>
          <w:szCs w:val="20"/>
          <w:b w:val="1"/>
          <w:bCs w:val="1"/>
          <w:color w:val="828382"/>
        </w:rPr>
        <w:t>/</w:t>
      </w:r>
      <w:r>
        <w:rPr>
          <w:rFonts w:ascii="Times New Roman" w:cs="Times New Roman" w:eastAsia="Times New Roman" w:hAnsi="Times New Roman"/>
          <w:sz w:val="20"/>
          <w:szCs w:val="20"/>
          <w:b w:val="1"/>
          <w:bCs w:val="1"/>
          <w:color w:val="080808"/>
        </w:rPr>
        <w:t>19</w:t>
      </w:r>
      <w:r>
        <w:rPr>
          <w:rFonts w:ascii="Times New Roman" w:cs="Times New Roman" w:eastAsia="Times New Roman" w:hAnsi="Times New Roman"/>
          <w:sz w:val="20"/>
          <w:szCs w:val="20"/>
          <w:b w:val="1"/>
          <w:bCs w:val="1"/>
          <w:color w:val="363438"/>
        </w:rPr>
        <w:t>/2</w:t>
      </w:r>
      <w:r>
        <w:rPr>
          <w:rFonts w:ascii="Times New Roman" w:cs="Times New Roman" w:eastAsia="Times New Roman" w:hAnsi="Times New Roman"/>
          <w:sz w:val="20"/>
          <w:szCs w:val="20"/>
          <w:b w:val="1"/>
          <w:bCs w:val="1"/>
          <w:color w:val="080808"/>
        </w:rPr>
        <w:t>01</w:t>
      </w:r>
      <w:r>
        <w:rPr>
          <w:rFonts w:ascii="Times New Roman" w:cs="Times New Roman" w:eastAsia="Times New Roman" w:hAnsi="Times New Roman"/>
          <w:sz w:val="20"/>
          <w:szCs w:val="20"/>
          <w:b w:val="1"/>
          <w:bCs w:val="1"/>
          <w:color w:val="363438"/>
        </w:rPr>
        <w:t>7</w:t>
      </w:r>
    </w:p>
    <w:p>
      <w:pPr>
        <w:jc w:val="center"/>
        <w:ind w:left="6360"/>
        <w:spacing w:after="0" w:line="225" w:lineRule="auto"/>
        <w:rPr>
          <w:sz w:val="20"/>
          <w:szCs w:val="20"/>
          <w:color w:val="auto"/>
        </w:rPr>
      </w:pPr>
      <w:r>
        <w:rPr>
          <w:rFonts w:ascii="Times New Roman" w:cs="Times New Roman" w:eastAsia="Times New Roman" w:hAnsi="Times New Roman"/>
          <w:sz w:val="20"/>
          <w:szCs w:val="20"/>
          <w:b w:val="1"/>
          <w:bCs w:val="1"/>
          <w:color w:val="080808"/>
        </w:rPr>
        <w:t>FILED 10:43 A</w:t>
      </w:r>
      <w:r>
        <w:rPr>
          <w:rFonts w:ascii="Times New Roman" w:cs="Times New Roman" w:eastAsia="Times New Roman" w:hAnsi="Times New Roman"/>
          <w:sz w:val="20"/>
          <w:szCs w:val="20"/>
          <w:b w:val="1"/>
          <w:bCs w:val="1"/>
          <w:color w:val="262324"/>
        </w:rPr>
        <w:t>M</w:t>
      </w:r>
      <w:r>
        <w:rPr>
          <w:rFonts w:ascii="Times New Roman" w:cs="Times New Roman" w:eastAsia="Times New Roman" w:hAnsi="Times New Roman"/>
          <w:sz w:val="20"/>
          <w:szCs w:val="20"/>
          <w:b w:val="1"/>
          <w:bCs w:val="1"/>
          <w:color w:val="080808"/>
        </w:rPr>
        <w:t>0</w:t>
      </w:r>
      <w:r>
        <w:rPr>
          <w:rFonts w:ascii="Times New Roman" w:cs="Times New Roman" w:eastAsia="Times New Roman" w:hAnsi="Times New Roman"/>
          <w:sz w:val="20"/>
          <w:szCs w:val="20"/>
          <w:b w:val="1"/>
          <w:bCs w:val="1"/>
          <w:color w:val="363438"/>
        </w:rPr>
        <w:t>7</w:t>
      </w:r>
      <w:r>
        <w:rPr>
          <w:rFonts w:ascii="Times New Roman" w:cs="Times New Roman" w:eastAsia="Times New Roman" w:hAnsi="Times New Roman"/>
          <w:sz w:val="20"/>
          <w:szCs w:val="20"/>
          <w:b w:val="1"/>
          <w:bCs w:val="1"/>
          <w:color w:val="828382"/>
        </w:rPr>
        <w:t>/</w:t>
      </w:r>
      <w:r>
        <w:rPr>
          <w:rFonts w:ascii="Times New Roman" w:cs="Times New Roman" w:eastAsia="Times New Roman" w:hAnsi="Times New Roman"/>
          <w:sz w:val="20"/>
          <w:szCs w:val="20"/>
          <w:b w:val="1"/>
          <w:bCs w:val="1"/>
          <w:color w:val="080808"/>
        </w:rPr>
        <w:t>19</w:t>
      </w:r>
      <w:r>
        <w:rPr>
          <w:rFonts w:ascii="Times New Roman" w:cs="Times New Roman" w:eastAsia="Times New Roman" w:hAnsi="Times New Roman"/>
          <w:sz w:val="20"/>
          <w:szCs w:val="20"/>
          <w:b w:val="1"/>
          <w:bCs w:val="1"/>
          <w:color w:val="363438"/>
        </w:rPr>
        <w:t>/2</w:t>
      </w:r>
      <w:r>
        <w:rPr>
          <w:rFonts w:ascii="Times New Roman" w:cs="Times New Roman" w:eastAsia="Times New Roman" w:hAnsi="Times New Roman"/>
          <w:sz w:val="20"/>
          <w:szCs w:val="20"/>
          <w:b w:val="1"/>
          <w:bCs w:val="1"/>
          <w:color w:val="080808"/>
        </w:rPr>
        <w:t>01</w:t>
      </w:r>
      <w:r>
        <w:rPr>
          <w:rFonts w:ascii="Times New Roman" w:cs="Times New Roman" w:eastAsia="Times New Roman" w:hAnsi="Times New Roman"/>
          <w:sz w:val="20"/>
          <w:szCs w:val="20"/>
          <w:b w:val="1"/>
          <w:bCs w:val="1"/>
          <w:color w:val="363438"/>
        </w:rPr>
        <w:t>7</w:t>
      </w:r>
    </w:p>
    <w:p>
      <w:pPr>
        <w:jc w:val="center"/>
        <w:ind w:left="6360"/>
        <w:spacing w:after="0" w:line="225" w:lineRule="auto"/>
        <w:rPr>
          <w:sz w:val="20"/>
          <w:szCs w:val="20"/>
          <w:color w:val="auto"/>
        </w:rPr>
      </w:pPr>
      <w:r>
        <w:rPr>
          <w:rFonts w:ascii="Times New Roman" w:cs="Times New Roman" w:eastAsia="Times New Roman" w:hAnsi="Times New Roman"/>
          <w:sz w:val="20"/>
          <w:szCs w:val="20"/>
          <w:b w:val="1"/>
          <w:bCs w:val="1"/>
          <w:color w:val="080808"/>
        </w:rPr>
        <w:t>SR 201</w:t>
      </w:r>
      <w:r>
        <w:rPr>
          <w:rFonts w:ascii="Times New Roman" w:cs="Times New Roman" w:eastAsia="Times New Roman" w:hAnsi="Times New Roman"/>
          <w:sz w:val="20"/>
          <w:szCs w:val="20"/>
          <w:b w:val="1"/>
          <w:bCs w:val="1"/>
          <w:color w:val="262324"/>
        </w:rPr>
        <w:t>7</w:t>
      </w:r>
      <w:r>
        <w:rPr>
          <w:rFonts w:ascii="Times New Roman" w:cs="Times New Roman" w:eastAsia="Times New Roman" w:hAnsi="Times New Roman"/>
          <w:sz w:val="20"/>
          <w:szCs w:val="20"/>
          <w:b w:val="1"/>
          <w:bCs w:val="1"/>
          <w:color w:val="080808"/>
        </w:rPr>
        <w:t>5</w:t>
      </w:r>
      <w:r>
        <w:rPr>
          <w:rFonts w:ascii="Times New Roman" w:cs="Times New Roman" w:eastAsia="Times New Roman" w:hAnsi="Times New Roman"/>
          <w:sz w:val="20"/>
          <w:szCs w:val="20"/>
          <w:b w:val="1"/>
          <w:bCs w:val="1"/>
          <w:color w:val="262324"/>
        </w:rPr>
        <w:t>3</w:t>
      </w:r>
      <w:r>
        <w:rPr>
          <w:rFonts w:ascii="Times New Roman" w:cs="Times New Roman" w:eastAsia="Times New Roman" w:hAnsi="Times New Roman"/>
          <w:sz w:val="20"/>
          <w:szCs w:val="20"/>
          <w:b w:val="1"/>
          <w:bCs w:val="1"/>
          <w:color w:val="080808"/>
        </w:rPr>
        <w:t>048</w:t>
      </w:r>
      <w:r>
        <w:rPr>
          <w:rFonts w:ascii="Times New Roman" w:cs="Times New Roman" w:eastAsia="Times New Roman" w:hAnsi="Times New Roman"/>
          <w:sz w:val="20"/>
          <w:szCs w:val="20"/>
          <w:b w:val="1"/>
          <w:bCs w:val="1"/>
          <w:color w:val="262324"/>
        </w:rPr>
        <w:t>7</w:t>
      </w:r>
      <w:r>
        <w:rPr>
          <w:rFonts w:ascii="Times New Roman" w:cs="Times New Roman" w:eastAsia="Times New Roman" w:hAnsi="Times New Roman"/>
          <w:sz w:val="20"/>
          <w:szCs w:val="20"/>
          <w:b w:val="1"/>
          <w:bCs w:val="1"/>
          <w:color w:val="080808"/>
        </w:rPr>
        <w:t xml:space="preserve">6 - File </w:t>
      </w:r>
      <w:r>
        <w:rPr>
          <w:rFonts w:ascii="Times New Roman" w:cs="Times New Roman" w:eastAsia="Times New Roman" w:hAnsi="Times New Roman"/>
          <w:sz w:val="20"/>
          <w:szCs w:val="20"/>
          <w:b w:val="1"/>
          <w:bCs w:val="1"/>
          <w:color w:val="262324"/>
        </w:rPr>
        <w:t>N</w:t>
      </w:r>
      <w:r>
        <w:rPr>
          <w:rFonts w:ascii="Times New Roman" w:cs="Times New Roman" w:eastAsia="Times New Roman" w:hAnsi="Times New Roman"/>
          <w:sz w:val="20"/>
          <w:szCs w:val="20"/>
          <w:b w:val="1"/>
          <w:bCs w:val="1"/>
          <w:color w:val="080808"/>
        </w:rPr>
        <w:t>umber</w:t>
      </w:r>
    </w:p>
    <w:p>
      <w:pPr>
        <w:spacing w:after="0" w:line="1"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20"/>
          <w:szCs w:val="20"/>
          <w:b w:val="1"/>
          <w:bCs w:val="1"/>
          <w:color w:val="080808"/>
        </w:rPr>
        <w:t>406</w:t>
      </w:r>
      <w:r>
        <w:rPr>
          <w:rFonts w:ascii="Times New Roman" w:cs="Times New Roman" w:eastAsia="Times New Roman" w:hAnsi="Times New Roman"/>
          <w:sz w:val="20"/>
          <w:szCs w:val="20"/>
          <w:b w:val="1"/>
          <w:bCs w:val="1"/>
          <w:color w:val="363438"/>
        </w:rPr>
        <w:t>7151</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080808"/>
        </w:rPr>
        <w:t>CERTIFICATE OF AMENDMENT OF THE RESTATED</w:t>
      </w:r>
    </w:p>
    <w:p>
      <w:pPr>
        <w:ind w:left="3060"/>
        <w:spacing w:after="0" w:line="223" w:lineRule="auto"/>
        <w:rPr>
          <w:sz w:val="20"/>
          <w:szCs w:val="20"/>
          <w:color w:val="auto"/>
        </w:rPr>
      </w:pPr>
      <w:r>
        <w:rPr>
          <w:rFonts w:ascii="Times New Roman" w:cs="Times New Roman" w:eastAsia="Times New Roman" w:hAnsi="Times New Roman"/>
          <w:sz w:val="20"/>
          <w:szCs w:val="20"/>
          <w:b w:val="1"/>
          <w:bCs w:val="1"/>
          <w:color w:val="080808"/>
        </w:rPr>
        <w:t>CERTIFICATE OF INCORPORATION OF CERULEAN</w:t>
      </w:r>
    </w:p>
    <w:p>
      <w:pPr>
        <w:spacing w:after="0" w:line="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080808"/>
        </w:rPr>
        <w:t>PHARMA INC.</w:t>
      </w:r>
    </w:p>
    <w:p>
      <w:pPr>
        <w:spacing w:after="0" w:line="18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080808"/>
        </w:rPr>
        <w:t>(Pursuant to Section 242 of the</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080808"/>
        </w:rPr>
        <w:t>General Corporation Law of the State of Delaware)</w:t>
      </w:r>
    </w:p>
    <w:p>
      <w:pPr>
        <w:spacing w:after="0" w:line="194" w:lineRule="exact"/>
        <w:rPr>
          <w:sz w:val="20"/>
          <w:szCs w:val="20"/>
          <w:color w:val="auto"/>
        </w:rPr>
      </w:pPr>
    </w:p>
    <w:p>
      <w:pPr>
        <w:ind w:left="2500" w:hanging="1182"/>
        <w:spacing w:after="0" w:line="233" w:lineRule="auto"/>
        <w:rPr>
          <w:sz w:val="20"/>
          <w:szCs w:val="20"/>
          <w:color w:val="auto"/>
        </w:rPr>
      </w:pPr>
      <w:r>
        <w:rPr>
          <w:rFonts w:ascii="Times New Roman" w:cs="Times New Roman" w:eastAsia="Times New Roman" w:hAnsi="Times New Roman"/>
          <w:sz w:val="20"/>
          <w:szCs w:val="20"/>
          <w:color w:val="080808"/>
        </w:rPr>
        <w:t>Cerulean Pharma Inc., a corporation organized and existing under and by virtue of the provisions of the General Corporation Law of the State of Delaware (the "General Corporation Law"),</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080808"/>
        </w:rPr>
        <w:t>DOES HEREBY CERTIFY:</w:t>
      </w:r>
    </w:p>
    <w:p>
      <w:pPr>
        <w:spacing w:after="0" w:line="233" w:lineRule="exact"/>
        <w:rPr>
          <w:sz w:val="20"/>
          <w:szCs w:val="20"/>
          <w:color w:val="auto"/>
        </w:rPr>
      </w:pPr>
    </w:p>
    <w:p>
      <w:pPr>
        <w:jc w:val="both"/>
        <w:ind w:left="20" w:right="60" w:firstLine="660"/>
        <w:spacing w:after="0" w:line="215" w:lineRule="auto"/>
        <w:tabs>
          <w:tab w:leader="none" w:pos="1196" w:val="left"/>
        </w:tabs>
        <w:numPr>
          <w:ilvl w:val="1"/>
          <w:numId w:val="28"/>
        </w:numPr>
        <w:rPr>
          <w:rFonts w:ascii="Times New Roman" w:cs="Times New Roman" w:eastAsia="Times New Roman" w:hAnsi="Times New Roman"/>
          <w:sz w:val="20"/>
          <w:szCs w:val="20"/>
          <w:color w:val="080808"/>
        </w:rPr>
      </w:pPr>
      <w:r>
        <w:rPr>
          <w:rFonts w:ascii="Times New Roman" w:cs="Times New Roman" w:eastAsia="Times New Roman" w:hAnsi="Times New Roman"/>
          <w:sz w:val="20"/>
          <w:szCs w:val="20"/>
          <w:color w:val="080808"/>
        </w:rPr>
        <w:t>That the name of this corporation is Cerulean Pharma Inc. (the "Corporation"), and that the Corporation was originally incorporated pursuant to the General Corporation Law on November 28, 2005 under the name Tempo Pharmaceuticals, Inc. The original Certificate of Incorporation of the Corporation was amended on each of December I, 2005, October 20, 2006, December 22, 2006, May 8, 2007, December 6, 2007, October 14, 2008, July 9, 2009, July 13, 2009, May 26, 2010, November 12, 2010, December 2, 2011, November 29</w:t>
      </w:r>
      <w:r>
        <w:rPr>
          <w:rFonts w:ascii="Times New Roman" w:cs="Times New Roman" w:eastAsia="Times New Roman" w:hAnsi="Times New Roman"/>
          <w:sz w:val="20"/>
          <w:szCs w:val="20"/>
          <w:color w:val="262324"/>
        </w:rPr>
        <w:t>,</w:t>
      </w:r>
      <w:r>
        <w:rPr>
          <w:rFonts w:ascii="Times New Roman" w:cs="Times New Roman" w:eastAsia="Times New Roman" w:hAnsi="Times New Roman"/>
          <w:sz w:val="20"/>
          <w:szCs w:val="20"/>
          <w:color w:val="080808"/>
        </w:rPr>
        <w:t xml:space="preserve"> 2012, January 11, 2013, February 19, 2013, August 14, 2013, January 30</w:t>
      </w:r>
      <w:r>
        <w:rPr>
          <w:rFonts w:ascii="Times New Roman" w:cs="Times New Roman" w:eastAsia="Times New Roman" w:hAnsi="Times New Roman"/>
          <w:sz w:val="20"/>
          <w:szCs w:val="20"/>
          <w:color w:val="262324"/>
        </w:rPr>
        <w:t>,</w:t>
      </w:r>
      <w:r>
        <w:rPr>
          <w:rFonts w:ascii="Times New Roman" w:cs="Times New Roman" w:eastAsia="Times New Roman" w:hAnsi="Times New Roman"/>
          <w:sz w:val="20"/>
          <w:szCs w:val="20"/>
          <w:color w:val="080808"/>
        </w:rPr>
        <w:t xml:space="preserve"> 2014, February 10, 2014, March 21, 2014, March 28, 2014, March 31, 20 I 4 and March 31, 2014, and amended and restated on April I 5, 2014.</w:t>
      </w:r>
    </w:p>
    <w:p>
      <w:pPr>
        <w:spacing w:after="0" w:line="191" w:lineRule="exact"/>
        <w:rPr>
          <w:rFonts w:ascii="Times New Roman" w:cs="Times New Roman" w:eastAsia="Times New Roman" w:hAnsi="Times New Roman"/>
          <w:sz w:val="20"/>
          <w:szCs w:val="20"/>
          <w:color w:val="080808"/>
        </w:rPr>
      </w:pPr>
    </w:p>
    <w:p>
      <w:pPr>
        <w:jc w:val="both"/>
        <w:ind w:left="20" w:right="100" w:firstLine="645"/>
        <w:spacing w:after="0" w:line="230" w:lineRule="auto"/>
        <w:tabs>
          <w:tab w:leader="none" w:pos="1200" w:val="left"/>
        </w:tabs>
        <w:numPr>
          <w:ilvl w:val="0"/>
          <w:numId w:val="29"/>
        </w:numPr>
        <w:rPr>
          <w:rFonts w:ascii="Times New Roman" w:cs="Times New Roman" w:eastAsia="Times New Roman" w:hAnsi="Times New Roman"/>
          <w:sz w:val="20"/>
          <w:szCs w:val="20"/>
          <w:color w:val="080808"/>
        </w:rPr>
      </w:pPr>
      <w:r>
        <w:rPr>
          <w:rFonts w:ascii="Times New Roman" w:cs="Times New Roman" w:eastAsia="Times New Roman" w:hAnsi="Times New Roman"/>
          <w:sz w:val="20"/>
          <w:szCs w:val="20"/>
          <w:color w:val="080808"/>
        </w:rPr>
        <w:t>A resolution was duly adopted by the Board of Directors of the Corporation pursuant to Section 242 of the General Corporation Law approving this Amendment of the Corporation's Restated Certificate of lncorporation, which resolution setting forth the proposed amendment is as follows:</w:t>
      </w:r>
    </w:p>
    <w:p>
      <w:pPr>
        <w:spacing w:after="0" w:line="41" w:lineRule="exact"/>
        <w:rPr>
          <w:sz w:val="20"/>
          <w:szCs w:val="20"/>
          <w:color w:val="auto"/>
        </w:rPr>
      </w:pPr>
    </w:p>
    <w:p>
      <w:pPr>
        <w:ind w:right="140" w:firstLine="672"/>
        <w:spacing w:after="0" w:line="233" w:lineRule="auto"/>
        <w:rPr>
          <w:sz w:val="20"/>
          <w:szCs w:val="20"/>
          <w:color w:val="auto"/>
        </w:rPr>
      </w:pPr>
      <w:r>
        <w:rPr>
          <w:rFonts w:ascii="Times New Roman" w:cs="Times New Roman" w:eastAsia="Times New Roman" w:hAnsi="Times New Roman"/>
          <w:sz w:val="20"/>
          <w:szCs w:val="20"/>
          <w:color w:val="080808"/>
        </w:rPr>
        <w:t>RESOLVED</w:t>
      </w:r>
      <w:r>
        <w:rPr>
          <w:rFonts w:ascii="Times New Roman" w:cs="Times New Roman" w:eastAsia="Times New Roman" w:hAnsi="Times New Roman"/>
          <w:sz w:val="20"/>
          <w:szCs w:val="20"/>
          <w:color w:val="262324"/>
        </w:rPr>
        <w:t>,</w:t>
      </w:r>
      <w:r>
        <w:rPr>
          <w:rFonts w:ascii="Times New Roman" w:cs="Times New Roman" w:eastAsia="Times New Roman" w:hAnsi="Times New Roman"/>
          <w:sz w:val="20"/>
          <w:szCs w:val="20"/>
          <w:color w:val="080808"/>
        </w:rPr>
        <w:t xml:space="preserve"> that Article FIRST of the Restated Certificate of Incorporation of the Corporation, as amended, be and hereby is deleted in its entirety and th</w:t>
      </w:r>
      <w:r>
        <w:rPr>
          <w:rFonts w:ascii="Times New Roman" w:cs="Times New Roman" w:eastAsia="Times New Roman" w:hAnsi="Times New Roman"/>
          <w:sz w:val="20"/>
          <w:szCs w:val="20"/>
          <w:color w:val="262324"/>
        </w:rPr>
        <w:t>e</w:t>
      </w:r>
      <w:r>
        <w:rPr>
          <w:rFonts w:ascii="Times New Roman" w:cs="Times New Roman" w:eastAsia="Times New Roman" w:hAnsi="Times New Roman"/>
          <w:sz w:val="20"/>
          <w:szCs w:val="20"/>
          <w:color w:val="080808"/>
        </w:rPr>
        <w:t xml:space="preserve"> following is inserted in lieu thereof:</w:t>
      </w:r>
    </w:p>
    <w:p>
      <w:pPr>
        <w:spacing w:after="0" w:line="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"FIRST: Effective as of 12:01 a.m. on July 20, 2017, the name of the Corporation is Dare Bioscience, Inc."</w:t>
      </w:r>
    </w:p>
    <w:p>
      <w:pPr>
        <w:spacing w:after="0" w:line="81" w:lineRule="exact"/>
        <w:rPr>
          <w:sz w:val="20"/>
          <w:szCs w:val="20"/>
          <w:color w:val="auto"/>
        </w:rPr>
      </w:pPr>
    </w:p>
    <w:p>
      <w:pPr>
        <w:ind w:right="380" w:firstLine="675"/>
        <w:spacing w:after="0"/>
        <w:tabs>
          <w:tab w:leader="none" w:pos="1194" w:val="left"/>
        </w:tabs>
        <w:numPr>
          <w:ilvl w:val="0"/>
          <w:numId w:val="30"/>
        </w:numPr>
        <w:rPr>
          <w:rFonts w:ascii="Times New Roman" w:cs="Times New Roman" w:eastAsia="Times New Roman" w:hAnsi="Times New Roman"/>
          <w:sz w:val="20"/>
          <w:szCs w:val="20"/>
          <w:color w:val="080808"/>
        </w:rPr>
      </w:pPr>
      <w:r>
        <w:rPr>
          <w:rFonts w:ascii="Times New Roman" w:cs="Times New Roman" w:eastAsia="Times New Roman" w:hAnsi="Times New Roman"/>
          <w:sz w:val="20"/>
          <w:szCs w:val="20"/>
          <w:color w:val="080808"/>
        </w:rPr>
        <w:t>This Certificate of Amendment of the Restated Certificate of Incorporation has been duly adopted in accordance with the provisions of Section 242 of the General Corporation Law.</w:t>
      </w:r>
    </w:p>
    <w:p>
      <w:pPr>
        <w:spacing w:after="0" w:line="200" w:lineRule="exact"/>
        <w:rPr>
          <w:sz w:val="20"/>
          <w:szCs w:val="20"/>
          <w:color w:val="auto"/>
        </w:rPr>
      </w:pPr>
    </w:p>
    <w:p>
      <w:pPr>
        <w:spacing w:after="0" w:line="2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080808"/>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080808"/>
        </w:rPr>
        <w:t>A</w:t>
      </w:r>
      <w:r>
        <w:rPr>
          <w:rFonts w:ascii="Times New Roman" w:cs="Times New Roman" w:eastAsia="Times New Roman" w:hAnsi="Times New Roman"/>
          <w:sz w:val="20"/>
          <w:szCs w:val="20"/>
          <w:color w:val="262324"/>
        </w:rPr>
        <w:t>ct</w:t>
      </w:r>
      <w:r>
        <w:rPr>
          <w:rFonts w:ascii="Times New Roman" w:cs="Times New Roman" w:eastAsia="Times New Roman" w:hAnsi="Times New Roman"/>
          <w:sz w:val="20"/>
          <w:szCs w:val="20"/>
          <w:color w:val="080808"/>
        </w:rPr>
        <w:t>i</w:t>
      </w:r>
      <w:r>
        <w:rPr>
          <w:rFonts w:ascii="Times New Roman" w:cs="Times New Roman" w:eastAsia="Times New Roman" w:hAnsi="Times New Roman"/>
          <w:sz w:val="20"/>
          <w:szCs w:val="20"/>
          <w:color w:val="262324"/>
        </w:rPr>
        <w:t>veU</w:t>
      </w:r>
      <w:r>
        <w:rPr>
          <w:rFonts w:ascii="Times New Roman" w:cs="Times New Roman" w:eastAsia="Times New Roman" w:hAnsi="Times New Roman"/>
          <w:sz w:val="20"/>
          <w:szCs w:val="20"/>
          <w:color w:val="080808"/>
        </w:rPr>
        <w:t>S 16382</w:t>
      </w:r>
      <w:r>
        <w:rPr>
          <w:rFonts w:ascii="Times New Roman" w:cs="Times New Roman" w:eastAsia="Times New Roman" w:hAnsi="Times New Roman"/>
          <w:sz w:val="20"/>
          <w:szCs w:val="20"/>
          <w:color w:val="262324"/>
        </w:rPr>
        <w:t>07</w:t>
      </w:r>
      <w:r>
        <w:rPr>
          <w:rFonts w:ascii="Times New Roman" w:cs="Times New Roman" w:eastAsia="Times New Roman" w:hAnsi="Times New Roman"/>
          <w:sz w:val="20"/>
          <w:szCs w:val="20"/>
          <w:color w:val="080808"/>
        </w:rPr>
        <w:t>0</w:t>
      </w:r>
      <w:r>
        <w:rPr>
          <w:rFonts w:ascii="Times New Roman" w:cs="Times New Roman" w:eastAsia="Times New Roman" w:hAnsi="Times New Roman"/>
          <w:sz w:val="20"/>
          <w:szCs w:val="20"/>
          <w:color w:val="262324"/>
        </w:rPr>
        <w:t>0v</w:t>
      </w:r>
      <w:r>
        <w:rPr>
          <w:rFonts w:ascii="Times New Roman" w:cs="Times New Roman" w:eastAsia="Times New Roman" w:hAnsi="Times New Roman"/>
          <w:sz w:val="20"/>
          <w:szCs w:val="20"/>
          <w:color w:val="080808"/>
        </w:rPr>
        <w:t>.3</w:t>
      </w:r>
    </w:p>
    <w:p>
      <w:pPr>
        <w:sectPr>
          <w:pgSz w:w="11900" w:h="16838" w:orient="portrait"/>
          <w:cols w:equalWidth="0" w:num="1">
            <w:col w:w="10180"/>
          </w:cols>
          <w:pgMar w:left="420" w:top="1440" w:right="1299" w:bottom="1440" w:gutter="0" w:footer="0" w:header="0"/>
        </w:sectPr>
      </w:pPr>
    </w:p>
    <w:bookmarkStart w:id="48" w:name="page49"/>
    <w:bookmarkEnd w:id="48"/>
    <w:p>
      <w:pPr>
        <w:ind w:right="114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this Corporation has caused this Certificate or Amendment of the Restated Certificate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lncorporation to be signed by its President and Chief Executive Officer this 19th day of July, 2017.</w:t>
      </w:r>
    </w:p>
    <w:p>
      <w:pPr>
        <w:spacing w:after="0" w:line="200" w:lineRule="exact"/>
        <w:rPr>
          <w:sz w:val="20"/>
          <w:szCs w:val="20"/>
          <w:color w:val="auto"/>
        </w:rPr>
      </w:pPr>
    </w:p>
    <w:p>
      <w:pPr>
        <w:spacing w:after="0" w:line="26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0"/>
          <w:szCs w:val="20"/>
          <w:color w:val="auto"/>
        </w:rPr>
        <w:t>/s/ 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5024755</wp:posOffset>
            </wp:positionH>
            <wp:positionV relativeFrom="paragraph">
              <wp:posOffset>22860</wp:posOffset>
            </wp:positionV>
            <wp:extent cx="20485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0"/>
          <w:szCs w:val="20"/>
          <w:color w:val="auto"/>
        </w:rPr>
        <w:t>Christopher D.T. Guiffre</w:t>
      </w:r>
    </w:p>
    <w:p>
      <w:pPr>
        <w:spacing w:after="0" w:line="2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40"/>
          </w:cols>
          <w:pgMar w:left="420" w:top="1314" w:right="539" w:bottom="1440" w:gutter="0" w:footer="0" w:header="0"/>
        </w:sectPr>
      </w:pPr>
    </w:p>
    <w:bookmarkStart w:id="49" w:name="page50"/>
    <w:bookmarkEnd w:id="49"/>
    <w:p>
      <w:pPr>
        <w:spacing w:after="0" w:line="6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20"/>
          <w:szCs w:val="20"/>
          <w:b w:val="1"/>
          <w:bCs w:val="1"/>
          <w:color w:val="080808"/>
        </w:rPr>
        <w:t>S</w:t>
      </w:r>
      <w:r>
        <w:rPr>
          <w:rFonts w:ascii="Times New Roman" w:cs="Times New Roman" w:eastAsia="Times New Roman" w:hAnsi="Times New Roman"/>
          <w:sz w:val="20"/>
          <w:szCs w:val="20"/>
          <w:b w:val="1"/>
          <w:bCs w:val="1"/>
          <w:color w:val="262324"/>
        </w:rPr>
        <w:t>t</w:t>
      </w:r>
      <w:r>
        <w:rPr>
          <w:rFonts w:ascii="Times New Roman" w:cs="Times New Roman" w:eastAsia="Times New Roman" w:hAnsi="Times New Roman"/>
          <w:sz w:val="20"/>
          <w:szCs w:val="20"/>
          <w:b w:val="1"/>
          <w:bCs w:val="1"/>
          <w:color w:val="080808"/>
        </w:rPr>
        <w:t>at</w:t>
      </w:r>
      <w:r>
        <w:rPr>
          <w:rFonts w:ascii="Times New Roman" w:cs="Times New Roman" w:eastAsia="Times New Roman" w:hAnsi="Times New Roman"/>
          <w:sz w:val="20"/>
          <w:szCs w:val="20"/>
          <w:b w:val="1"/>
          <w:bCs w:val="1"/>
          <w:color w:val="262324"/>
        </w:rPr>
        <w:t>e o</w:t>
      </w:r>
      <w:r>
        <w:rPr>
          <w:rFonts w:ascii="Times New Roman" w:cs="Times New Roman" w:eastAsia="Times New Roman" w:hAnsi="Times New Roman"/>
          <w:sz w:val="20"/>
          <w:szCs w:val="20"/>
          <w:b w:val="1"/>
          <w:bCs w:val="1"/>
          <w:color w:val="080808"/>
        </w:rPr>
        <w:t>f Delaware</w:t>
      </w:r>
    </w:p>
    <w:p>
      <w:pPr>
        <w:ind w:left="8240"/>
        <w:spacing w:after="0" w:line="223" w:lineRule="auto"/>
        <w:rPr>
          <w:sz w:val="20"/>
          <w:szCs w:val="20"/>
          <w:color w:val="auto"/>
        </w:rPr>
      </w:pPr>
      <w:r>
        <w:rPr>
          <w:rFonts w:ascii="Times New Roman" w:cs="Times New Roman" w:eastAsia="Times New Roman" w:hAnsi="Times New Roman"/>
          <w:sz w:val="20"/>
          <w:szCs w:val="20"/>
          <w:b w:val="1"/>
          <w:bCs w:val="1"/>
          <w:color w:val="080808"/>
        </w:rPr>
        <w:t>Secreta</w:t>
      </w:r>
      <w:r>
        <w:rPr>
          <w:rFonts w:ascii="Times New Roman" w:cs="Times New Roman" w:eastAsia="Times New Roman" w:hAnsi="Times New Roman"/>
          <w:sz w:val="20"/>
          <w:szCs w:val="20"/>
          <w:b w:val="1"/>
          <w:bCs w:val="1"/>
          <w:color w:val="363438"/>
        </w:rPr>
        <w:t>ry</w:t>
      </w:r>
      <w:r>
        <w:rPr>
          <w:rFonts w:ascii="Times New Roman" w:cs="Times New Roman" w:eastAsia="Times New Roman" w:hAnsi="Times New Roman"/>
          <w:sz w:val="20"/>
          <w:szCs w:val="20"/>
          <w:b w:val="1"/>
          <w:bCs w:val="1"/>
          <w:color w:val="080808"/>
        </w:rPr>
        <w:t xml:space="preserve"> of Stat</w:t>
      </w:r>
      <w:r>
        <w:rPr>
          <w:rFonts w:ascii="Times New Roman" w:cs="Times New Roman" w:eastAsia="Times New Roman" w:hAnsi="Times New Roman"/>
          <w:sz w:val="20"/>
          <w:szCs w:val="20"/>
          <w:b w:val="1"/>
          <w:bCs w:val="1"/>
          <w:color w:val="262324"/>
        </w:rPr>
        <w:t>e</w:t>
      </w:r>
    </w:p>
    <w:p>
      <w:pPr>
        <w:jc w:val="center"/>
        <w:ind w:left="6900"/>
        <w:spacing w:after="0" w:line="212" w:lineRule="auto"/>
        <w:rPr>
          <w:sz w:val="20"/>
          <w:szCs w:val="20"/>
          <w:color w:val="auto"/>
        </w:rPr>
      </w:pPr>
      <w:r>
        <w:rPr>
          <w:rFonts w:ascii="Times New Roman" w:cs="Times New Roman" w:eastAsia="Times New Roman" w:hAnsi="Times New Roman"/>
          <w:sz w:val="20"/>
          <w:szCs w:val="20"/>
          <w:b w:val="1"/>
          <w:bCs w:val="1"/>
          <w:color w:val="080808"/>
        </w:rPr>
        <w:t>Divi</w:t>
      </w:r>
      <w:r>
        <w:rPr>
          <w:rFonts w:ascii="Times New Roman" w:cs="Times New Roman" w:eastAsia="Times New Roman" w:hAnsi="Times New Roman"/>
          <w:sz w:val="20"/>
          <w:szCs w:val="20"/>
          <w:b w:val="1"/>
          <w:bCs w:val="1"/>
          <w:color w:val="262324"/>
        </w:rPr>
        <w:t>s</w:t>
      </w:r>
      <w:r>
        <w:rPr>
          <w:rFonts w:ascii="Times New Roman" w:cs="Times New Roman" w:eastAsia="Times New Roman" w:hAnsi="Times New Roman"/>
          <w:sz w:val="20"/>
          <w:szCs w:val="20"/>
          <w:b w:val="1"/>
          <w:bCs w:val="1"/>
          <w:color w:val="080808"/>
        </w:rPr>
        <w:t xml:space="preserve">ion of </w:t>
      </w:r>
      <w:r>
        <w:rPr>
          <w:rFonts w:ascii="Times New Roman" w:cs="Times New Roman" w:eastAsia="Times New Roman" w:hAnsi="Times New Roman"/>
          <w:sz w:val="20"/>
          <w:szCs w:val="20"/>
          <w:b w:val="1"/>
          <w:bCs w:val="1"/>
          <w:color w:val="262324"/>
        </w:rPr>
        <w:t>Co</w:t>
      </w:r>
      <w:r>
        <w:rPr>
          <w:rFonts w:ascii="Times New Roman" w:cs="Times New Roman" w:eastAsia="Times New Roman" w:hAnsi="Times New Roman"/>
          <w:sz w:val="20"/>
          <w:szCs w:val="20"/>
          <w:b w:val="1"/>
          <w:bCs w:val="1"/>
          <w:color w:val="080808"/>
        </w:rPr>
        <w:t>rp</w:t>
      </w:r>
      <w:r>
        <w:rPr>
          <w:rFonts w:ascii="Times New Roman" w:cs="Times New Roman" w:eastAsia="Times New Roman" w:hAnsi="Times New Roman"/>
          <w:sz w:val="20"/>
          <w:szCs w:val="20"/>
          <w:b w:val="1"/>
          <w:bCs w:val="1"/>
          <w:color w:val="262324"/>
        </w:rPr>
        <w:t>o</w:t>
      </w:r>
      <w:r>
        <w:rPr>
          <w:rFonts w:ascii="Times New Roman" w:cs="Times New Roman" w:eastAsia="Times New Roman" w:hAnsi="Times New Roman"/>
          <w:sz w:val="20"/>
          <w:szCs w:val="20"/>
          <w:b w:val="1"/>
          <w:bCs w:val="1"/>
          <w:color w:val="080808"/>
        </w:rPr>
        <w:t>rations</w:t>
      </w:r>
    </w:p>
    <w:p>
      <w:pPr>
        <w:jc w:val="center"/>
        <w:ind w:left="6900"/>
        <w:spacing w:after="0" w:line="225" w:lineRule="auto"/>
        <w:rPr>
          <w:sz w:val="20"/>
          <w:szCs w:val="20"/>
          <w:color w:val="auto"/>
        </w:rPr>
      </w:pPr>
      <w:r>
        <w:rPr>
          <w:rFonts w:ascii="Times New Roman" w:cs="Times New Roman" w:eastAsia="Times New Roman" w:hAnsi="Times New Roman"/>
          <w:sz w:val="20"/>
          <w:szCs w:val="20"/>
          <w:b w:val="1"/>
          <w:bCs w:val="1"/>
          <w:color w:val="080808"/>
        </w:rPr>
        <w:t>Deli</w:t>
      </w:r>
      <w:r>
        <w:rPr>
          <w:rFonts w:ascii="Times New Roman" w:cs="Times New Roman" w:eastAsia="Times New Roman" w:hAnsi="Times New Roman"/>
          <w:sz w:val="20"/>
          <w:szCs w:val="20"/>
          <w:b w:val="1"/>
          <w:bCs w:val="1"/>
          <w:color w:val="363438"/>
        </w:rPr>
        <w:t>v</w:t>
      </w:r>
      <w:r>
        <w:rPr>
          <w:rFonts w:ascii="Times New Roman" w:cs="Times New Roman" w:eastAsia="Times New Roman" w:hAnsi="Times New Roman"/>
          <w:sz w:val="20"/>
          <w:szCs w:val="20"/>
          <w:b w:val="1"/>
          <w:bCs w:val="1"/>
          <w:color w:val="080808"/>
        </w:rPr>
        <w:t>ered 10</w:t>
      </w:r>
      <w:r>
        <w:rPr>
          <w:rFonts w:ascii="Times New Roman" w:cs="Times New Roman" w:eastAsia="Times New Roman" w:hAnsi="Times New Roman"/>
          <w:sz w:val="20"/>
          <w:szCs w:val="20"/>
          <w:b w:val="1"/>
          <w:bCs w:val="1"/>
          <w:color w:val="262324"/>
        </w:rPr>
        <w:t>:</w:t>
      </w:r>
      <w:r>
        <w:rPr>
          <w:rFonts w:ascii="Times New Roman" w:cs="Times New Roman" w:eastAsia="Times New Roman" w:hAnsi="Times New Roman"/>
          <w:sz w:val="20"/>
          <w:szCs w:val="20"/>
          <w:b w:val="1"/>
          <w:bCs w:val="1"/>
          <w:color w:val="080808"/>
        </w:rPr>
        <w:t>43</w:t>
      </w:r>
      <w:r>
        <w:rPr>
          <w:rFonts w:ascii="Times New Roman" w:cs="Times New Roman" w:eastAsia="Times New Roman" w:hAnsi="Times New Roman"/>
          <w:sz w:val="20"/>
          <w:szCs w:val="20"/>
          <w:b w:val="1"/>
          <w:bCs w:val="1"/>
          <w:color w:val="262324"/>
        </w:rPr>
        <w:t>AM 07</w:t>
      </w:r>
      <w:r>
        <w:rPr>
          <w:rFonts w:ascii="Times New Roman" w:cs="Times New Roman" w:eastAsia="Times New Roman" w:hAnsi="Times New Roman"/>
          <w:sz w:val="20"/>
          <w:szCs w:val="20"/>
          <w:b w:val="1"/>
          <w:bCs w:val="1"/>
          <w:color w:val="828382"/>
        </w:rPr>
        <w:t>/</w:t>
      </w:r>
      <w:r>
        <w:rPr>
          <w:rFonts w:ascii="Times New Roman" w:cs="Times New Roman" w:eastAsia="Times New Roman" w:hAnsi="Times New Roman"/>
          <w:sz w:val="20"/>
          <w:szCs w:val="20"/>
          <w:b w:val="1"/>
          <w:bCs w:val="1"/>
          <w:color w:val="080808"/>
        </w:rPr>
        <w:t>19</w:t>
      </w:r>
      <w:r>
        <w:rPr>
          <w:rFonts w:ascii="Times New Roman" w:cs="Times New Roman" w:eastAsia="Times New Roman" w:hAnsi="Times New Roman"/>
          <w:sz w:val="20"/>
          <w:szCs w:val="20"/>
          <w:b w:val="1"/>
          <w:bCs w:val="1"/>
          <w:color w:val="363438"/>
        </w:rPr>
        <w:t>/2</w:t>
      </w:r>
      <w:r>
        <w:rPr>
          <w:rFonts w:ascii="Times New Roman" w:cs="Times New Roman" w:eastAsia="Times New Roman" w:hAnsi="Times New Roman"/>
          <w:sz w:val="20"/>
          <w:szCs w:val="20"/>
          <w:b w:val="1"/>
          <w:bCs w:val="1"/>
          <w:color w:val="080808"/>
        </w:rPr>
        <w:t>01</w:t>
      </w:r>
      <w:r>
        <w:rPr>
          <w:rFonts w:ascii="Times New Roman" w:cs="Times New Roman" w:eastAsia="Times New Roman" w:hAnsi="Times New Roman"/>
          <w:sz w:val="20"/>
          <w:szCs w:val="20"/>
          <w:b w:val="1"/>
          <w:bCs w:val="1"/>
          <w:color w:val="363438"/>
        </w:rPr>
        <w:t>7</w:t>
      </w:r>
    </w:p>
    <w:p>
      <w:pPr>
        <w:jc w:val="center"/>
        <w:ind w:left="6900"/>
        <w:spacing w:after="0" w:line="211" w:lineRule="auto"/>
        <w:rPr>
          <w:sz w:val="20"/>
          <w:szCs w:val="20"/>
          <w:color w:val="auto"/>
        </w:rPr>
      </w:pPr>
      <w:r>
        <w:rPr>
          <w:rFonts w:ascii="Times New Roman" w:cs="Times New Roman" w:eastAsia="Times New Roman" w:hAnsi="Times New Roman"/>
          <w:sz w:val="20"/>
          <w:szCs w:val="20"/>
          <w:b w:val="1"/>
          <w:bCs w:val="1"/>
          <w:color w:val="080808"/>
        </w:rPr>
        <w:t>FILED 10:43 A</w:t>
      </w:r>
      <w:r>
        <w:rPr>
          <w:rFonts w:ascii="Times New Roman" w:cs="Times New Roman" w:eastAsia="Times New Roman" w:hAnsi="Times New Roman"/>
          <w:sz w:val="20"/>
          <w:szCs w:val="20"/>
          <w:b w:val="1"/>
          <w:bCs w:val="1"/>
          <w:color w:val="262324"/>
        </w:rPr>
        <w:t>M</w:t>
      </w:r>
      <w:r>
        <w:rPr>
          <w:rFonts w:ascii="Times New Roman" w:cs="Times New Roman" w:eastAsia="Times New Roman" w:hAnsi="Times New Roman"/>
          <w:sz w:val="20"/>
          <w:szCs w:val="20"/>
          <w:b w:val="1"/>
          <w:bCs w:val="1"/>
          <w:color w:val="080808"/>
        </w:rPr>
        <w:t>0</w:t>
      </w:r>
      <w:r>
        <w:rPr>
          <w:rFonts w:ascii="Times New Roman" w:cs="Times New Roman" w:eastAsia="Times New Roman" w:hAnsi="Times New Roman"/>
          <w:sz w:val="20"/>
          <w:szCs w:val="20"/>
          <w:b w:val="1"/>
          <w:bCs w:val="1"/>
          <w:color w:val="363438"/>
        </w:rPr>
        <w:t>7</w:t>
      </w:r>
      <w:r>
        <w:rPr>
          <w:rFonts w:ascii="Times New Roman" w:cs="Times New Roman" w:eastAsia="Times New Roman" w:hAnsi="Times New Roman"/>
          <w:sz w:val="20"/>
          <w:szCs w:val="20"/>
          <w:b w:val="1"/>
          <w:bCs w:val="1"/>
          <w:color w:val="828382"/>
        </w:rPr>
        <w:t>/</w:t>
      </w:r>
      <w:r>
        <w:rPr>
          <w:rFonts w:ascii="Times New Roman" w:cs="Times New Roman" w:eastAsia="Times New Roman" w:hAnsi="Times New Roman"/>
          <w:sz w:val="20"/>
          <w:szCs w:val="20"/>
          <w:b w:val="1"/>
          <w:bCs w:val="1"/>
          <w:color w:val="080808"/>
        </w:rPr>
        <w:t>19</w:t>
      </w:r>
      <w:r>
        <w:rPr>
          <w:rFonts w:ascii="Times New Roman" w:cs="Times New Roman" w:eastAsia="Times New Roman" w:hAnsi="Times New Roman"/>
          <w:sz w:val="20"/>
          <w:szCs w:val="20"/>
          <w:b w:val="1"/>
          <w:bCs w:val="1"/>
          <w:color w:val="363438"/>
        </w:rPr>
        <w:t>/2</w:t>
      </w:r>
      <w:r>
        <w:rPr>
          <w:rFonts w:ascii="Times New Roman" w:cs="Times New Roman" w:eastAsia="Times New Roman" w:hAnsi="Times New Roman"/>
          <w:sz w:val="20"/>
          <w:szCs w:val="20"/>
          <w:b w:val="1"/>
          <w:bCs w:val="1"/>
          <w:color w:val="080808"/>
        </w:rPr>
        <w:t>01</w:t>
      </w:r>
      <w:r>
        <w:rPr>
          <w:rFonts w:ascii="Times New Roman" w:cs="Times New Roman" w:eastAsia="Times New Roman" w:hAnsi="Times New Roman"/>
          <w:sz w:val="20"/>
          <w:szCs w:val="20"/>
          <w:b w:val="1"/>
          <w:bCs w:val="1"/>
          <w:color w:val="363438"/>
        </w:rPr>
        <w:t>7</w:t>
      </w:r>
    </w:p>
    <w:p>
      <w:pPr>
        <w:spacing w:after="0" w:line="1"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9"/>
          <w:szCs w:val="19"/>
          <w:b w:val="1"/>
          <w:bCs w:val="1"/>
          <w:color w:val="080808"/>
        </w:rPr>
        <w:t>SR 201</w:t>
      </w:r>
      <w:r>
        <w:rPr>
          <w:rFonts w:ascii="Times New Roman" w:cs="Times New Roman" w:eastAsia="Times New Roman" w:hAnsi="Times New Roman"/>
          <w:sz w:val="19"/>
          <w:szCs w:val="19"/>
          <w:b w:val="1"/>
          <w:bCs w:val="1"/>
          <w:color w:val="262324"/>
        </w:rPr>
        <w:t>7</w:t>
      </w:r>
      <w:r>
        <w:rPr>
          <w:rFonts w:ascii="Times New Roman" w:cs="Times New Roman" w:eastAsia="Times New Roman" w:hAnsi="Times New Roman"/>
          <w:sz w:val="19"/>
          <w:szCs w:val="19"/>
          <w:b w:val="1"/>
          <w:bCs w:val="1"/>
          <w:color w:val="080808"/>
        </w:rPr>
        <w:t>5</w:t>
      </w:r>
      <w:r>
        <w:rPr>
          <w:rFonts w:ascii="Times New Roman" w:cs="Times New Roman" w:eastAsia="Times New Roman" w:hAnsi="Times New Roman"/>
          <w:sz w:val="19"/>
          <w:szCs w:val="19"/>
          <w:b w:val="1"/>
          <w:bCs w:val="1"/>
          <w:color w:val="262324"/>
        </w:rPr>
        <w:t>3</w:t>
      </w:r>
      <w:r>
        <w:rPr>
          <w:rFonts w:ascii="Times New Roman" w:cs="Times New Roman" w:eastAsia="Times New Roman" w:hAnsi="Times New Roman"/>
          <w:sz w:val="19"/>
          <w:szCs w:val="19"/>
          <w:b w:val="1"/>
          <w:bCs w:val="1"/>
          <w:color w:val="080808"/>
        </w:rPr>
        <w:t>048</w:t>
      </w:r>
      <w:r>
        <w:rPr>
          <w:rFonts w:ascii="Times New Roman" w:cs="Times New Roman" w:eastAsia="Times New Roman" w:hAnsi="Times New Roman"/>
          <w:sz w:val="19"/>
          <w:szCs w:val="19"/>
          <w:b w:val="1"/>
          <w:bCs w:val="1"/>
          <w:color w:val="262324"/>
        </w:rPr>
        <w:t>7</w:t>
      </w:r>
      <w:r>
        <w:rPr>
          <w:rFonts w:ascii="Times New Roman" w:cs="Times New Roman" w:eastAsia="Times New Roman" w:hAnsi="Times New Roman"/>
          <w:sz w:val="19"/>
          <w:szCs w:val="19"/>
          <w:b w:val="1"/>
          <w:bCs w:val="1"/>
          <w:color w:val="080808"/>
        </w:rPr>
        <w:t xml:space="preserve">6 - File </w:t>
      </w:r>
      <w:r>
        <w:rPr>
          <w:rFonts w:ascii="Times New Roman" w:cs="Times New Roman" w:eastAsia="Times New Roman" w:hAnsi="Times New Roman"/>
          <w:sz w:val="19"/>
          <w:szCs w:val="19"/>
          <w:b w:val="1"/>
          <w:bCs w:val="1"/>
          <w:color w:val="262324"/>
        </w:rPr>
        <w:t>N</w:t>
      </w:r>
      <w:r>
        <w:rPr>
          <w:rFonts w:ascii="Times New Roman" w:cs="Times New Roman" w:eastAsia="Times New Roman" w:hAnsi="Times New Roman"/>
          <w:sz w:val="19"/>
          <w:szCs w:val="19"/>
          <w:b w:val="1"/>
          <w:bCs w:val="1"/>
          <w:color w:val="080808"/>
        </w:rPr>
        <w:t>umber 406</w:t>
      </w:r>
      <w:r>
        <w:rPr>
          <w:rFonts w:ascii="Times New Roman" w:cs="Times New Roman" w:eastAsia="Times New Roman" w:hAnsi="Times New Roman"/>
          <w:sz w:val="19"/>
          <w:szCs w:val="19"/>
          <w:b w:val="1"/>
          <w:bCs w:val="1"/>
          <w:color w:val="363438"/>
        </w:rPr>
        <w:t>7151</w:t>
      </w:r>
    </w:p>
    <w:p>
      <w:pPr>
        <w:spacing w:after="0" w:line="200" w:lineRule="exact"/>
        <w:rPr>
          <w:sz w:val="20"/>
          <w:szCs w:val="20"/>
          <w:color w:val="auto"/>
        </w:rPr>
      </w:pPr>
    </w:p>
    <w:p>
      <w:pPr>
        <w:spacing w:after="0" w:line="36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0A0A0A"/>
        </w:rPr>
        <w:t>CERTIFICATE OF AMENDMENT OF THE RESTATED</w:t>
      </w:r>
    </w:p>
    <w:p>
      <w:pPr>
        <w:ind w:left="3040"/>
        <w:spacing w:after="0" w:line="197" w:lineRule="auto"/>
        <w:rPr>
          <w:sz w:val="20"/>
          <w:szCs w:val="20"/>
          <w:color w:val="auto"/>
        </w:rPr>
      </w:pPr>
      <w:r>
        <w:rPr>
          <w:rFonts w:ascii="Times New Roman" w:cs="Times New Roman" w:eastAsia="Times New Roman" w:hAnsi="Times New Roman"/>
          <w:sz w:val="20"/>
          <w:szCs w:val="20"/>
          <w:b w:val="1"/>
          <w:bCs w:val="1"/>
          <w:color w:val="0A0A0A"/>
        </w:rPr>
        <w:t>CERTIFICATE OF INCORPORATION OF CERULEAN</w:t>
      </w:r>
    </w:p>
    <w:p>
      <w:pPr>
        <w:jc w:val="center"/>
        <w:ind w:right="-359"/>
        <w:spacing w:after="0"/>
        <w:rPr>
          <w:sz w:val="20"/>
          <w:szCs w:val="20"/>
          <w:color w:val="auto"/>
        </w:rPr>
      </w:pPr>
      <w:r>
        <w:rPr>
          <w:rFonts w:ascii="Times New Roman" w:cs="Times New Roman" w:eastAsia="Times New Roman" w:hAnsi="Times New Roman"/>
          <w:sz w:val="20"/>
          <w:szCs w:val="20"/>
          <w:b w:val="1"/>
          <w:bCs w:val="1"/>
          <w:color w:val="0A0A0A"/>
        </w:rPr>
        <w:t>PHARMA INC.</w:t>
      </w:r>
    </w:p>
    <w:p>
      <w:pPr>
        <w:spacing w:after="0" w:line="1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0A0A0A"/>
        </w:rPr>
        <w:t>(Pursuant to Section 242 of the</w:t>
      </w:r>
    </w:p>
    <w:p>
      <w:pPr>
        <w:spacing w:after="0" w:line="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0A0A0A"/>
        </w:rPr>
        <w:t>General Corporation Law of the State of Delaware)</w:t>
      </w:r>
    </w:p>
    <w:p>
      <w:pPr>
        <w:spacing w:after="0" w:line="207" w:lineRule="exact"/>
        <w:rPr>
          <w:sz w:val="20"/>
          <w:szCs w:val="20"/>
          <w:color w:val="auto"/>
        </w:rPr>
      </w:pPr>
    </w:p>
    <w:p>
      <w:pPr>
        <w:ind w:left="2480" w:right="380" w:hanging="1081"/>
        <w:spacing w:after="0" w:line="297" w:lineRule="auto"/>
        <w:rPr>
          <w:sz w:val="20"/>
          <w:szCs w:val="20"/>
          <w:color w:val="auto"/>
        </w:rPr>
      </w:pPr>
      <w:r>
        <w:rPr>
          <w:rFonts w:ascii="Times New Roman" w:cs="Times New Roman" w:eastAsia="Times New Roman" w:hAnsi="Times New Roman"/>
          <w:sz w:val="20"/>
          <w:szCs w:val="20"/>
          <w:color w:val="0A0A0A"/>
        </w:rPr>
        <w:t>Cerulean Pharma Inc., a corporation organized and existing under and by virtue of the provisions of the General Corporation Law of the State of Delaware (the "General Corporation Law"),</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0A0A0A"/>
        </w:rPr>
        <w:t>DOES HEREBY CERTIFY:</w:t>
      </w:r>
    </w:p>
    <w:p>
      <w:pPr>
        <w:spacing w:after="0" w:line="125" w:lineRule="exact"/>
        <w:rPr>
          <w:sz w:val="20"/>
          <w:szCs w:val="20"/>
          <w:color w:val="auto"/>
        </w:rPr>
      </w:pPr>
    </w:p>
    <w:p>
      <w:pPr>
        <w:jc w:val="both"/>
        <w:ind w:right="460" w:firstLine="641"/>
        <w:spacing w:after="0" w:line="258" w:lineRule="auto"/>
        <w:tabs>
          <w:tab w:leader="none" w:pos="1185" w:val="left"/>
        </w:tabs>
        <w:numPr>
          <w:ilvl w:val="0"/>
          <w:numId w:val="31"/>
        </w:numPr>
        <w:rPr>
          <w:rFonts w:ascii="Times New Roman" w:cs="Times New Roman" w:eastAsia="Times New Roman" w:hAnsi="Times New Roman"/>
          <w:sz w:val="20"/>
          <w:szCs w:val="20"/>
          <w:color w:val="0A0A0A"/>
        </w:rPr>
      </w:pPr>
      <w:r>
        <w:rPr>
          <w:rFonts w:ascii="Times New Roman" w:cs="Times New Roman" w:eastAsia="Times New Roman" w:hAnsi="Times New Roman"/>
          <w:sz w:val="20"/>
          <w:szCs w:val="20"/>
          <w:color w:val="0A0A0A"/>
        </w:rPr>
        <w:t xml:space="preserve">That the name of this corporation is Cerulean Pharma Inc. </w:t>
      </w:r>
      <w:r>
        <w:rPr>
          <w:rFonts w:ascii="Times New Roman" w:cs="Times New Roman" w:eastAsia="Times New Roman" w:hAnsi="Times New Roman"/>
          <w:sz w:val="20"/>
          <w:szCs w:val="20"/>
          <w:color w:val="1A1A1A"/>
        </w:rPr>
        <w:t>(the</w:t>
      </w:r>
      <w:r>
        <w:rPr>
          <w:rFonts w:ascii="Times New Roman" w:cs="Times New Roman" w:eastAsia="Times New Roman" w:hAnsi="Times New Roman"/>
          <w:sz w:val="20"/>
          <w:szCs w:val="20"/>
          <w:color w:val="0A0A0A"/>
        </w:rPr>
        <w:t xml:space="preserve"> </w:t>
      </w:r>
      <w:r>
        <w:rPr>
          <w:rFonts w:ascii="Times New Roman" w:cs="Times New Roman" w:eastAsia="Times New Roman" w:hAnsi="Times New Roman"/>
          <w:sz w:val="20"/>
          <w:szCs w:val="20"/>
          <w:color w:val="3F3F42"/>
        </w:rPr>
        <w:t>"</w:t>
      </w:r>
      <w:r>
        <w:rPr>
          <w:rFonts w:ascii="Times New Roman" w:cs="Times New Roman" w:eastAsia="Times New Roman" w:hAnsi="Times New Roman"/>
          <w:sz w:val="20"/>
          <w:szCs w:val="20"/>
          <w:color w:val="0A0A0A"/>
        </w:rPr>
        <w:t xml:space="preserve">Corporation"), and that the Corporation was originally incorporated pursuant to the General Corporation Law on November </w:t>
      </w:r>
      <w:r>
        <w:rPr>
          <w:rFonts w:ascii="Times New Roman" w:cs="Times New Roman" w:eastAsia="Times New Roman" w:hAnsi="Times New Roman"/>
          <w:sz w:val="20"/>
          <w:szCs w:val="20"/>
          <w:color w:val="1A1A1A"/>
        </w:rPr>
        <w:t>28,</w:t>
      </w:r>
      <w:r>
        <w:rPr>
          <w:rFonts w:ascii="Times New Roman" w:cs="Times New Roman" w:eastAsia="Times New Roman" w:hAnsi="Times New Roman"/>
          <w:sz w:val="20"/>
          <w:szCs w:val="20"/>
          <w:color w:val="0A0A0A"/>
        </w:rPr>
        <w:t xml:space="preserve"> 2005 under the name Tempo Pharmaceuticals, Inc. The original Certificate of Incorporation of the Corporation was amended </w:t>
      </w:r>
      <w:r>
        <w:rPr>
          <w:rFonts w:ascii="Times New Roman" w:cs="Times New Roman" w:eastAsia="Times New Roman" w:hAnsi="Times New Roman"/>
          <w:sz w:val="20"/>
          <w:szCs w:val="20"/>
          <w:color w:val="1A1A1A"/>
        </w:rPr>
        <w:t>on</w:t>
      </w:r>
      <w:r>
        <w:rPr>
          <w:rFonts w:ascii="Times New Roman" w:cs="Times New Roman" w:eastAsia="Times New Roman" w:hAnsi="Times New Roman"/>
          <w:sz w:val="20"/>
          <w:szCs w:val="20"/>
          <w:color w:val="0A0A0A"/>
        </w:rPr>
        <w:t xml:space="preserve"> each </w:t>
      </w:r>
      <w:r>
        <w:rPr>
          <w:rFonts w:ascii="Times New Roman" w:cs="Times New Roman" w:eastAsia="Times New Roman" w:hAnsi="Times New Roman"/>
          <w:sz w:val="20"/>
          <w:szCs w:val="20"/>
          <w:color w:val="1A1A1A"/>
        </w:rPr>
        <w:t>of</w:t>
      </w:r>
      <w:r>
        <w:rPr>
          <w:rFonts w:ascii="Times New Roman" w:cs="Times New Roman" w:eastAsia="Times New Roman" w:hAnsi="Times New Roman"/>
          <w:sz w:val="20"/>
          <w:szCs w:val="20"/>
          <w:color w:val="0A0A0A"/>
        </w:rPr>
        <w:t xml:space="preserve"> December 1, 2005, October 20, 2006, December 22, 2006, May 8, </w:t>
      </w:r>
      <w:r>
        <w:rPr>
          <w:rFonts w:ascii="Times New Roman" w:cs="Times New Roman" w:eastAsia="Times New Roman" w:hAnsi="Times New Roman"/>
          <w:sz w:val="20"/>
          <w:szCs w:val="20"/>
          <w:color w:val="1A1A1A"/>
        </w:rPr>
        <w:t>2007,</w:t>
      </w:r>
      <w:r>
        <w:rPr>
          <w:rFonts w:ascii="Times New Roman" w:cs="Times New Roman" w:eastAsia="Times New Roman" w:hAnsi="Times New Roman"/>
          <w:sz w:val="20"/>
          <w:szCs w:val="20"/>
          <w:color w:val="0A0A0A"/>
        </w:rPr>
        <w:t xml:space="preserve"> December 6, 2007, October 14, 2008, July 9, 2009, July 13, 2009, May 26, 2010, November 12, 2010</w:t>
      </w:r>
      <w:r>
        <w:rPr>
          <w:rFonts w:ascii="Times New Roman" w:cs="Times New Roman" w:eastAsia="Times New Roman" w:hAnsi="Times New Roman"/>
          <w:sz w:val="20"/>
          <w:szCs w:val="20"/>
          <w:color w:val="28282A"/>
        </w:rPr>
        <w:t>,</w:t>
      </w:r>
      <w:r>
        <w:rPr>
          <w:rFonts w:ascii="Times New Roman" w:cs="Times New Roman" w:eastAsia="Times New Roman" w:hAnsi="Times New Roman"/>
          <w:sz w:val="20"/>
          <w:szCs w:val="20"/>
          <w:color w:val="0A0A0A"/>
        </w:rPr>
        <w:t xml:space="preserve"> December 2, 2011, November </w:t>
      </w:r>
      <w:r>
        <w:rPr>
          <w:rFonts w:ascii="Times New Roman" w:cs="Times New Roman" w:eastAsia="Times New Roman" w:hAnsi="Times New Roman"/>
          <w:sz w:val="20"/>
          <w:szCs w:val="20"/>
          <w:color w:val="1A1A1A"/>
        </w:rPr>
        <w:t>29,</w:t>
      </w:r>
      <w:r>
        <w:rPr>
          <w:rFonts w:ascii="Times New Roman" w:cs="Times New Roman" w:eastAsia="Times New Roman" w:hAnsi="Times New Roman"/>
          <w:sz w:val="20"/>
          <w:szCs w:val="20"/>
          <w:color w:val="0A0A0A"/>
        </w:rPr>
        <w:t xml:space="preserve"> 2012, January l1</w:t>
      </w:r>
      <w:r>
        <w:rPr>
          <w:rFonts w:ascii="Times New Roman" w:cs="Times New Roman" w:eastAsia="Times New Roman" w:hAnsi="Times New Roman"/>
          <w:sz w:val="20"/>
          <w:szCs w:val="20"/>
          <w:color w:val="28282A"/>
        </w:rPr>
        <w:t>,</w:t>
      </w:r>
      <w:r>
        <w:rPr>
          <w:rFonts w:ascii="Times New Roman" w:cs="Times New Roman" w:eastAsia="Times New Roman" w:hAnsi="Times New Roman"/>
          <w:sz w:val="20"/>
          <w:szCs w:val="20"/>
          <w:color w:val="0A0A0A"/>
        </w:rPr>
        <w:t>2013, February 19, 2013, August 14</w:t>
      </w:r>
      <w:r>
        <w:rPr>
          <w:rFonts w:ascii="Times New Roman" w:cs="Times New Roman" w:eastAsia="Times New Roman" w:hAnsi="Times New Roman"/>
          <w:sz w:val="20"/>
          <w:szCs w:val="20"/>
          <w:color w:val="3F3F42"/>
        </w:rPr>
        <w:t>,</w:t>
      </w:r>
      <w:r>
        <w:rPr>
          <w:rFonts w:ascii="Times New Roman" w:cs="Times New Roman" w:eastAsia="Times New Roman" w:hAnsi="Times New Roman"/>
          <w:sz w:val="20"/>
          <w:szCs w:val="20"/>
          <w:color w:val="0A0A0A"/>
        </w:rPr>
        <w:t xml:space="preserve"> 2013, January 30, 2014, February 10, 2014, March </w:t>
      </w:r>
      <w:r>
        <w:rPr>
          <w:rFonts w:ascii="Times New Roman" w:cs="Times New Roman" w:eastAsia="Times New Roman" w:hAnsi="Times New Roman"/>
          <w:sz w:val="20"/>
          <w:szCs w:val="20"/>
          <w:color w:val="1A1A1A"/>
        </w:rPr>
        <w:t>21,</w:t>
      </w:r>
      <w:r>
        <w:rPr>
          <w:rFonts w:ascii="Times New Roman" w:cs="Times New Roman" w:eastAsia="Times New Roman" w:hAnsi="Times New Roman"/>
          <w:sz w:val="20"/>
          <w:szCs w:val="20"/>
          <w:color w:val="0A0A0A"/>
        </w:rPr>
        <w:t xml:space="preserve"> 2014, </w:t>
      </w:r>
      <w:r>
        <w:rPr>
          <w:rFonts w:ascii="Times New Roman" w:cs="Times New Roman" w:eastAsia="Times New Roman" w:hAnsi="Times New Roman"/>
          <w:sz w:val="20"/>
          <w:szCs w:val="20"/>
          <w:color w:val="1A1A1A"/>
        </w:rPr>
        <w:t>March</w:t>
      </w:r>
      <w:r>
        <w:rPr>
          <w:rFonts w:ascii="Times New Roman" w:cs="Times New Roman" w:eastAsia="Times New Roman" w:hAnsi="Times New Roman"/>
          <w:sz w:val="20"/>
          <w:szCs w:val="20"/>
          <w:color w:val="0A0A0A"/>
        </w:rPr>
        <w:t xml:space="preserve"> 28, 2014, March 31, 2014 and March 31, 2014, and amended and restated on April 15, 2014.</w:t>
      </w:r>
    </w:p>
    <w:p>
      <w:pPr>
        <w:spacing w:after="0" w:line="91" w:lineRule="exact"/>
        <w:rPr>
          <w:rFonts w:ascii="Times New Roman" w:cs="Times New Roman" w:eastAsia="Times New Roman" w:hAnsi="Times New Roman"/>
          <w:sz w:val="20"/>
          <w:szCs w:val="20"/>
          <w:color w:val="0A0A0A"/>
        </w:rPr>
      </w:pPr>
    </w:p>
    <w:p>
      <w:pPr>
        <w:jc w:val="both"/>
        <w:ind w:right="540" w:firstLine="644"/>
        <w:spacing w:after="0" w:line="260" w:lineRule="auto"/>
        <w:tabs>
          <w:tab w:leader="none" w:pos="1191" w:val="left"/>
        </w:tabs>
        <w:numPr>
          <w:ilvl w:val="0"/>
          <w:numId w:val="31"/>
        </w:numPr>
        <w:rPr>
          <w:rFonts w:ascii="Times New Roman" w:cs="Times New Roman" w:eastAsia="Times New Roman" w:hAnsi="Times New Roman"/>
          <w:sz w:val="20"/>
          <w:szCs w:val="20"/>
          <w:color w:val="0A0A0A"/>
        </w:rPr>
      </w:pPr>
      <w:r>
        <w:rPr>
          <w:rFonts w:ascii="Times New Roman" w:cs="Times New Roman" w:eastAsia="Times New Roman" w:hAnsi="Times New Roman"/>
          <w:sz w:val="20"/>
          <w:szCs w:val="20"/>
          <w:color w:val="0A0A0A"/>
        </w:rPr>
        <w:t>A resolution was duly adopted by the Board of Directors of the Corporation pursuant to Sec</w:t>
      </w:r>
      <w:r>
        <w:rPr>
          <w:rFonts w:ascii="Times New Roman" w:cs="Times New Roman" w:eastAsia="Times New Roman" w:hAnsi="Times New Roman"/>
          <w:sz w:val="20"/>
          <w:szCs w:val="20"/>
          <w:color w:val="28282A"/>
        </w:rPr>
        <w:t>t</w:t>
      </w:r>
      <w:r>
        <w:rPr>
          <w:rFonts w:ascii="Times New Roman" w:cs="Times New Roman" w:eastAsia="Times New Roman" w:hAnsi="Times New Roman"/>
          <w:sz w:val="20"/>
          <w:szCs w:val="20"/>
          <w:color w:val="0A0A0A"/>
        </w:rPr>
        <w:t xml:space="preserve">ion 242 </w:t>
      </w:r>
      <w:r>
        <w:rPr>
          <w:rFonts w:ascii="Times New Roman" w:cs="Times New Roman" w:eastAsia="Times New Roman" w:hAnsi="Times New Roman"/>
          <w:sz w:val="20"/>
          <w:szCs w:val="20"/>
          <w:color w:val="1A1A1A"/>
        </w:rPr>
        <w:t>of</w:t>
      </w:r>
      <w:r>
        <w:rPr>
          <w:rFonts w:ascii="Times New Roman" w:cs="Times New Roman" w:eastAsia="Times New Roman" w:hAnsi="Times New Roman"/>
          <w:sz w:val="20"/>
          <w:szCs w:val="20"/>
          <w:color w:val="0A0A0A"/>
        </w:rPr>
        <w:t xml:space="preserve"> the General Corporation Law proposing this Amendment of the Corporation's Restated Certificate of lncorporation and declaring the advisability of </w:t>
      </w:r>
      <w:r>
        <w:rPr>
          <w:rFonts w:ascii="Times New Roman" w:cs="Times New Roman" w:eastAsia="Times New Roman" w:hAnsi="Times New Roman"/>
          <w:sz w:val="20"/>
          <w:szCs w:val="20"/>
          <w:color w:val="1A1A1A"/>
        </w:rPr>
        <w:t>this</w:t>
      </w:r>
      <w:r>
        <w:rPr>
          <w:rFonts w:ascii="Times New Roman" w:cs="Times New Roman" w:eastAsia="Times New Roman" w:hAnsi="Times New Roman"/>
          <w:sz w:val="20"/>
          <w:szCs w:val="20"/>
          <w:color w:val="0A0A0A"/>
        </w:rPr>
        <w:t xml:space="preserve"> Amendment of the Restated Certificate </w:t>
      </w:r>
      <w:r>
        <w:rPr>
          <w:rFonts w:ascii="Times New Roman" w:cs="Times New Roman" w:eastAsia="Times New Roman" w:hAnsi="Times New Roman"/>
          <w:sz w:val="20"/>
          <w:szCs w:val="20"/>
          <w:color w:val="1A1A1A"/>
        </w:rPr>
        <w:t>of incorporation</w:t>
      </w:r>
      <w:r>
        <w:rPr>
          <w:rFonts w:ascii="Times New Roman" w:cs="Times New Roman" w:eastAsia="Times New Roman" w:hAnsi="Times New Roman"/>
          <w:sz w:val="20"/>
          <w:szCs w:val="20"/>
          <w:color w:val="0A0A0A"/>
        </w:rPr>
        <w:t xml:space="preserve"> and authorizing </w:t>
      </w:r>
      <w:r>
        <w:rPr>
          <w:rFonts w:ascii="Times New Roman" w:cs="Times New Roman" w:eastAsia="Times New Roman" w:hAnsi="Times New Roman"/>
          <w:sz w:val="20"/>
          <w:szCs w:val="20"/>
          <w:color w:val="1A1A1A"/>
        </w:rPr>
        <w:t>the</w:t>
      </w:r>
      <w:r>
        <w:rPr>
          <w:rFonts w:ascii="Times New Roman" w:cs="Times New Roman" w:eastAsia="Times New Roman" w:hAnsi="Times New Roman"/>
          <w:sz w:val="20"/>
          <w:szCs w:val="20"/>
          <w:color w:val="0A0A0A"/>
        </w:rPr>
        <w:t xml:space="preserve"> appropriate officers of the Corporation to solicit the consent of the stockholders therefor, which resolution </w:t>
      </w:r>
      <w:r>
        <w:rPr>
          <w:rFonts w:ascii="Times New Roman" w:cs="Times New Roman" w:eastAsia="Times New Roman" w:hAnsi="Times New Roman"/>
          <w:sz w:val="20"/>
          <w:szCs w:val="20"/>
          <w:color w:val="1A1A1A"/>
        </w:rPr>
        <w:t>setting</w:t>
      </w:r>
      <w:r>
        <w:rPr>
          <w:rFonts w:ascii="Times New Roman" w:cs="Times New Roman" w:eastAsia="Times New Roman" w:hAnsi="Times New Roman"/>
          <w:sz w:val="20"/>
          <w:szCs w:val="20"/>
          <w:color w:val="0A0A0A"/>
        </w:rPr>
        <w:t xml:space="preserve"> forth the proposed amendment is as follows:</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1A1A1A"/>
        </w:rPr>
        <w:t xml:space="preserve">RESOLVED, </w:t>
      </w:r>
      <w:r>
        <w:rPr>
          <w:rFonts w:ascii="Times New Roman" w:cs="Times New Roman" w:eastAsia="Times New Roman" w:hAnsi="Times New Roman"/>
          <w:sz w:val="20"/>
          <w:szCs w:val="20"/>
          <w:color w:val="0A0A0A"/>
        </w:rPr>
        <w:t>that the first paragraph of</w:t>
      </w:r>
      <w:r>
        <w:rPr>
          <w:rFonts w:ascii="Times New Roman" w:cs="Times New Roman" w:eastAsia="Times New Roman" w:hAnsi="Times New Roman"/>
          <w:sz w:val="20"/>
          <w:szCs w:val="20"/>
          <w:color w:val="1A1A1A"/>
        </w:rPr>
        <w:t xml:space="preserve"> Article </w:t>
      </w:r>
      <w:r>
        <w:rPr>
          <w:rFonts w:ascii="Times New Roman" w:cs="Times New Roman" w:eastAsia="Times New Roman" w:hAnsi="Times New Roman"/>
          <w:sz w:val="20"/>
          <w:szCs w:val="20"/>
          <w:color w:val="0A0A0A"/>
        </w:rPr>
        <w:t>FOURTH of the Restated Certificate</w:t>
      </w:r>
      <w:r>
        <w:rPr>
          <w:rFonts w:ascii="Times New Roman" w:cs="Times New Roman" w:eastAsia="Times New Roman" w:hAnsi="Times New Roman"/>
          <w:sz w:val="20"/>
          <w:szCs w:val="20"/>
          <w:color w:val="1A1A1A"/>
        </w:rPr>
        <w:t xml:space="preserve"> of incorporation of </w:t>
      </w:r>
      <w:r>
        <w:rPr>
          <w:rFonts w:ascii="Times New Roman" w:cs="Times New Roman" w:eastAsia="Times New Roman" w:hAnsi="Times New Roman"/>
          <w:sz w:val="20"/>
          <w:szCs w:val="20"/>
          <w:color w:val="0A0A0A"/>
        </w:rPr>
        <w:t>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A0A0A"/>
        </w:rPr>
        <w:t xml:space="preserve">Corporation, as amended, be and hereby is deleted in its entirety </w:t>
      </w:r>
      <w:r>
        <w:rPr>
          <w:rFonts w:ascii="Times New Roman" w:cs="Times New Roman" w:eastAsia="Times New Roman" w:hAnsi="Times New Roman"/>
          <w:sz w:val="20"/>
          <w:szCs w:val="20"/>
          <w:color w:val="1A1A1A"/>
        </w:rPr>
        <w:t>and</w:t>
      </w:r>
      <w:r>
        <w:rPr>
          <w:rFonts w:ascii="Times New Roman" w:cs="Times New Roman" w:eastAsia="Times New Roman" w:hAnsi="Times New Roman"/>
          <w:sz w:val="20"/>
          <w:szCs w:val="20"/>
          <w:color w:val="0A0A0A"/>
        </w:rPr>
        <w:t xml:space="preserve"> the following paragraphs are inserted in lieu thereof:</w:t>
      </w:r>
    </w:p>
    <w:p>
      <w:pPr>
        <w:spacing w:after="0" w:line="234" w:lineRule="exact"/>
        <w:rPr>
          <w:sz w:val="20"/>
          <w:szCs w:val="20"/>
          <w:color w:val="auto"/>
        </w:rPr>
      </w:pPr>
    </w:p>
    <w:p>
      <w:pPr>
        <w:jc w:val="both"/>
        <w:ind w:right="480" w:firstLine="646"/>
        <w:spacing w:after="0" w:line="255" w:lineRule="auto"/>
        <w:rPr>
          <w:sz w:val="20"/>
          <w:szCs w:val="20"/>
          <w:color w:val="auto"/>
        </w:rPr>
      </w:pPr>
      <w:r>
        <w:rPr>
          <w:rFonts w:ascii="Times New Roman" w:cs="Times New Roman" w:eastAsia="Times New Roman" w:hAnsi="Times New Roman"/>
          <w:sz w:val="20"/>
          <w:szCs w:val="20"/>
          <w:color w:val="1A1A1A"/>
        </w:rPr>
        <w:t xml:space="preserve">"FOURTH. </w:t>
      </w:r>
      <w:r>
        <w:rPr>
          <w:rFonts w:ascii="Times New Roman" w:cs="Times New Roman" w:eastAsia="Times New Roman" w:hAnsi="Times New Roman"/>
          <w:sz w:val="20"/>
          <w:szCs w:val="20"/>
          <w:color w:val="0A0A0A"/>
        </w:rPr>
        <w:t>Effective</w:t>
      </w:r>
      <w:r>
        <w:rPr>
          <w:rFonts w:ascii="Times New Roman" w:cs="Times New Roman" w:eastAsia="Times New Roman" w:hAnsi="Times New Roman"/>
          <w:sz w:val="20"/>
          <w:szCs w:val="20"/>
          <w:color w:val="1A1A1A"/>
        </w:rPr>
        <w:t xml:space="preserve"> as </w:t>
      </w:r>
      <w:r>
        <w:rPr>
          <w:rFonts w:ascii="Times New Roman" w:cs="Times New Roman" w:eastAsia="Times New Roman" w:hAnsi="Times New Roman"/>
          <w:sz w:val="20"/>
          <w:szCs w:val="20"/>
          <w:color w:val="0A0A0A"/>
        </w:rPr>
        <w:t>of 12:01</w:t>
      </w:r>
      <w:r>
        <w:rPr>
          <w:rFonts w:ascii="Times New Roman" w:cs="Times New Roman" w:eastAsia="Times New Roman" w:hAnsi="Times New Roman"/>
          <w:sz w:val="20"/>
          <w:szCs w:val="20"/>
          <w:color w:val="1A1A1A"/>
        </w:rPr>
        <w:t xml:space="preserve"> a.m. </w:t>
      </w:r>
      <w:r>
        <w:rPr>
          <w:rFonts w:ascii="Times New Roman" w:cs="Times New Roman" w:eastAsia="Times New Roman" w:hAnsi="Times New Roman"/>
          <w:sz w:val="20"/>
          <w:szCs w:val="20"/>
          <w:color w:val="0A0A0A"/>
        </w:rPr>
        <w:t>on</w:t>
      </w:r>
      <w:r>
        <w:rPr>
          <w:rFonts w:ascii="Times New Roman" w:cs="Times New Roman" w:eastAsia="Times New Roman" w:hAnsi="Times New Roman"/>
          <w:sz w:val="20"/>
          <w:szCs w:val="20"/>
          <w:color w:val="1A1A1A"/>
        </w:rPr>
        <w:t xml:space="preserve"> July </w:t>
      </w:r>
      <w:r>
        <w:rPr>
          <w:rFonts w:ascii="Times New Roman" w:cs="Times New Roman" w:eastAsia="Times New Roman" w:hAnsi="Times New Roman"/>
          <w:sz w:val="20"/>
          <w:szCs w:val="20"/>
          <w:color w:val="0A0A0A"/>
        </w:rPr>
        <w:t>20, 2017 (the "Effective Time"),</w:t>
      </w:r>
      <w:r>
        <w:rPr>
          <w:rFonts w:ascii="Times New Roman" w:cs="Times New Roman" w:eastAsia="Times New Roman" w:hAnsi="Times New Roman"/>
          <w:sz w:val="20"/>
          <w:szCs w:val="20"/>
          <w:color w:val="1A1A1A"/>
        </w:rPr>
        <w:t xml:space="preserve"> a one-for-ten </w:t>
      </w:r>
      <w:r>
        <w:rPr>
          <w:rFonts w:ascii="Times New Roman" w:cs="Times New Roman" w:eastAsia="Times New Roman" w:hAnsi="Times New Roman"/>
          <w:sz w:val="20"/>
          <w:szCs w:val="20"/>
          <w:color w:val="0A0A0A"/>
        </w:rPr>
        <w:t>reverse</w:t>
      </w:r>
      <w:r>
        <w:rPr>
          <w:rFonts w:ascii="Times New Roman" w:cs="Times New Roman" w:eastAsia="Times New Roman" w:hAnsi="Times New Roman"/>
          <w:sz w:val="20"/>
          <w:szCs w:val="20"/>
          <w:color w:val="1A1A1A"/>
        </w:rPr>
        <w:t xml:space="preserve"> stock </w:t>
      </w:r>
      <w:r>
        <w:rPr>
          <w:rFonts w:ascii="Times New Roman" w:cs="Times New Roman" w:eastAsia="Times New Roman" w:hAnsi="Times New Roman"/>
          <w:sz w:val="20"/>
          <w:szCs w:val="20"/>
          <w:color w:val="0A0A0A"/>
        </w:rPr>
        <w:t>split of the</w:t>
      </w:r>
      <w:r>
        <w:rPr>
          <w:rFonts w:ascii="Times New Roman" w:cs="Times New Roman" w:eastAsia="Times New Roman" w:hAnsi="Times New Roman"/>
          <w:sz w:val="20"/>
          <w:szCs w:val="20"/>
          <w:color w:val="1A1A1A"/>
        </w:rPr>
        <w:t xml:space="preserve"> Corporation's </w:t>
      </w:r>
      <w:r>
        <w:rPr>
          <w:rFonts w:ascii="Times New Roman" w:cs="Times New Roman" w:eastAsia="Times New Roman" w:hAnsi="Times New Roman"/>
          <w:sz w:val="20"/>
          <w:szCs w:val="20"/>
          <w:color w:val="0A0A0A"/>
        </w:rPr>
        <w:t>common stock, par value $0.0001 per share</w:t>
      </w:r>
      <w:r>
        <w:rPr>
          <w:rFonts w:ascii="Times New Roman" w:cs="Times New Roman" w:eastAsia="Times New Roman" w:hAnsi="Times New Roman"/>
          <w:sz w:val="20"/>
          <w:szCs w:val="20"/>
          <w:color w:val="1A1A1A"/>
        </w:rPr>
        <w:t xml:space="preserve"> (the </w:t>
      </w:r>
      <w:r>
        <w:rPr>
          <w:rFonts w:ascii="Times New Roman" w:cs="Times New Roman" w:eastAsia="Times New Roman" w:hAnsi="Times New Roman"/>
          <w:sz w:val="20"/>
          <w:szCs w:val="20"/>
          <w:color w:val="0A0A0A"/>
        </w:rPr>
        <w:t>"Common Stock</w:t>
      </w:r>
      <w:r>
        <w:rPr>
          <w:rFonts w:ascii="Times New Roman" w:cs="Times New Roman" w:eastAsia="Times New Roman" w:hAnsi="Times New Roman"/>
          <w:sz w:val="20"/>
          <w:szCs w:val="20"/>
          <w:color w:val="28282A"/>
        </w:rPr>
        <w:t>")</w:t>
      </w:r>
      <w:r>
        <w:rPr>
          <w:rFonts w:ascii="Times New Roman" w:cs="Times New Roman" w:eastAsia="Times New Roman" w:hAnsi="Times New Roman"/>
          <w:sz w:val="20"/>
          <w:szCs w:val="20"/>
          <w:color w:val="0A0A0A"/>
        </w:rPr>
        <w:t>,</w:t>
      </w:r>
      <w:r>
        <w:rPr>
          <w:rFonts w:ascii="Times New Roman" w:cs="Times New Roman" w:eastAsia="Times New Roman" w:hAnsi="Times New Roman"/>
          <w:sz w:val="20"/>
          <w:szCs w:val="20"/>
          <w:color w:val="1A1A1A"/>
        </w:rPr>
        <w:t xml:space="preserve"> shall </w:t>
      </w:r>
      <w:r>
        <w:rPr>
          <w:rFonts w:ascii="Times New Roman" w:cs="Times New Roman" w:eastAsia="Times New Roman" w:hAnsi="Times New Roman"/>
          <w:sz w:val="20"/>
          <w:szCs w:val="20"/>
          <w:color w:val="0A0A0A"/>
        </w:rPr>
        <w:t>become effective, pursuant to which</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0A0A0A"/>
        </w:rPr>
        <w:t xml:space="preserve">each ten shares </w:t>
      </w:r>
      <w:r>
        <w:rPr>
          <w:rFonts w:ascii="Times New Roman" w:cs="Times New Roman" w:eastAsia="Times New Roman" w:hAnsi="Times New Roman"/>
          <w:sz w:val="20"/>
          <w:szCs w:val="20"/>
          <w:color w:val="1A1A1A"/>
        </w:rPr>
        <w:t>of</w:t>
      </w:r>
      <w:r>
        <w:rPr>
          <w:rFonts w:ascii="Times New Roman" w:cs="Times New Roman" w:eastAsia="Times New Roman" w:hAnsi="Times New Roman"/>
          <w:sz w:val="20"/>
          <w:szCs w:val="20"/>
          <w:color w:val="0A0A0A"/>
        </w:rPr>
        <w:t xml:space="preserve"> Common Stock outstanding and held of record by </w:t>
      </w:r>
      <w:r>
        <w:rPr>
          <w:rFonts w:ascii="Times New Roman" w:cs="Times New Roman" w:eastAsia="Times New Roman" w:hAnsi="Times New Roman"/>
          <w:sz w:val="20"/>
          <w:szCs w:val="20"/>
          <w:color w:val="1A1A1A"/>
        </w:rPr>
        <w:t>each stockholder</w:t>
      </w:r>
      <w:r>
        <w:rPr>
          <w:rFonts w:ascii="Times New Roman" w:cs="Times New Roman" w:eastAsia="Times New Roman" w:hAnsi="Times New Roman"/>
          <w:sz w:val="20"/>
          <w:szCs w:val="20"/>
          <w:color w:val="0A0A0A"/>
        </w:rPr>
        <w:t xml:space="preserve"> of the Corporation (including treasury shares) immediately prior to the </w:t>
      </w:r>
      <w:r>
        <w:rPr>
          <w:rFonts w:ascii="Times New Roman" w:cs="Times New Roman" w:eastAsia="Times New Roman" w:hAnsi="Times New Roman"/>
          <w:sz w:val="20"/>
          <w:szCs w:val="20"/>
          <w:color w:val="1A1A1A"/>
        </w:rPr>
        <w:t>Effective</w:t>
      </w:r>
      <w:r>
        <w:rPr>
          <w:rFonts w:ascii="Times New Roman" w:cs="Times New Roman" w:eastAsia="Times New Roman" w:hAnsi="Times New Roman"/>
          <w:sz w:val="20"/>
          <w:szCs w:val="20"/>
          <w:color w:val="0A0A0A"/>
        </w:rPr>
        <w:t xml:space="preserve"> Time </w:t>
      </w:r>
      <w:r>
        <w:rPr>
          <w:rFonts w:ascii="Times New Roman" w:cs="Times New Roman" w:eastAsia="Times New Roman" w:hAnsi="Times New Roman"/>
          <w:sz w:val="20"/>
          <w:szCs w:val="20"/>
          <w:color w:val="1A1A1A"/>
        </w:rPr>
        <w:t>shall</w:t>
      </w:r>
      <w:r>
        <w:rPr>
          <w:rFonts w:ascii="Times New Roman" w:cs="Times New Roman" w:eastAsia="Times New Roman" w:hAnsi="Times New Roman"/>
          <w:sz w:val="20"/>
          <w:szCs w:val="20"/>
          <w:color w:val="0A0A0A"/>
        </w:rPr>
        <w:t xml:space="preserve"> be reclassified and combined into </w:t>
      </w:r>
      <w:r>
        <w:rPr>
          <w:rFonts w:ascii="Times New Roman" w:cs="Times New Roman" w:eastAsia="Times New Roman" w:hAnsi="Times New Roman"/>
          <w:sz w:val="20"/>
          <w:szCs w:val="20"/>
          <w:color w:val="1A1A1A"/>
        </w:rPr>
        <w:t>one</w:t>
      </w:r>
      <w:r>
        <w:rPr>
          <w:rFonts w:ascii="Times New Roman" w:cs="Times New Roman" w:eastAsia="Times New Roman" w:hAnsi="Times New Roman"/>
          <w:sz w:val="20"/>
          <w:szCs w:val="20"/>
          <w:color w:val="0A0A0A"/>
        </w:rPr>
        <w:t xml:space="preserve"> validly issued, </w:t>
      </w:r>
      <w:r>
        <w:rPr>
          <w:rFonts w:ascii="Times New Roman" w:cs="Times New Roman" w:eastAsia="Times New Roman" w:hAnsi="Times New Roman"/>
          <w:sz w:val="20"/>
          <w:szCs w:val="20"/>
          <w:color w:val="1A1A1A"/>
        </w:rPr>
        <w:t>fully</w:t>
      </w:r>
      <w:r>
        <w:rPr>
          <w:rFonts w:ascii="Times New Roman" w:cs="Times New Roman" w:eastAsia="Times New Roman" w:hAnsi="Times New Roman"/>
          <w:sz w:val="20"/>
          <w:szCs w:val="20"/>
          <w:color w:val="0A0A0A"/>
        </w:rPr>
        <w:t xml:space="preserve"> paid and </w:t>
      </w:r>
      <w:r>
        <w:rPr>
          <w:rFonts w:ascii="Times New Roman" w:cs="Times New Roman" w:eastAsia="Times New Roman" w:hAnsi="Times New Roman"/>
          <w:sz w:val="20"/>
          <w:szCs w:val="20"/>
          <w:color w:val="1A1A1A"/>
        </w:rPr>
        <w:t xml:space="preserve">nonassessable share </w:t>
      </w:r>
      <w:r>
        <w:rPr>
          <w:rFonts w:ascii="Times New Roman" w:cs="Times New Roman" w:eastAsia="Times New Roman" w:hAnsi="Times New Roman"/>
          <w:sz w:val="20"/>
          <w:szCs w:val="20"/>
          <w:color w:val="0A0A0A"/>
        </w:rPr>
        <w:t>of</w:t>
      </w:r>
      <w:r>
        <w:rPr>
          <w:rFonts w:ascii="Times New Roman" w:cs="Times New Roman" w:eastAsia="Times New Roman" w:hAnsi="Times New Roman"/>
          <w:sz w:val="20"/>
          <w:szCs w:val="20"/>
          <w:color w:val="1A1A1A"/>
        </w:rPr>
        <w:t xml:space="preserve"> Common Stock </w:t>
      </w:r>
      <w:r>
        <w:rPr>
          <w:rFonts w:ascii="Times New Roman" w:cs="Times New Roman" w:eastAsia="Times New Roman" w:hAnsi="Times New Roman"/>
          <w:sz w:val="20"/>
          <w:szCs w:val="20"/>
          <w:color w:val="0A0A0A"/>
        </w:rPr>
        <w:t>automatically</w:t>
      </w:r>
      <w:r>
        <w:rPr>
          <w:rFonts w:ascii="Times New Roman" w:cs="Times New Roman" w:eastAsia="Times New Roman" w:hAnsi="Times New Roman"/>
          <w:sz w:val="20"/>
          <w:szCs w:val="20"/>
          <w:color w:val="1A1A1A"/>
        </w:rPr>
        <w:t xml:space="preserve"> and </w:t>
      </w:r>
      <w:r>
        <w:rPr>
          <w:rFonts w:ascii="Times New Roman" w:cs="Times New Roman" w:eastAsia="Times New Roman" w:hAnsi="Times New Roman"/>
          <w:sz w:val="20"/>
          <w:szCs w:val="20"/>
          <w:color w:val="0A0A0A"/>
        </w:rPr>
        <w:t>without any</w:t>
      </w:r>
      <w:r>
        <w:rPr>
          <w:rFonts w:ascii="Times New Roman" w:cs="Times New Roman" w:eastAsia="Times New Roman" w:hAnsi="Times New Roman"/>
          <w:sz w:val="20"/>
          <w:szCs w:val="20"/>
          <w:color w:val="1A1A1A"/>
        </w:rPr>
        <w:t xml:space="preserve"> action </w:t>
      </w:r>
      <w:r>
        <w:rPr>
          <w:rFonts w:ascii="Times New Roman" w:cs="Times New Roman" w:eastAsia="Times New Roman" w:hAnsi="Times New Roman"/>
          <w:sz w:val="20"/>
          <w:szCs w:val="20"/>
          <w:color w:val="0A0A0A"/>
        </w:rPr>
        <w:t>by the holder thereof upon the Effective Time and</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0A0A0A"/>
        </w:rPr>
        <w:t xml:space="preserve">shall represent one share of Common Stock from and after the Effective Time </w:t>
      </w:r>
      <w:r>
        <w:rPr>
          <w:rFonts w:ascii="Times New Roman" w:cs="Times New Roman" w:eastAsia="Times New Roman" w:hAnsi="Times New Roman"/>
          <w:sz w:val="20"/>
          <w:szCs w:val="20"/>
          <w:color w:val="1A1A1A"/>
        </w:rPr>
        <w:t>(such</w:t>
      </w:r>
      <w:r>
        <w:rPr>
          <w:rFonts w:ascii="Times New Roman" w:cs="Times New Roman" w:eastAsia="Times New Roman" w:hAnsi="Times New Roman"/>
          <w:sz w:val="20"/>
          <w:szCs w:val="20"/>
          <w:color w:val="0A0A0A"/>
        </w:rPr>
        <w:t xml:space="preserve"> reclassification and combination of </w:t>
      </w:r>
      <w:r>
        <w:rPr>
          <w:rFonts w:ascii="Times New Roman" w:cs="Times New Roman" w:eastAsia="Times New Roman" w:hAnsi="Times New Roman"/>
          <w:sz w:val="20"/>
          <w:szCs w:val="20"/>
          <w:color w:val="1A1A1A"/>
        </w:rPr>
        <w:t>shares,</w:t>
      </w:r>
      <w:r>
        <w:rPr>
          <w:rFonts w:ascii="Times New Roman" w:cs="Times New Roman" w:eastAsia="Times New Roman" w:hAnsi="Times New Roman"/>
          <w:sz w:val="20"/>
          <w:szCs w:val="20"/>
          <w:color w:val="0A0A0A"/>
        </w:rPr>
        <w:t xml:space="preserve"> </w:t>
      </w:r>
      <w:r>
        <w:rPr>
          <w:rFonts w:ascii="Times New Roman" w:cs="Times New Roman" w:eastAsia="Times New Roman" w:hAnsi="Times New Roman"/>
          <w:sz w:val="20"/>
          <w:szCs w:val="20"/>
          <w:color w:val="1A1A1A"/>
        </w:rPr>
        <w:t xml:space="preserve">the "Reverse </w:t>
      </w:r>
      <w:r>
        <w:rPr>
          <w:rFonts w:ascii="Times New Roman" w:cs="Times New Roman" w:eastAsia="Times New Roman" w:hAnsi="Times New Roman"/>
          <w:sz w:val="20"/>
          <w:szCs w:val="20"/>
          <w:color w:val="0A0A0A"/>
        </w:rPr>
        <w:t>Stock</w:t>
      </w:r>
      <w:r>
        <w:rPr>
          <w:rFonts w:ascii="Times New Roman" w:cs="Times New Roman" w:eastAsia="Times New Roman" w:hAnsi="Times New Roman"/>
          <w:sz w:val="20"/>
          <w:szCs w:val="20"/>
          <w:color w:val="1A1A1A"/>
        </w:rPr>
        <w:t xml:space="preserve"> Split"). </w:t>
      </w:r>
      <w:r>
        <w:rPr>
          <w:rFonts w:ascii="Times New Roman" w:cs="Times New Roman" w:eastAsia="Times New Roman" w:hAnsi="Times New Roman"/>
          <w:sz w:val="20"/>
          <w:szCs w:val="20"/>
          <w:color w:val="0A0A0A"/>
        </w:rPr>
        <w:t>The par value of the Common Stock following the Reverse Stock Split shall remain</w:t>
      </w:r>
      <w:r>
        <w:rPr>
          <w:rFonts w:ascii="Times New Roman" w:cs="Times New Roman" w:eastAsia="Times New Roman" w:hAnsi="Times New Roman"/>
          <w:sz w:val="20"/>
          <w:szCs w:val="20"/>
          <w:color w:val="1A1A1A"/>
        </w:rPr>
        <w:t xml:space="preserve"> at $0.0001 </w:t>
      </w:r>
      <w:r>
        <w:rPr>
          <w:rFonts w:ascii="Times New Roman" w:cs="Times New Roman" w:eastAsia="Times New Roman" w:hAnsi="Times New Roman"/>
          <w:sz w:val="20"/>
          <w:szCs w:val="20"/>
          <w:color w:val="0A0A0A"/>
        </w:rPr>
        <w:t>per</w:t>
      </w:r>
      <w:r>
        <w:rPr>
          <w:rFonts w:ascii="Times New Roman" w:cs="Times New Roman" w:eastAsia="Times New Roman" w:hAnsi="Times New Roman"/>
          <w:sz w:val="20"/>
          <w:szCs w:val="20"/>
          <w:color w:val="1A1A1A"/>
        </w:rPr>
        <w:t xml:space="preserve"> share. </w:t>
      </w:r>
      <w:r>
        <w:rPr>
          <w:rFonts w:ascii="Times New Roman" w:cs="Times New Roman" w:eastAsia="Times New Roman" w:hAnsi="Times New Roman"/>
          <w:sz w:val="20"/>
          <w:szCs w:val="20"/>
          <w:color w:val="0A0A0A"/>
        </w:rPr>
        <w:t>No fractional</w:t>
      </w:r>
      <w:r>
        <w:rPr>
          <w:rFonts w:ascii="Times New Roman" w:cs="Times New Roman" w:eastAsia="Times New Roman" w:hAnsi="Times New Roman"/>
          <w:sz w:val="20"/>
          <w:szCs w:val="20"/>
          <w:color w:val="1A1A1A"/>
        </w:rPr>
        <w:t xml:space="preserve"> shares </w:t>
      </w:r>
      <w:r>
        <w:rPr>
          <w:rFonts w:ascii="Times New Roman" w:cs="Times New Roman" w:eastAsia="Times New Roman" w:hAnsi="Times New Roman"/>
          <w:sz w:val="20"/>
          <w:szCs w:val="20"/>
          <w:color w:val="0A0A0A"/>
        </w:rPr>
        <w:t>of</w:t>
      </w:r>
      <w:r>
        <w:rPr>
          <w:rFonts w:ascii="Times New Roman" w:cs="Times New Roman" w:eastAsia="Times New Roman" w:hAnsi="Times New Roman"/>
          <w:sz w:val="20"/>
          <w:szCs w:val="20"/>
          <w:color w:val="1A1A1A"/>
        </w:rPr>
        <w:t xml:space="preserve"> Common </w:t>
      </w:r>
      <w:r>
        <w:rPr>
          <w:rFonts w:ascii="Times New Roman" w:cs="Times New Roman" w:eastAsia="Times New Roman" w:hAnsi="Times New Roman"/>
          <w:sz w:val="20"/>
          <w:szCs w:val="20"/>
          <w:color w:val="0A0A0A"/>
        </w:rPr>
        <w:t>Stock</w:t>
      </w:r>
      <w:r>
        <w:rPr>
          <w:rFonts w:ascii="Times New Roman" w:cs="Times New Roman" w:eastAsia="Times New Roman" w:hAnsi="Times New Roman"/>
          <w:sz w:val="20"/>
          <w:szCs w:val="20"/>
          <w:color w:val="1A1A1A"/>
        </w:rPr>
        <w:t xml:space="preserve"> shall </w:t>
      </w:r>
      <w:r>
        <w:rPr>
          <w:rFonts w:ascii="Times New Roman" w:cs="Times New Roman" w:eastAsia="Times New Roman" w:hAnsi="Times New Roman"/>
          <w:sz w:val="20"/>
          <w:szCs w:val="20"/>
          <w:color w:val="0A0A0A"/>
        </w:rPr>
        <w:t>be issued</w:t>
      </w:r>
      <w:r>
        <w:rPr>
          <w:rFonts w:ascii="Times New Roman" w:cs="Times New Roman" w:eastAsia="Times New Roman" w:hAnsi="Times New Roman"/>
          <w:sz w:val="20"/>
          <w:szCs w:val="20"/>
          <w:color w:val="1A1A1A"/>
        </w:rPr>
        <w:t xml:space="preserve"> as </w:t>
      </w:r>
      <w:r>
        <w:rPr>
          <w:rFonts w:ascii="Times New Roman" w:cs="Times New Roman" w:eastAsia="Times New Roman" w:hAnsi="Times New Roman"/>
          <w:sz w:val="20"/>
          <w:szCs w:val="20"/>
          <w:color w:val="0A0A0A"/>
        </w:rPr>
        <w:t>a result of</w:t>
      </w:r>
      <w:r>
        <w:rPr>
          <w:rFonts w:ascii="Times New Roman" w:cs="Times New Roman" w:eastAsia="Times New Roman" w:hAnsi="Times New Roman"/>
          <w:sz w:val="20"/>
          <w:szCs w:val="20"/>
          <w:color w:val="1A1A1A"/>
        </w:rPr>
        <w:t xml:space="preserve"> the </w:t>
      </w:r>
      <w:r>
        <w:rPr>
          <w:rFonts w:ascii="Times New Roman" w:cs="Times New Roman" w:eastAsia="Times New Roman" w:hAnsi="Times New Roman"/>
          <w:sz w:val="20"/>
          <w:szCs w:val="20"/>
          <w:color w:val="0A0A0A"/>
        </w:rPr>
        <w:t>Reverse Stock</w:t>
      </w:r>
      <w:r>
        <w:rPr>
          <w:rFonts w:ascii="Times New Roman" w:cs="Times New Roman" w:eastAsia="Times New Roman" w:hAnsi="Times New Roman"/>
          <w:sz w:val="20"/>
          <w:szCs w:val="20"/>
          <w:color w:val="1A1A1A"/>
        </w:rPr>
        <w:t xml:space="preserve"> Split and, </w:t>
      </w:r>
      <w:r>
        <w:rPr>
          <w:rFonts w:ascii="Times New Roman" w:cs="Times New Roman" w:eastAsia="Times New Roman" w:hAnsi="Times New Roman"/>
          <w:sz w:val="20"/>
          <w:szCs w:val="20"/>
          <w:color w:val="0A0A0A"/>
        </w:rPr>
        <w:t>in lieu</w:t>
      </w:r>
      <w:r>
        <w:rPr>
          <w:rFonts w:ascii="Times New Roman" w:cs="Times New Roman" w:eastAsia="Times New Roman" w:hAnsi="Times New Roman"/>
          <w:sz w:val="20"/>
          <w:szCs w:val="20"/>
          <w:color w:val="1A1A1A"/>
        </w:rPr>
        <w:t xml:space="preserve"> thereof, upon surrender after </w:t>
      </w:r>
      <w:r>
        <w:rPr>
          <w:rFonts w:ascii="Times New Roman" w:cs="Times New Roman" w:eastAsia="Times New Roman" w:hAnsi="Times New Roman"/>
          <w:sz w:val="20"/>
          <w:szCs w:val="20"/>
          <w:color w:val="0A0A0A"/>
        </w:rPr>
        <w:t>the</w:t>
      </w:r>
      <w:r>
        <w:rPr>
          <w:rFonts w:ascii="Times New Roman" w:cs="Times New Roman" w:eastAsia="Times New Roman" w:hAnsi="Times New Roman"/>
          <w:sz w:val="20"/>
          <w:szCs w:val="20"/>
          <w:color w:val="1A1A1A"/>
        </w:rPr>
        <w:t xml:space="preserve"> Effective Time of </w:t>
      </w:r>
      <w:r>
        <w:rPr>
          <w:rFonts w:ascii="Times New Roman" w:cs="Times New Roman" w:eastAsia="Times New Roman" w:hAnsi="Times New Roman"/>
          <w:sz w:val="20"/>
          <w:szCs w:val="20"/>
          <w:color w:val="0A0A0A"/>
        </w:rPr>
        <w:t>a certificate which formerly repre</w:t>
      </w:r>
      <w:r>
        <w:rPr>
          <w:rFonts w:ascii="Times New Roman" w:cs="Times New Roman" w:eastAsia="Times New Roman" w:hAnsi="Times New Roman"/>
          <w:sz w:val="20"/>
          <w:szCs w:val="20"/>
          <w:color w:val="28282A"/>
        </w:rPr>
        <w:t>se</w:t>
      </w:r>
      <w:r>
        <w:rPr>
          <w:rFonts w:ascii="Times New Roman" w:cs="Times New Roman" w:eastAsia="Times New Roman" w:hAnsi="Times New Roman"/>
          <w:sz w:val="20"/>
          <w:szCs w:val="20"/>
          <w:color w:val="0A0A0A"/>
        </w:rPr>
        <w:t>nted shares</w:t>
      </w:r>
      <w:r>
        <w:rPr>
          <w:rFonts w:ascii="Times New Roman" w:cs="Times New Roman" w:eastAsia="Times New Roman" w:hAnsi="Times New Roman"/>
          <w:sz w:val="20"/>
          <w:szCs w:val="20"/>
          <w:color w:val="1A1A1A"/>
        </w:rPr>
        <w:t xml:space="preserve"> of Common </w:t>
      </w:r>
      <w:r>
        <w:rPr>
          <w:rFonts w:ascii="Times New Roman" w:cs="Times New Roman" w:eastAsia="Times New Roman" w:hAnsi="Times New Roman"/>
          <w:sz w:val="20"/>
          <w:szCs w:val="20"/>
          <w:color w:val="0A0A0A"/>
        </w:rPr>
        <w:t>Stock</w:t>
      </w:r>
      <w:r>
        <w:rPr>
          <w:rFonts w:ascii="Times New Roman" w:cs="Times New Roman" w:eastAsia="Times New Roman" w:hAnsi="Times New Roman"/>
          <w:sz w:val="20"/>
          <w:szCs w:val="20"/>
          <w:color w:val="1A1A1A"/>
        </w:rPr>
        <w:t xml:space="preserve"> that were </w:t>
      </w:r>
      <w:r>
        <w:rPr>
          <w:rFonts w:ascii="Times New Roman" w:cs="Times New Roman" w:eastAsia="Times New Roman" w:hAnsi="Times New Roman"/>
          <w:sz w:val="20"/>
          <w:szCs w:val="20"/>
          <w:color w:val="0A0A0A"/>
        </w:rPr>
        <w:t>issued</w:t>
      </w:r>
      <w:r>
        <w:rPr>
          <w:rFonts w:ascii="Times New Roman" w:cs="Times New Roman" w:eastAsia="Times New Roman" w:hAnsi="Times New Roman"/>
          <w:sz w:val="20"/>
          <w:szCs w:val="20"/>
          <w:color w:val="1A1A1A"/>
        </w:rPr>
        <w:t xml:space="preserve"> and outstanding </w:t>
      </w:r>
      <w:r>
        <w:rPr>
          <w:rFonts w:ascii="Times New Roman" w:cs="Times New Roman" w:eastAsia="Times New Roman" w:hAnsi="Times New Roman"/>
          <w:sz w:val="20"/>
          <w:szCs w:val="20"/>
          <w:color w:val="0A0A0A"/>
        </w:rPr>
        <w:t>immediately</w:t>
      </w:r>
      <w:r>
        <w:rPr>
          <w:rFonts w:ascii="Times New Roman" w:cs="Times New Roman" w:eastAsia="Times New Roman" w:hAnsi="Times New Roman"/>
          <w:sz w:val="20"/>
          <w:szCs w:val="20"/>
          <w:color w:val="1A1A1A"/>
        </w:rPr>
        <w:t xml:space="preserve"> prior </w:t>
      </w:r>
      <w:r>
        <w:rPr>
          <w:rFonts w:ascii="Times New Roman" w:cs="Times New Roman" w:eastAsia="Times New Roman" w:hAnsi="Times New Roman"/>
          <w:sz w:val="20"/>
          <w:szCs w:val="20"/>
          <w:color w:val="0A0A0A"/>
        </w:rPr>
        <w:t>to</w:t>
      </w:r>
      <w:r>
        <w:rPr>
          <w:rFonts w:ascii="Times New Roman" w:cs="Times New Roman" w:eastAsia="Times New Roman" w:hAnsi="Times New Roman"/>
          <w:sz w:val="20"/>
          <w:szCs w:val="20"/>
          <w:color w:val="1A1A1A"/>
        </w:rPr>
        <w:t xml:space="preserve"> the Effective </w:t>
      </w:r>
      <w:r>
        <w:rPr>
          <w:rFonts w:ascii="Times New Roman" w:cs="Times New Roman" w:eastAsia="Times New Roman" w:hAnsi="Times New Roman"/>
          <w:sz w:val="20"/>
          <w:szCs w:val="20"/>
          <w:color w:val="0A0A0A"/>
        </w:rPr>
        <w:t>Time,</w:t>
      </w:r>
      <w:r>
        <w:rPr>
          <w:rFonts w:ascii="Times New Roman" w:cs="Times New Roman" w:eastAsia="Times New Roman" w:hAnsi="Times New Roman"/>
          <w:sz w:val="20"/>
          <w:szCs w:val="20"/>
          <w:color w:val="1A1A1A"/>
        </w:rPr>
        <w:t xml:space="preserve"> any</w:t>
      </w:r>
    </w:p>
    <w:p>
      <w:pPr>
        <w:sectPr>
          <w:pgSz w:w="11900" w:h="16838" w:orient="portrait"/>
          <w:cols w:equalWidth="0" w:num="1">
            <w:col w:w="10640"/>
          </w:cols>
          <w:pgMar w:left="440" w:top="1440" w:right="819" w:bottom="1440" w:gutter="0" w:footer="0" w:header="0"/>
        </w:sectPr>
      </w:pPr>
    </w:p>
    <w:bookmarkStart w:id="50" w:name="page51"/>
    <w:bookmarkEnd w:id="50"/>
    <w:p>
      <w:pPr>
        <w:jc w:val="both"/>
        <w:ind w:right="40"/>
        <w:spacing w:after="0" w:line="263" w:lineRule="auto"/>
        <w:rPr>
          <w:sz w:val="20"/>
          <w:szCs w:val="20"/>
          <w:color w:val="auto"/>
        </w:rPr>
      </w:pPr>
      <w:r>
        <w:rPr>
          <w:rFonts w:ascii="Times New Roman" w:cs="Times New Roman" w:eastAsia="Times New Roman" w:hAnsi="Times New Roman"/>
          <w:sz w:val="20"/>
          <w:szCs w:val="20"/>
          <w:color w:val="0A0A0A"/>
        </w:rPr>
        <w:t xml:space="preserve">person </w:t>
      </w:r>
      <w:r>
        <w:rPr>
          <w:rFonts w:ascii="Times New Roman" w:cs="Times New Roman" w:eastAsia="Times New Roman" w:hAnsi="Times New Roman"/>
          <w:sz w:val="20"/>
          <w:szCs w:val="20"/>
          <w:color w:val="1A1A1A"/>
        </w:rPr>
        <w:t>who would otherwise</w:t>
      </w:r>
      <w:r>
        <w:rPr>
          <w:rFonts w:ascii="Times New Roman" w:cs="Times New Roman" w:eastAsia="Times New Roman" w:hAnsi="Times New Roman"/>
          <w:sz w:val="20"/>
          <w:szCs w:val="20"/>
          <w:color w:val="0A0A0A"/>
        </w:rPr>
        <w:t xml:space="preserve"> be </w:t>
      </w:r>
      <w:r>
        <w:rPr>
          <w:rFonts w:ascii="Times New Roman" w:cs="Times New Roman" w:eastAsia="Times New Roman" w:hAnsi="Times New Roman"/>
          <w:sz w:val="20"/>
          <w:szCs w:val="20"/>
          <w:color w:val="1A1A1A"/>
        </w:rPr>
        <w:t>entitled</w:t>
      </w:r>
      <w:r>
        <w:rPr>
          <w:rFonts w:ascii="Times New Roman" w:cs="Times New Roman" w:eastAsia="Times New Roman" w:hAnsi="Times New Roman"/>
          <w:sz w:val="20"/>
          <w:szCs w:val="20"/>
          <w:color w:val="0A0A0A"/>
        </w:rPr>
        <w:t xml:space="preserve"> </w:t>
      </w:r>
      <w:r>
        <w:rPr>
          <w:rFonts w:ascii="Times New Roman" w:cs="Times New Roman" w:eastAsia="Times New Roman" w:hAnsi="Times New Roman"/>
          <w:sz w:val="20"/>
          <w:szCs w:val="20"/>
          <w:color w:val="28282A"/>
        </w:rPr>
        <w:t>t</w:t>
      </w:r>
      <w:r>
        <w:rPr>
          <w:rFonts w:ascii="Times New Roman" w:cs="Times New Roman" w:eastAsia="Times New Roman" w:hAnsi="Times New Roman"/>
          <w:sz w:val="20"/>
          <w:szCs w:val="20"/>
          <w:color w:val="0A0A0A"/>
        </w:rPr>
        <w:t xml:space="preserve">o </w:t>
      </w:r>
      <w:r>
        <w:rPr>
          <w:rFonts w:ascii="Times New Roman" w:cs="Times New Roman" w:eastAsia="Times New Roman" w:hAnsi="Times New Roman"/>
          <w:sz w:val="20"/>
          <w:szCs w:val="20"/>
          <w:color w:val="1A1A1A"/>
        </w:rPr>
        <w:t>a fractional</w:t>
      </w:r>
      <w:r>
        <w:rPr>
          <w:rFonts w:ascii="Times New Roman" w:cs="Times New Roman" w:eastAsia="Times New Roman" w:hAnsi="Times New Roman"/>
          <w:sz w:val="20"/>
          <w:szCs w:val="20"/>
          <w:color w:val="0A0A0A"/>
        </w:rPr>
        <w:t xml:space="preserve"> share of Common </w:t>
      </w:r>
      <w:r>
        <w:rPr>
          <w:rFonts w:ascii="Times New Roman" w:cs="Times New Roman" w:eastAsia="Times New Roman" w:hAnsi="Times New Roman"/>
          <w:sz w:val="20"/>
          <w:szCs w:val="20"/>
          <w:color w:val="1A1A1A"/>
        </w:rPr>
        <w:t>Stock</w:t>
      </w:r>
      <w:r>
        <w:rPr>
          <w:rFonts w:ascii="Times New Roman" w:cs="Times New Roman" w:eastAsia="Times New Roman" w:hAnsi="Times New Roman"/>
          <w:sz w:val="20"/>
          <w:szCs w:val="20"/>
          <w:color w:val="0A0A0A"/>
        </w:rPr>
        <w:t xml:space="preserve"> as a result of the Reverse Stock Split</w:t>
      </w:r>
      <w:r>
        <w:rPr>
          <w:rFonts w:ascii="Times New Roman" w:cs="Times New Roman" w:eastAsia="Times New Roman" w:hAnsi="Times New Roman"/>
          <w:sz w:val="20"/>
          <w:szCs w:val="20"/>
          <w:color w:val="3F3F42"/>
        </w:rPr>
        <w:t>,</w:t>
      </w:r>
      <w:r>
        <w:rPr>
          <w:rFonts w:ascii="Times New Roman" w:cs="Times New Roman" w:eastAsia="Times New Roman" w:hAnsi="Times New Roman"/>
          <w:sz w:val="20"/>
          <w:szCs w:val="20"/>
          <w:color w:val="0A0A0A"/>
        </w:rPr>
        <w:t xml:space="preserve"> following </w:t>
      </w:r>
      <w:r>
        <w:rPr>
          <w:rFonts w:ascii="Times New Roman" w:cs="Times New Roman" w:eastAsia="Times New Roman" w:hAnsi="Times New Roman"/>
          <w:sz w:val="20"/>
          <w:szCs w:val="20"/>
          <w:color w:val="1A1A1A"/>
        </w:rPr>
        <w:t xml:space="preserve">the </w:t>
      </w:r>
      <w:r>
        <w:rPr>
          <w:rFonts w:ascii="Times New Roman" w:cs="Times New Roman" w:eastAsia="Times New Roman" w:hAnsi="Times New Roman"/>
          <w:sz w:val="20"/>
          <w:szCs w:val="20"/>
          <w:color w:val="0A0A0A"/>
        </w:rPr>
        <w:t>Effective Time</w:t>
      </w:r>
      <w:r>
        <w:rPr>
          <w:rFonts w:ascii="Times New Roman" w:cs="Times New Roman" w:eastAsia="Times New Roman" w:hAnsi="Times New Roman"/>
          <w:sz w:val="20"/>
          <w:szCs w:val="20"/>
          <w:color w:val="28282A"/>
        </w:rPr>
        <w:t>,</w:t>
      </w:r>
      <w:r>
        <w:rPr>
          <w:rFonts w:ascii="Times New Roman" w:cs="Times New Roman" w:eastAsia="Times New Roman" w:hAnsi="Times New Roman"/>
          <w:sz w:val="20"/>
          <w:szCs w:val="20"/>
          <w:color w:val="1A1A1A"/>
        </w:rPr>
        <w:t xml:space="preserve"> shall </w:t>
      </w:r>
      <w:r>
        <w:rPr>
          <w:rFonts w:ascii="Times New Roman" w:cs="Times New Roman" w:eastAsia="Times New Roman" w:hAnsi="Times New Roman"/>
          <w:sz w:val="20"/>
          <w:szCs w:val="20"/>
          <w:color w:val="0A0A0A"/>
        </w:rPr>
        <w:t>be</w:t>
      </w:r>
      <w:r>
        <w:rPr>
          <w:rFonts w:ascii="Times New Roman" w:cs="Times New Roman" w:eastAsia="Times New Roman" w:hAnsi="Times New Roman"/>
          <w:sz w:val="20"/>
          <w:szCs w:val="20"/>
          <w:color w:val="1A1A1A"/>
        </w:rPr>
        <w:t xml:space="preserve"> entitled </w:t>
      </w:r>
      <w:r>
        <w:rPr>
          <w:rFonts w:ascii="Times New Roman" w:cs="Times New Roman" w:eastAsia="Times New Roman" w:hAnsi="Times New Roman"/>
          <w:sz w:val="20"/>
          <w:szCs w:val="20"/>
          <w:color w:val="0A0A0A"/>
        </w:rPr>
        <w:t>to receive a</w:t>
      </w:r>
      <w:r>
        <w:rPr>
          <w:rFonts w:ascii="Times New Roman" w:cs="Times New Roman" w:eastAsia="Times New Roman" w:hAnsi="Times New Roman"/>
          <w:sz w:val="20"/>
          <w:szCs w:val="20"/>
          <w:color w:val="1A1A1A"/>
        </w:rPr>
        <w:t xml:space="preserve"> cash </w:t>
      </w:r>
      <w:r>
        <w:rPr>
          <w:rFonts w:ascii="Times New Roman" w:cs="Times New Roman" w:eastAsia="Times New Roman" w:hAnsi="Times New Roman"/>
          <w:sz w:val="20"/>
          <w:szCs w:val="20"/>
          <w:color w:val="0A0A0A"/>
        </w:rPr>
        <w:t>payment equal to the fraction of</w:t>
      </w:r>
      <w:r>
        <w:rPr>
          <w:rFonts w:ascii="Times New Roman" w:cs="Times New Roman" w:eastAsia="Times New Roman" w:hAnsi="Times New Roman"/>
          <w:sz w:val="20"/>
          <w:szCs w:val="20"/>
          <w:color w:val="1A1A1A"/>
        </w:rPr>
        <w:t xml:space="preserve"> a </w:t>
      </w:r>
      <w:r>
        <w:rPr>
          <w:rFonts w:ascii="Times New Roman" w:cs="Times New Roman" w:eastAsia="Times New Roman" w:hAnsi="Times New Roman"/>
          <w:sz w:val="20"/>
          <w:szCs w:val="20"/>
          <w:color w:val="0A0A0A"/>
        </w:rPr>
        <w:t>share of</w:t>
      </w:r>
      <w:r>
        <w:rPr>
          <w:rFonts w:ascii="Times New Roman" w:cs="Times New Roman" w:eastAsia="Times New Roman" w:hAnsi="Times New Roman"/>
          <w:sz w:val="20"/>
          <w:szCs w:val="20"/>
          <w:color w:val="1A1A1A"/>
        </w:rPr>
        <w:t xml:space="preserve"> Common Stock </w:t>
      </w:r>
      <w:r>
        <w:rPr>
          <w:rFonts w:ascii="Times New Roman" w:cs="Times New Roman" w:eastAsia="Times New Roman" w:hAnsi="Times New Roman"/>
          <w:sz w:val="20"/>
          <w:szCs w:val="20"/>
          <w:color w:val="0A0A0A"/>
        </w:rPr>
        <w:t>to</w:t>
      </w:r>
      <w:r>
        <w:rPr>
          <w:rFonts w:ascii="Times New Roman" w:cs="Times New Roman" w:eastAsia="Times New Roman" w:hAnsi="Times New Roman"/>
          <w:sz w:val="20"/>
          <w:szCs w:val="20"/>
          <w:color w:val="1A1A1A"/>
        </w:rPr>
        <w:t xml:space="preserve"> which such </w:t>
      </w:r>
      <w:r>
        <w:rPr>
          <w:rFonts w:ascii="Times New Roman" w:cs="Times New Roman" w:eastAsia="Times New Roman" w:hAnsi="Times New Roman"/>
          <w:sz w:val="20"/>
          <w:szCs w:val="20"/>
          <w:color w:val="0A0A0A"/>
        </w:rPr>
        <w:t>holder would otherwis</w:t>
      </w:r>
      <w:r>
        <w:rPr>
          <w:rFonts w:ascii="Times New Roman" w:cs="Times New Roman" w:eastAsia="Times New Roman" w:hAnsi="Times New Roman"/>
          <w:sz w:val="20"/>
          <w:szCs w:val="20"/>
          <w:color w:val="28282A"/>
        </w:rPr>
        <w:t>e</w:t>
      </w:r>
      <w:r>
        <w:rPr>
          <w:rFonts w:ascii="Times New Roman" w:cs="Times New Roman" w:eastAsia="Times New Roman" w:hAnsi="Times New Roman"/>
          <w:sz w:val="20"/>
          <w:szCs w:val="20"/>
          <w:color w:val="0A0A0A"/>
        </w:rPr>
        <w:t xml:space="preserve"> </w:t>
      </w:r>
      <w:r>
        <w:rPr>
          <w:rFonts w:ascii="Times New Roman" w:cs="Times New Roman" w:eastAsia="Times New Roman" w:hAnsi="Times New Roman"/>
          <w:sz w:val="20"/>
          <w:szCs w:val="20"/>
          <w:color w:val="1A1A1A"/>
        </w:rPr>
        <w:t>be</w:t>
      </w:r>
      <w:r>
        <w:rPr>
          <w:rFonts w:ascii="Times New Roman" w:cs="Times New Roman" w:eastAsia="Times New Roman" w:hAnsi="Times New Roman"/>
          <w:sz w:val="20"/>
          <w:szCs w:val="20"/>
          <w:color w:val="0A0A0A"/>
        </w:rPr>
        <w:t xml:space="preserve"> entitled multiplied by </w:t>
      </w:r>
      <w:r>
        <w:rPr>
          <w:rFonts w:ascii="Times New Roman" w:cs="Times New Roman" w:eastAsia="Times New Roman" w:hAnsi="Times New Roman"/>
          <w:sz w:val="20"/>
          <w:szCs w:val="20"/>
          <w:color w:val="1A1A1A"/>
        </w:rPr>
        <w:t>the</w:t>
      </w:r>
      <w:r>
        <w:rPr>
          <w:rFonts w:ascii="Times New Roman" w:cs="Times New Roman" w:eastAsia="Times New Roman" w:hAnsi="Times New Roman"/>
          <w:sz w:val="20"/>
          <w:szCs w:val="20"/>
          <w:color w:val="0A0A0A"/>
        </w:rPr>
        <w:t xml:space="preserve"> fair </w:t>
      </w:r>
      <w:r>
        <w:rPr>
          <w:rFonts w:ascii="Times New Roman" w:cs="Times New Roman" w:eastAsia="Times New Roman" w:hAnsi="Times New Roman"/>
          <w:sz w:val="20"/>
          <w:szCs w:val="20"/>
          <w:color w:val="1A1A1A"/>
        </w:rPr>
        <w:t>value</w:t>
      </w:r>
      <w:r>
        <w:rPr>
          <w:rFonts w:ascii="Times New Roman" w:cs="Times New Roman" w:eastAsia="Times New Roman" w:hAnsi="Times New Roman"/>
          <w:sz w:val="20"/>
          <w:szCs w:val="20"/>
          <w:color w:val="0A0A0A"/>
        </w:rPr>
        <w:t xml:space="preserve"> per share </w:t>
      </w:r>
      <w:r>
        <w:rPr>
          <w:rFonts w:ascii="Times New Roman" w:cs="Times New Roman" w:eastAsia="Times New Roman" w:hAnsi="Times New Roman"/>
          <w:sz w:val="20"/>
          <w:szCs w:val="20"/>
          <w:color w:val="1A1A1A"/>
        </w:rPr>
        <w:t>of</w:t>
      </w:r>
      <w:r>
        <w:rPr>
          <w:rFonts w:ascii="Times New Roman" w:cs="Times New Roman" w:eastAsia="Times New Roman" w:hAnsi="Times New Roman"/>
          <w:sz w:val="20"/>
          <w:szCs w:val="20"/>
          <w:color w:val="0A0A0A"/>
        </w:rPr>
        <w:t xml:space="preserve"> the </w:t>
      </w:r>
      <w:r>
        <w:rPr>
          <w:rFonts w:ascii="Times New Roman" w:cs="Times New Roman" w:eastAsia="Times New Roman" w:hAnsi="Times New Roman"/>
          <w:sz w:val="20"/>
          <w:szCs w:val="20"/>
          <w:color w:val="1A1A1A"/>
        </w:rPr>
        <w:t>Common</w:t>
      </w:r>
      <w:r>
        <w:rPr>
          <w:rFonts w:ascii="Times New Roman" w:cs="Times New Roman" w:eastAsia="Times New Roman" w:hAnsi="Times New Roman"/>
          <w:sz w:val="20"/>
          <w:szCs w:val="20"/>
          <w:color w:val="0A0A0A"/>
        </w:rPr>
        <w:t xml:space="preserve"> Stock immediately </w:t>
      </w:r>
      <w:r>
        <w:rPr>
          <w:rFonts w:ascii="Times New Roman" w:cs="Times New Roman" w:eastAsia="Times New Roman" w:hAnsi="Times New Roman"/>
          <w:sz w:val="20"/>
          <w:szCs w:val="20"/>
          <w:color w:val="1A1A1A"/>
        </w:rPr>
        <w:t>prior to</w:t>
      </w:r>
      <w:r>
        <w:rPr>
          <w:rFonts w:ascii="Times New Roman" w:cs="Times New Roman" w:eastAsia="Times New Roman" w:hAnsi="Times New Roman"/>
          <w:sz w:val="20"/>
          <w:szCs w:val="20"/>
          <w:color w:val="0A0A0A"/>
        </w:rPr>
        <w:t xml:space="preserve"> the </w:t>
      </w:r>
      <w:r>
        <w:rPr>
          <w:rFonts w:ascii="Times New Roman" w:cs="Times New Roman" w:eastAsia="Times New Roman" w:hAnsi="Times New Roman"/>
          <w:sz w:val="20"/>
          <w:szCs w:val="20"/>
          <w:color w:val="1A1A1A"/>
        </w:rPr>
        <w:t xml:space="preserve">Effective </w:t>
      </w:r>
      <w:r>
        <w:rPr>
          <w:rFonts w:ascii="Times New Roman" w:cs="Times New Roman" w:eastAsia="Times New Roman" w:hAnsi="Times New Roman"/>
          <w:sz w:val="20"/>
          <w:szCs w:val="20"/>
          <w:color w:val="0A0A0A"/>
        </w:rPr>
        <w:t>Time</w:t>
      </w:r>
      <w:r>
        <w:rPr>
          <w:rFonts w:ascii="Times New Roman" w:cs="Times New Roman" w:eastAsia="Times New Roman" w:hAnsi="Times New Roman"/>
          <w:sz w:val="20"/>
          <w:szCs w:val="20"/>
          <w:color w:val="1A1A1A"/>
        </w:rPr>
        <w:t xml:space="preserve"> as </w:t>
      </w:r>
      <w:r>
        <w:rPr>
          <w:rFonts w:ascii="Times New Roman" w:cs="Times New Roman" w:eastAsia="Times New Roman" w:hAnsi="Times New Roman"/>
          <w:sz w:val="20"/>
          <w:szCs w:val="20"/>
          <w:color w:val="0A0A0A"/>
        </w:rPr>
        <w:t>determined by</w:t>
      </w:r>
      <w:r>
        <w:rPr>
          <w:rFonts w:ascii="Times New Roman" w:cs="Times New Roman" w:eastAsia="Times New Roman" w:hAnsi="Times New Roman"/>
          <w:sz w:val="20"/>
          <w:szCs w:val="20"/>
          <w:color w:val="1A1A1A"/>
        </w:rPr>
        <w:t xml:space="preserve"> the </w:t>
      </w:r>
      <w:r>
        <w:rPr>
          <w:rFonts w:ascii="Times New Roman" w:cs="Times New Roman" w:eastAsia="Times New Roman" w:hAnsi="Times New Roman"/>
          <w:sz w:val="20"/>
          <w:szCs w:val="20"/>
          <w:color w:val="0A0A0A"/>
        </w:rPr>
        <w:t>Board</w:t>
      </w:r>
      <w:r>
        <w:rPr>
          <w:rFonts w:ascii="Times New Roman" w:cs="Times New Roman" w:eastAsia="Times New Roman" w:hAnsi="Times New Roman"/>
          <w:sz w:val="20"/>
          <w:szCs w:val="20"/>
          <w:color w:val="1A1A1A"/>
        </w:rPr>
        <w:t xml:space="preserve"> of Directors of </w:t>
      </w:r>
      <w:r>
        <w:rPr>
          <w:rFonts w:ascii="Times New Roman" w:cs="Times New Roman" w:eastAsia="Times New Roman" w:hAnsi="Times New Roman"/>
          <w:sz w:val="20"/>
          <w:szCs w:val="20"/>
          <w:color w:val="0A0A0A"/>
        </w:rPr>
        <w:t>the</w:t>
      </w:r>
      <w:r>
        <w:rPr>
          <w:rFonts w:ascii="Times New Roman" w:cs="Times New Roman" w:eastAsia="Times New Roman" w:hAnsi="Times New Roman"/>
          <w:sz w:val="20"/>
          <w:szCs w:val="20"/>
          <w:color w:val="1A1A1A"/>
        </w:rPr>
        <w:t xml:space="preserve"> Corporation.</w:t>
      </w:r>
    </w:p>
    <w:p>
      <w:pPr>
        <w:spacing w:after="0" w:line="207" w:lineRule="exact"/>
        <w:rPr>
          <w:sz w:val="20"/>
          <w:szCs w:val="20"/>
          <w:color w:val="auto"/>
        </w:rPr>
      </w:pPr>
    </w:p>
    <w:p>
      <w:pPr>
        <w:jc w:val="both"/>
        <w:ind w:firstLine="652"/>
        <w:spacing w:after="0" w:line="255" w:lineRule="auto"/>
        <w:rPr>
          <w:sz w:val="20"/>
          <w:szCs w:val="20"/>
          <w:color w:val="auto"/>
        </w:rPr>
      </w:pPr>
      <w:r>
        <w:rPr>
          <w:rFonts w:ascii="Times New Roman" w:cs="Times New Roman" w:eastAsia="Times New Roman" w:hAnsi="Times New Roman"/>
          <w:sz w:val="20"/>
          <w:szCs w:val="20"/>
          <w:color w:val="0A0A0A"/>
        </w:rPr>
        <w:t xml:space="preserve">Each </w:t>
      </w:r>
      <w:r>
        <w:rPr>
          <w:rFonts w:ascii="Times New Roman" w:cs="Times New Roman" w:eastAsia="Times New Roman" w:hAnsi="Times New Roman"/>
          <w:sz w:val="20"/>
          <w:szCs w:val="20"/>
          <w:color w:val="1A1A1A"/>
        </w:rPr>
        <w:t>stock certificate</w:t>
      </w:r>
      <w:r>
        <w:rPr>
          <w:rFonts w:ascii="Times New Roman" w:cs="Times New Roman" w:eastAsia="Times New Roman" w:hAnsi="Times New Roman"/>
          <w:sz w:val="20"/>
          <w:szCs w:val="20"/>
          <w:color w:val="0A0A0A"/>
        </w:rPr>
        <w:t xml:space="preserve"> that, immediately prior to the </w:t>
      </w:r>
      <w:r>
        <w:rPr>
          <w:rFonts w:ascii="Times New Roman" w:cs="Times New Roman" w:eastAsia="Times New Roman" w:hAnsi="Times New Roman"/>
          <w:sz w:val="20"/>
          <w:szCs w:val="20"/>
          <w:color w:val="1A1A1A"/>
        </w:rPr>
        <w:t>Effective</w:t>
      </w:r>
      <w:r>
        <w:rPr>
          <w:rFonts w:ascii="Times New Roman" w:cs="Times New Roman" w:eastAsia="Times New Roman" w:hAnsi="Times New Roman"/>
          <w:sz w:val="20"/>
          <w:szCs w:val="20"/>
          <w:color w:val="0A0A0A"/>
        </w:rPr>
        <w:t xml:space="preserve"> Time, represented </w:t>
      </w:r>
      <w:r>
        <w:rPr>
          <w:rFonts w:ascii="Times New Roman" w:cs="Times New Roman" w:eastAsia="Times New Roman" w:hAnsi="Times New Roman"/>
          <w:sz w:val="20"/>
          <w:szCs w:val="20"/>
          <w:color w:val="1A1A1A"/>
        </w:rPr>
        <w:t>shares of Common Stock</w:t>
      </w:r>
      <w:r>
        <w:rPr>
          <w:rFonts w:ascii="Times New Roman" w:cs="Times New Roman" w:eastAsia="Times New Roman" w:hAnsi="Times New Roman"/>
          <w:sz w:val="20"/>
          <w:szCs w:val="20"/>
          <w:color w:val="0A0A0A"/>
        </w:rPr>
        <w:t xml:space="preserve"> that were </w:t>
      </w:r>
      <w:r>
        <w:rPr>
          <w:rFonts w:ascii="Times New Roman" w:cs="Times New Roman" w:eastAsia="Times New Roman" w:hAnsi="Times New Roman"/>
          <w:sz w:val="20"/>
          <w:szCs w:val="20"/>
          <w:color w:val="1A1A1A"/>
        </w:rPr>
        <w:t xml:space="preserve">issued and </w:t>
      </w:r>
      <w:r>
        <w:rPr>
          <w:rFonts w:ascii="Times New Roman" w:cs="Times New Roman" w:eastAsia="Times New Roman" w:hAnsi="Times New Roman"/>
          <w:sz w:val="20"/>
          <w:szCs w:val="20"/>
          <w:color w:val="0A0A0A"/>
        </w:rPr>
        <w:t>out</w:t>
      </w:r>
      <w:r>
        <w:rPr>
          <w:rFonts w:ascii="Times New Roman" w:cs="Times New Roman" w:eastAsia="Times New Roman" w:hAnsi="Times New Roman"/>
          <w:sz w:val="20"/>
          <w:szCs w:val="20"/>
          <w:color w:val="28282A"/>
        </w:rPr>
        <w:t>st</w:t>
      </w:r>
      <w:r>
        <w:rPr>
          <w:rFonts w:ascii="Times New Roman" w:cs="Times New Roman" w:eastAsia="Times New Roman" w:hAnsi="Times New Roman"/>
          <w:sz w:val="20"/>
          <w:szCs w:val="20"/>
          <w:color w:val="0A0A0A"/>
        </w:rPr>
        <w:t>and</w:t>
      </w:r>
      <w:r>
        <w:rPr>
          <w:rFonts w:ascii="Times New Roman" w:cs="Times New Roman" w:eastAsia="Times New Roman" w:hAnsi="Times New Roman"/>
          <w:sz w:val="20"/>
          <w:szCs w:val="20"/>
          <w:color w:val="28282A"/>
        </w:rPr>
        <w:t>in</w:t>
      </w:r>
      <w:r>
        <w:rPr>
          <w:rFonts w:ascii="Times New Roman" w:cs="Times New Roman" w:eastAsia="Times New Roman" w:hAnsi="Times New Roman"/>
          <w:sz w:val="20"/>
          <w:szCs w:val="20"/>
          <w:color w:val="0A0A0A"/>
        </w:rPr>
        <w:t>g</w:t>
      </w:r>
      <w:r>
        <w:rPr>
          <w:rFonts w:ascii="Times New Roman" w:cs="Times New Roman" w:eastAsia="Times New Roman" w:hAnsi="Times New Roman"/>
          <w:sz w:val="20"/>
          <w:szCs w:val="20"/>
          <w:color w:val="1A1A1A"/>
        </w:rPr>
        <w:t xml:space="preserve"> immediately prior </w:t>
      </w:r>
      <w:r>
        <w:rPr>
          <w:rFonts w:ascii="Times New Roman" w:cs="Times New Roman" w:eastAsia="Times New Roman" w:hAnsi="Times New Roman"/>
          <w:sz w:val="20"/>
          <w:szCs w:val="20"/>
          <w:color w:val="0A0A0A"/>
        </w:rPr>
        <w:t>t</w:t>
      </w:r>
      <w:r>
        <w:rPr>
          <w:rFonts w:ascii="Times New Roman" w:cs="Times New Roman" w:eastAsia="Times New Roman" w:hAnsi="Times New Roman"/>
          <w:sz w:val="20"/>
          <w:szCs w:val="20"/>
          <w:color w:val="28282A"/>
        </w:rPr>
        <w:t>o</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0A0A0A"/>
        </w:rPr>
        <w:t>the</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28282A"/>
        </w:rPr>
        <w:t>Effe</w:t>
      </w:r>
      <w:r>
        <w:rPr>
          <w:rFonts w:ascii="Times New Roman" w:cs="Times New Roman" w:eastAsia="Times New Roman" w:hAnsi="Times New Roman"/>
          <w:sz w:val="20"/>
          <w:szCs w:val="20"/>
          <w:color w:val="0A0A0A"/>
        </w:rPr>
        <w:t>ct</w:t>
      </w:r>
      <w:r>
        <w:rPr>
          <w:rFonts w:ascii="Times New Roman" w:cs="Times New Roman" w:eastAsia="Times New Roman" w:hAnsi="Times New Roman"/>
          <w:sz w:val="20"/>
          <w:szCs w:val="20"/>
          <w:color w:val="28282A"/>
        </w:rPr>
        <w:t>i</w:t>
      </w:r>
      <w:r>
        <w:rPr>
          <w:rFonts w:ascii="Times New Roman" w:cs="Times New Roman" w:eastAsia="Times New Roman" w:hAnsi="Times New Roman"/>
          <w:sz w:val="20"/>
          <w:szCs w:val="20"/>
          <w:color w:val="0A0A0A"/>
        </w:rPr>
        <w:t>ve</w:t>
      </w:r>
      <w:r>
        <w:rPr>
          <w:rFonts w:ascii="Times New Roman" w:cs="Times New Roman" w:eastAsia="Times New Roman" w:hAnsi="Times New Roman"/>
          <w:sz w:val="20"/>
          <w:szCs w:val="20"/>
          <w:color w:val="1A1A1A"/>
        </w:rPr>
        <w:t xml:space="preserve"> Time shall, from </w:t>
      </w:r>
      <w:r>
        <w:rPr>
          <w:rFonts w:ascii="Times New Roman" w:cs="Times New Roman" w:eastAsia="Times New Roman" w:hAnsi="Times New Roman"/>
          <w:sz w:val="20"/>
          <w:szCs w:val="20"/>
          <w:color w:val="0A0A0A"/>
        </w:rPr>
        <w:t>and aft</w:t>
      </w:r>
      <w:r>
        <w:rPr>
          <w:rFonts w:ascii="Times New Roman" w:cs="Times New Roman" w:eastAsia="Times New Roman" w:hAnsi="Times New Roman"/>
          <w:sz w:val="20"/>
          <w:szCs w:val="20"/>
          <w:color w:val="28282A"/>
        </w:rPr>
        <w:t>er</w:t>
      </w:r>
      <w:r>
        <w:rPr>
          <w:rFonts w:ascii="Times New Roman" w:cs="Times New Roman" w:eastAsia="Times New Roman" w:hAnsi="Times New Roman"/>
          <w:sz w:val="20"/>
          <w:szCs w:val="20"/>
          <w:color w:val="1A1A1A"/>
        </w:rPr>
        <w:t xml:space="preserve"> the </w:t>
      </w:r>
      <w:r>
        <w:rPr>
          <w:rFonts w:ascii="Times New Roman" w:cs="Times New Roman" w:eastAsia="Times New Roman" w:hAnsi="Times New Roman"/>
          <w:sz w:val="20"/>
          <w:szCs w:val="20"/>
          <w:color w:val="28282A"/>
        </w:rPr>
        <w:t>Effec</w:t>
      </w:r>
      <w:r>
        <w:rPr>
          <w:rFonts w:ascii="Times New Roman" w:cs="Times New Roman" w:eastAsia="Times New Roman" w:hAnsi="Times New Roman"/>
          <w:sz w:val="20"/>
          <w:szCs w:val="20"/>
          <w:color w:val="0A0A0A"/>
        </w:rPr>
        <w:t>ti</w:t>
      </w:r>
      <w:r>
        <w:rPr>
          <w:rFonts w:ascii="Times New Roman" w:cs="Times New Roman" w:eastAsia="Times New Roman" w:hAnsi="Times New Roman"/>
          <w:sz w:val="20"/>
          <w:szCs w:val="20"/>
          <w:color w:val="28282A"/>
        </w:rPr>
        <w:t>v</w:t>
      </w:r>
      <w:r>
        <w:rPr>
          <w:rFonts w:ascii="Times New Roman" w:cs="Times New Roman" w:eastAsia="Times New Roman" w:hAnsi="Times New Roman"/>
          <w:sz w:val="20"/>
          <w:szCs w:val="20"/>
          <w:color w:val="0A0A0A"/>
        </w:rPr>
        <w:t>e</w:t>
      </w:r>
      <w:r>
        <w:rPr>
          <w:rFonts w:ascii="Times New Roman" w:cs="Times New Roman" w:eastAsia="Times New Roman" w:hAnsi="Times New Roman"/>
          <w:sz w:val="20"/>
          <w:szCs w:val="20"/>
          <w:color w:val="1A1A1A"/>
        </w:rPr>
        <w:t xml:space="preserve"> Time, automatically and </w:t>
      </w:r>
      <w:r>
        <w:rPr>
          <w:rFonts w:ascii="Times New Roman" w:cs="Times New Roman" w:eastAsia="Times New Roman" w:hAnsi="Times New Roman"/>
          <w:sz w:val="20"/>
          <w:szCs w:val="20"/>
          <w:color w:val="0A0A0A"/>
        </w:rPr>
        <w:t>without the nece</w:t>
      </w:r>
      <w:r>
        <w:rPr>
          <w:rFonts w:ascii="Times New Roman" w:cs="Times New Roman" w:eastAsia="Times New Roman" w:hAnsi="Times New Roman"/>
          <w:sz w:val="20"/>
          <w:szCs w:val="20"/>
          <w:color w:val="28282A"/>
        </w:rPr>
        <w:t>ss</w:t>
      </w:r>
      <w:r>
        <w:rPr>
          <w:rFonts w:ascii="Times New Roman" w:cs="Times New Roman" w:eastAsia="Times New Roman" w:hAnsi="Times New Roman"/>
          <w:sz w:val="20"/>
          <w:szCs w:val="20"/>
          <w:color w:val="0A0A0A"/>
        </w:rPr>
        <w:t xml:space="preserve">ity of </w:t>
      </w:r>
      <w:r>
        <w:rPr>
          <w:rFonts w:ascii="Times New Roman" w:cs="Times New Roman" w:eastAsia="Times New Roman" w:hAnsi="Times New Roman"/>
          <w:sz w:val="20"/>
          <w:szCs w:val="20"/>
          <w:color w:val="1A1A1A"/>
        </w:rPr>
        <w:t>presenting</w:t>
      </w:r>
      <w:r>
        <w:rPr>
          <w:rFonts w:ascii="Times New Roman" w:cs="Times New Roman" w:eastAsia="Times New Roman" w:hAnsi="Times New Roman"/>
          <w:sz w:val="20"/>
          <w:szCs w:val="20"/>
          <w:color w:val="0A0A0A"/>
        </w:rPr>
        <w:t xml:space="preserve"> the </w:t>
      </w:r>
      <w:r>
        <w:rPr>
          <w:rFonts w:ascii="Times New Roman" w:cs="Times New Roman" w:eastAsia="Times New Roman" w:hAnsi="Times New Roman"/>
          <w:sz w:val="20"/>
          <w:szCs w:val="20"/>
          <w:color w:val="1A1A1A"/>
        </w:rPr>
        <w:t>same for exchange, represent</w:t>
      </w:r>
      <w:r>
        <w:rPr>
          <w:rFonts w:ascii="Times New Roman" w:cs="Times New Roman" w:eastAsia="Times New Roman" w:hAnsi="Times New Roman"/>
          <w:sz w:val="20"/>
          <w:szCs w:val="20"/>
          <w:color w:val="0A0A0A"/>
        </w:rPr>
        <w:t xml:space="preserve"> that numb</w:t>
      </w:r>
      <w:r>
        <w:rPr>
          <w:rFonts w:ascii="Times New Roman" w:cs="Times New Roman" w:eastAsia="Times New Roman" w:hAnsi="Times New Roman"/>
          <w:sz w:val="20"/>
          <w:szCs w:val="20"/>
          <w:color w:val="28282A"/>
        </w:rPr>
        <w:t>er</w:t>
      </w:r>
      <w:r>
        <w:rPr>
          <w:rFonts w:ascii="Times New Roman" w:cs="Times New Roman" w:eastAsia="Times New Roman" w:hAnsi="Times New Roman"/>
          <w:sz w:val="20"/>
          <w:szCs w:val="20"/>
          <w:color w:val="0A0A0A"/>
        </w:rPr>
        <w:t xml:space="preserve"> </w:t>
      </w:r>
      <w:r>
        <w:rPr>
          <w:rFonts w:ascii="Times New Roman" w:cs="Times New Roman" w:eastAsia="Times New Roman" w:hAnsi="Times New Roman"/>
          <w:sz w:val="20"/>
          <w:szCs w:val="20"/>
          <w:color w:val="1A1A1A"/>
        </w:rPr>
        <w:t>of whole shares of</w:t>
      </w:r>
      <w:r>
        <w:rPr>
          <w:rFonts w:ascii="Times New Roman" w:cs="Times New Roman" w:eastAsia="Times New Roman" w:hAnsi="Times New Roman"/>
          <w:sz w:val="20"/>
          <w:szCs w:val="20"/>
          <w:color w:val="0A0A0A"/>
        </w:rPr>
        <w:t xml:space="preserve"> </w:t>
      </w:r>
      <w:r>
        <w:rPr>
          <w:rFonts w:ascii="Times New Roman" w:cs="Times New Roman" w:eastAsia="Times New Roman" w:hAnsi="Times New Roman"/>
          <w:sz w:val="20"/>
          <w:szCs w:val="20"/>
          <w:color w:val="28282A"/>
        </w:rPr>
        <w:t>Common</w:t>
      </w:r>
      <w:r>
        <w:rPr>
          <w:rFonts w:ascii="Times New Roman" w:cs="Times New Roman" w:eastAsia="Times New Roman" w:hAnsi="Times New Roman"/>
          <w:sz w:val="20"/>
          <w:szCs w:val="20"/>
          <w:color w:val="0A0A0A"/>
        </w:rPr>
        <w:t xml:space="preserve"> Stock a</w:t>
      </w:r>
      <w:r>
        <w:rPr>
          <w:rFonts w:ascii="Times New Roman" w:cs="Times New Roman" w:eastAsia="Times New Roman" w:hAnsi="Times New Roman"/>
          <w:sz w:val="20"/>
          <w:szCs w:val="20"/>
          <w:color w:val="28282A"/>
        </w:rPr>
        <w:t>fter</w:t>
      </w:r>
      <w:r>
        <w:rPr>
          <w:rFonts w:ascii="Times New Roman" w:cs="Times New Roman" w:eastAsia="Times New Roman" w:hAnsi="Times New Roman"/>
          <w:sz w:val="20"/>
          <w:szCs w:val="20"/>
          <w:color w:val="0A0A0A"/>
        </w:rPr>
        <w:t xml:space="preserve"> </w:t>
      </w:r>
      <w:r>
        <w:rPr>
          <w:rFonts w:ascii="Times New Roman" w:cs="Times New Roman" w:eastAsia="Times New Roman" w:hAnsi="Times New Roman"/>
          <w:sz w:val="20"/>
          <w:szCs w:val="20"/>
          <w:color w:val="1A1A1A"/>
        </w:rPr>
        <w:t>the</w:t>
      </w:r>
      <w:r>
        <w:rPr>
          <w:rFonts w:ascii="Times New Roman" w:cs="Times New Roman" w:eastAsia="Times New Roman" w:hAnsi="Times New Roman"/>
          <w:sz w:val="20"/>
          <w:szCs w:val="20"/>
          <w:color w:val="0A0A0A"/>
        </w:rPr>
        <w:t xml:space="preserve"> </w:t>
      </w:r>
      <w:r>
        <w:rPr>
          <w:rFonts w:ascii="Times New Roman" w:cs="Times New Roman" w:eastAsia="Times New Roman" w:hAnsi="Times New Roman"/>
          <w:sz w:val="20"/>
          <w:szCs w:val="20"/>
          <w:color w:val="28282A"/>
        </w:rPr>
        <w:t xml:space="preserve">Effective </w:t>
      </w:r>
      <w:r>
        <w:rPr>
          <w:rFonts w:ascii="Times New Roman" w:cs="Times New Roman" w:eastAsia="Times New Roman" w:hAnsi="Times New Roman"/>
          <w:sz w:val="20"/>
          <w:szCs w:val="20"/>
          <w:color w:val="1A1A1A"/>
        </w:rPr>
        <w:t>Time</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0A0A0A"/>
        </w:rPr>
        <w:t>into which</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1A1A1A"/>
        </w:rPr>
        <w:t>the</w:t>
      </w:r>
      <w:r>
        <w:rPr>
          <w:rFonts w:ascii="Times New Roman" w:cs="Times New Roman" w:eastAsia="Times New Roman" w:hAnsi="Times New Roman"/>
          <w:sz w:val="20"/>
          <w:szCs w:val="20"/>
          <w:color w:val="28282A"/>
        </w:rPr>
        <w:t xml:space="preserve"> s</w:t>
      </w:r>
      <w:r>
        <w:rPr>
          <w:rFonts w:ascii="Times New Roman" w:cs="Times New Roman" w:eastAsia="Times New Roman" w:hAnsi="Times New Roman"/>
          <w:sz w:val="20"/>
          <w:szCs w:val="20"/>
          <w:color w:val="0A0A0A"/>
        </w:rPr>
        <w:t>hares</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1A1A1A"/>
        </w:rPr>
        <w:t>formerly represented</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0A0A0A"/>
        </w:rPr>
        <w:t>by</w:t>
      </w:r>
      <w:r>
        <w:rPr>
          <w:rFonts w:ascii="Times New Roman" w:cs="Times New Roman" w:eastAsia="Times New Roman" w:hAnsi="Times New Roman"/>
          <w:sz w:val="20"/>
          <w:szCs w:val="20"/>
          <w:color w:val="28282A"/>
        </w:rPr>
        <w:t xml:space="preserve"> suc</w:t>
      </w:r>
      <w:r>
        <w:rPr>
          <w:rFonts w:ascii="Times New Roman" w:cs="Times New Roman" w:eastAsia="Times New Roman" w:hAnsi="Times New Roman"/>
          <w:sz w:val="20"/>
          <w:szCs w:val="20"/>
          <w:color w:val="0A0A0A"/>
        </w:rPr>
        <w:t>h</w:t>
      </w:r>
      <w:r>
        <w:rPr>
          <w:rFonts w:ascii="Times New Roman" w:cs="Times New Roman" w:eastAsia="Times New Roman" w:hAnsi="Times New Roman"/>
          <w:sz w:val="20"/>
          <w:szCs w:val="20"/>
          <w:color w:val="28282A"/>
        </w:rPr>
        <w:t xml:space="preserve"> cert</w:t>
      </w:r>
      <w:r>
        <w:rPr>
          <w:rFonts w:ascii="Times New Roman" w:cs="Times New Roman" w:eastAsia="Times New Roman" w:hAnsi="Times New Roman"/>
          <w:sz w:val="20"/>
          <w:szCs w:val="20"/>
          <w:color w:val="0A0A0A"/>
        </w:rPr>
        <w:t>ific</w:t>
      </w:r>
      <w:r>
        <w:rPr>
          <w:rFonts w:ascii="Times New Roman" w:cs="Times New Roman" w:eastAsia="Times New Roman" w:hAnsi="Times New Roman"/>
          <w:sz w:val="20"/>
          <w:szCs w:val="20"/>
          <w:color w:val="28282A"/>
        </w:rPr>
        <w:t xml:space="preserve">ate </w:t>
      </w:r>
      <w:r>
        <w:rPr>
          <w:rFonts w:ascii="Times New Roman" w:cs="Times New Roman" w:eastAsia="Times New Roman" w:hAnsi="Times New Roman"/>
          <w:sz w:val="20"/>
          <w:szCs w:val="20"/>
          <w:color w:val="1A1A1A"/>
        </w:rPr>
        <w:t>have been</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0A0A0A"/>
        </w:rPr>
        <w:t>reclassified</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1A1A1A"/>
        </w:rPr>
        <w:t>(as</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0A0A0A"/>
        </w:rPr>
        <w:t>well</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1A1A1A"/>
        </w:rPr>
        <w:t>as</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0A0A0A"/>
        </w:rPr>
        <w:t>the ri</w:t>
      </w:r>
      <w:r>
        <w:rPr>
          <w:rFonts w:ascii="Times New Roman" w:cs="Times New Roman" w:eastAsia="Times New Roman" w:hAnsi="Times New Roman"/>
          <w:sz w:val="20"/>
          <w:szCs w:val="20"/>
          <w:color w:val="28282A"/>
        </w:rPr>
        <w:t>g</w:t>
      </w:r>
      <w:r>
        <w:rPr>
          <w:rFonts w:ascii="Times New Roman" w:cs="Times New Roman" w:eastAsia="Times New Roman" w:hAnsi="Times New Roman"/>
          <w:sz w:val="20"/>
          <w:szCs w:val="20"/>
          <w:color w:val="0A0A0A"/>
        </w:rPr>
        <w:t>ht to</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0A0A0A"/>
        </w:rPr>
        <w:t xml:space="preserve">receive cash in lieu </w:t>
      </w:r>
      <w:r>
        <w:rPr>
          <w:rFonts w:ascii="Times New Roman" w:cs="Times New Roman" w:eastAsia="Times New Roman" w:hAnsi="Times New Roman"/>
          <w:sz w:val="20"/>
          <w:szCs w:val="20"/>
          <w:color w:val="1A1A1A"/>
        </w:rPr>
        <w:t>of</w:t>
      </w:r>
      <w:r>
        <w:rPr>
          <w:rFonts w:ascii="Times New Roman" w:cs="Times New Roman" w:eastAsia="Times New Roman" w:hAnsi="Times New Roman"/>
          <w:sz w:val="20"/>
          <w:szCs w:val="20"/>
          <w:color w:val="0A0A0A"/>
        </w:rPr>
        <w:t xml:space="preserve"> fractional </w:t>
      </w:r>
      <w:r>
        <w:rPr>
          <w:rFonts w:ascii="Times New Roman" w:cs="Times New Roman" w:eastAsia="Times New Roman" w:hAnsi="Times New Roman"/>
          <w:sz w:val="20"/>
          <w:szCs w:val="20"/>
          <w:color w:val="1A1A1A"/>
        </w:rPr>
        <w:t>shares of</w:t>
      </w:r>
      <w:r>
        <w:rPr>
          <w:rFonts w:ascii="Times New Roman" w:cs="Times New Roman" w:eastAsia="Times New Roman" w:hAnsi="Times New Roman"/>
          <w:sz w:val="20"/>
          <w:szCs w:val="20"/>
          <w:color w:val="0A0A0A"/>
        </w:rPr>
        <w:t xml:space="preserve"> Common Stock </w:t>
      </w:r>
      <w:r>
        <w:rPr>
          <w:rFonts w:ascii="Times New Roman" w:cs="Times New Roman" w:eastAsia="Times New Roman" w:hAnsi="Times New Roman"/>
          <w:sz w:val="20"/>
          <w:szCs w:val="20"/>
          <w:color w:val="1A1A1A"/>
        </w:rPr>
        <w:t>after</w:t>
      </w:r>
      <w:r>
        <w:rPr>
          <w:rFonts w:ascii="Times New Roman" w:cs="Times New Roman" w:eastAsia="Times New Roman" w:hAnsi="Times New Roman"/>
          <w:sz w:val="20"/>
          <w:szCs w:val="20"/>
          <w:color w:val="0A0A0A"/>
        </w:rPr>
        <w:t xml:space="preserve"> the </w:t>
      </w:r>
      <w:r>
        <w:rPr>
          <w:rFonts w:ascii="Times New Roman" w:cs="Times New Roman" w:eastAsia="Times New Roman" w:hAnsi="Times New Roman"/>
          <w:sz w:val="20"/>
          <w:szCs w:val="20"/>
          <w:color w:val="1A1A1A"/>
        </w:rPr>
        <w:t>Effective Time);</w:t>
      </w:r>
      <w:r>
        <w:rPr>
          <w:rFonts w:ascii="Times New Roman" w:cs="Times New Roman" w:eastAsia="Times New Roman" w:hAnsi="Times New Roman"/>
          <w:sz w:val="20"/>
          <w:szCs w:val="20"/>
          <w:color w:val="0A0A0A"/>
        </w:rPr>
        <w:t xml:space="preserve"> provided</w:t>
      </w:r>
      <w:r>
        <w:rPr>
          <w:rFonts w:ascii="Times New Roman" w:cs="Times New Roman" w:eastAsia="Times New Roman" w:hAnsi="Times New Roman"/>
          <w:sz w:val="20"/>
          <w:szCs w:val="20"/>
          <w:color w:val="28282A"/>
        </w:rPr>
        <w:t>,</w:t>
      </w:r>
      <w:r>
        <w:rPr>
          <w:rFonts w:ascii="Times New Roman" w:cs="Times New Roman" w:eastAsia="Times New Roman" w:hAnsi="Times New Roman"/>
          <w:sz w:val="20"/>
          <w:szCs w:val="20"/>
          <w:color w:val="0A0A0A"/>
        </w:rPr>
        <w:t xml:space="preserve"> however, that </w:t>
      </w:r>
      <w:r>
        <w:rPr>
          <w:rFonts w:ascii="Times New Roman" w:cs="Times New Roman" w:eastAsia="Times New Roman" w:hAnsi="Times New Roman"/>
          <w:sz w:val="20"/>
          <w:szCs w:val="20"/>
          <w:color w:val="1A1A1A"/>
        </w:rPr>
        <w:t>each</w:t>
      </w:r>
      <w:r>
        <w:rPr>
          <w:rFonts w:ascii="Times New Roman" w:cs="Times New Roman" w:eastAsia="Times New Roman" w:hAnsi="Times New Roman"/>
          <w:sz w:val="20"/>
          <w:szCs w:val="20"/>
          <w:color w:val="0A0A0A"/>
        </w:rPr>
        <w:t xml:space="preserve"> person </w:t>
      </w:r>
      <w:r>
        <w:rPr>
          <w:rFonts w:ascii="Times New Roman" w:cs="Times New Roman" w:eastAsia="Times New Roman" w:hAnsi="Times New Roman"/>
          <w:sz w:val="20"/>
          <w:szCs w:val="20"/>
          <w:color w:val="1A1A1A"/>
        </w:rPr>
        <w:t>of</w:t>
      </w:r>
      <w:r>
        <w:rPr>
          <w:rFonts w:ascii="Times New Roman" w:cs="Times New Roman" w:eastAsia="Times New Roman" w:hAnsi="Times New Roman"/>
          <w:sz w:val="20"/>
          <w:szCs w:val="20"/>
          <w:color w:val="0A0A0A"/>
        </w:rPr>
        <w:t xml:space="preserve"> </w:t>
      </w:r>
      <w:r>
        <w:rPr>
          <w:rFonts w:ascii="Times New Roman" w:cs="Times New Roman" w:eastAsia="Times New Roman" w:hAnsi="Times New Roman"/>
          <w:sz w:val="20"/>
          <w:szCs w:val="20"/>
          <w:color w:val="1A1A1A"/>
        </w:rPr>
        <w:t xml:space="preserve">record </w:t>
      </w:r>
      <w:r>
        <w:rPr>
          <w:rFonts w:ascii="Times New Roman" w:cs="Times New Roman" w:eastAsia="Times New Roman" w:hAnsi="Times New Roman"/>
          <w:sz w:val="20"/>
          <w:szCs w:val="20"/>
          <w:color w:val="0A0A0A"/>
        </w:rPr>
        <w:t>holding</w:t>
      </w:r>
      <w:r>
        <w:rPr>
          <w:rFonts w:ascii="Times New Roman" w:cs="Times New Roman" w:eastAsia="Times New Roman" w:hAnsi="Times New Roman"/>
          <w:sz w:val="20"/>
          <w:szCs w:val="20"/>
          <w:color w:val="1A1A1A"/>
        </w:rPr>
        <w:t xml:space="preserve"> a certificate that represented shares </w:t>
      </w:r>
      <w:r>
        <w:rPr>
          <w:rFonts w:ascii="Times New Roman" w:cs="Times New Roman" w:eastAsia="Times New Roman" w:hAnsi="Times New Roman"/>
          <w:sz w:val="20"/>
          <w:szCs w:val="20"/>
          <w:color w:val="0A0A0A"/>
        </w:rPr>
        <w:t>of</w:t>
      </w:r>
      <w:r>
        <w:rPr>
          <w:rFonts w:ascii="Times New Roman" w:cs="Times New Roman" w:eastAsia="Times New Roman" w:hAnsi="Times New Roman"/>
          <w:sz w:val="20"/>
          <w:szCs w:val="20"/>
          <w:color w:val="1A1A1A"/>
        </w:rPr>
        <w:t xml:space="preserve"> Common </w:t>
      </w:r>
      <w:r>
        <w:rPr>
          <w:rFonts w:ascii="Times New Roman" w:cs="Times New Roman" w:eastAsia="Times New Roman" w:hAnsi="Times New Roman"/>
          <w:sz w:val="20"/>
          <w:szCs w:val="20"/>
          <w:color w:val="0A0A0A"/>
        </w:rPr>
        <w:t>St</w:t>
      </w:r>
      <w:r>
        <w:rPr>
          <w:rFonts w:ascii="Times New Roman" w:cs="Times New Roman" w:eastAsia="Times New Roman" w:hAnsi="Times New Roman"/>
          <w:sz w:val="20"/>
          <w:szCs w:val="20"/>
          <w:color w:val="28282A"/>
        </w:rPr>
        <w:t>o</w:t>
      </w:r>
      <w:r>
        <w:rPr>
          <w:rFonts w:ascii="Times New Roman" w:cs="Times New Roman" w:eastAsia="Times New Roman" w:hAnsi="Times New Roman"/>
          <w:sz w:val="20"/>
          <w:szCs w:val="20"/>
          <w:color w:val="0A0A0A"/>
        </w:rPr>
        <w:t>ck</w:t>
      </w:r>
      <w:r>
        <w:rPr>
          <w:rFonts w:ascii="Times New Roman" w:cs="Times New Roman" w:eastAsia="Times New Roman" w:hAnsi="Times New Roman"/>
          <w:sz w:val="20"/>
          <w:szCs w:val="20"/>
          <w:color w:val="1A1A1A"/>
        </w:rPr>
        <w:t xml:space="preserve"> that </w:t>
      </w:r>
      <w:r>
        <w:rPr>
          <w:rFonts w:ascii="Times New Roman" w:cs="Times New Roman" w:eastAsia="Times New Roman" w:hAnsi="Times New Roman"/>
          <w:sz w:val="20"/>
          <w:szCs w:val="20"/>
          <w:color w:val="0A0A0A"/>
        </w:rPr>
        <w:t>were</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28282A"/>
        </w:rPr>
        <w:t>iss</w:t>
      </w:r>
      <w:r>
        <w:rPr>
          <w:rFonts w:ascii="Times New Roman" w:cs="Times New Roman" w:eastAsia="Times New Roman" w:hAnsi="Times New Roman"/>
          <w:sz w:val="20"/>
          <w:szCs w:val="20"/>
          <w:color w:val="0A0A0A"/>
        </w:rPr>
        <w:t>ued</w:t>
      </w:r>
      <w:r>
        <w:rPr>
          <w:rFonts w:ascii="Times New Roman" w:cs="Times New Roman" w:eastAsia="Times New Roman" w:hAnsi="Times New Roman"/>
          <w:sz w:val="20"/>
          <w:szCs w:val="20"/>
          <w:color w:val="1A1A1A"/>
        </w:rPr>
        <w:t xml:space="preserve"> and outstanding immediately prior </w:t>
      </w:r>
      <w:r>
        <w:rPr>
          <w:rFonts w:ascii="Times New Roman" w:cs="Times New Roman" w:eastAsia="Times New Roman" w:hAnsi="Times New Roman"/>
          <w:sz w:val="20"/>
          <w:szCs w:val="20"/>
          <w:color w:val="0A0A0A"/>
        </w:rPr>
        <w:t>t</w:t>
      </w:r>
      <w:r>
        <w:rPr>
          <w:rFonts w:ascii="Times New Roman" w:cs="Times New Roman" w:eastAsia="Times New Roman" w:hAnsi="Times New Roman"/>
          <w:sz w:val="20"/>
          <w:szCs w:val="20"/>
          <w:color w:val="28282A"/>
        </w:rPr>
        <w:t>o</w:t>
      </w:r>
      <w:r>
        <w:rPr>
          <w:rFonts w:ascii="Times New Roman" w:cs="Times New Roman" w:eastAsia="Times New Roman" w:hAnsi="Times New Roman"/>
          <w:sz w:val="20"/>
          <w:szCs w:val="20"/>
          <w:color w:val="1A1A1A"/>
        </w:rPr>
        <w:t xml:space="preserve"> the </w:t>
      </w:r>
      <w:r>
        <w:rPr>
          <w:rFonts w:ascii="Times New Roman" w:cs="Times New Roman" w:eastAsia="Times New Roman" w:hAnsi="Times New Roman"/>
          <w:sz w:val="20"/>
          <w:szCs w:val="20"/>
          <w:color w:val="28282A"/>
        </w:rPr>
        <w:t>Effec</w:t>
      </w:r>
      <w:r>
        <w:rPr>
          <w:rFonts w:ascii="Times New Roman" w:cs="Times New Roman" w:eastAsia="Times New Roman" w:hAnsi="Times New Roman"/>
          <w:sz w:val="20"/>
          <w:szCs w:val="20"/>
          <w:color w:val="0A0A0A"/>
        </w:rPr>
        <w:t>tive</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1A1A1A"/>
        </w:rPr>
        <w:t>Time</w:t>
      </w:r>
      <w:r>
        <w:rPr>
          <w:rFonts w:ascii="Times New Roman" w:cs="Times New Roman" w:eastAsia="Times New Roman" w:hAnsi="Times New Roman"/>
          <w:sz w:val="20"/>
          <w:szCs w:val="20"/>
          <w:color w:val="28282A"/>
        </w:rPr>
        <w:t xml:space="preserve"> shall </w:t>
      </w:r>
      <w:r>
        <w:rPr>
          <w:rFonts w:ascii="Times New Roman" w:cs="Times New Roman" w:eastAsia="Times New Roman" w:hAnsi="Times New Roman"/>
          <w:sz w:val="20"/>
          <w:szCs w:val="20"/>
          <w:color w:val="0A0A0A"/>
        </w:rPr>
        <w:t>recei</w:t>
      </w:r>
      <w:r>
        <w:rPr>
          <w:rFonts w:ascii="Times New Roman" w:cs="Times New Roman" w:eastAsia="Times New Roman" w:hAnsi="Times New Roman"/>
          <w:sz w:val="20"/>
          <w:szCs w:val="20"/>
          <w:color w:val="28282A"/>
        </w:rPr>
        <w:t xml:space="preserve">ve, </w:t>
      </w:r>
      <w:r>
        <w:rPr>
          <w:rFonts w:ascii="Times New Roman" w:cs="Times New Roman" w:eastAsia="Times New Roman" w:hAnsi="Times New Roman"/>
          <w:sz w:val="20"/>
          <w:szCs w:val="20"/>
          <w:color w:val="0A0A0A"/>
        </w:rPr>
        <w:t>upon</w:t>
      </w:r>
      <w:r>
        <w:rPr>
          <w:rFonts w:ascii="Times New Roman" w:cs="Times New Roman" w:eastAsia="Times New Roman" w:hAnsi="Times New Roman"/>
          <w:sz w:val="20"/>
          <w:szCs w:val="20"/>
          <w:color w:val="28282A"/>
        </w:rPr>
        <w:t xml:space="preserve"> surren</w:t>
      </w:r>
      <w:r>
        <w:rPr>
          <w:rFonts w:ascii="Times New Roman" w:cs="Times New Roman" w:eastAsia="Times New Roman" w:hAnsi="Times New Roman"/>
          <w:sz w:val="20"/>
          <w:szCs w:val="20"/>
          <w:color w:val="0A0A0A"/>
        </w:rPr>
        <w:t>der</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1A1A1A"/>
        </w:rPr>
        <w:t>of</w:t>
      </w:r>
      <w:r>
        <w:rPr>
          <w:rFonts w:ascii="Times New Roman" w:cs="Times New Roman" w:eastAsia="Times New Roman" w:hAnsi="Times New Roman"/>
          <w:sz w:val="20"/>
          <w:szCs w:val="20"/>
          <w:color w:val="28282A"/>
        </w:rPr>
        <w:t xml:space="preserve"> suc</w:t>
      </w:r>
      <w:r>
        <w:rPr>
          <w:rFonts w:ascii="Times New Roman" w:cs="Times New Roman" w:eastAsia="Times New Roman" w:hAnsi="Times New Roman"/>
          <w:sz w:val="20"/>
          <w:szCs w:val="20"/>
          <w:color w:val="0A0A0A"/>
        </w:rPr>
        <w:t>h</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1A1A1A"/>
        </w:rPr>
        <w:t>certificate, a</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0A0A0A"/>
        </w:rPr>
        <w:t>new certificate evidencing</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1A1A1A"/>
        </w:rPr>
        <w:t>and</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0A0A0A"/>
        </w:rPr>
        <w:t>repre</w:t>
      </w:r>
      <w:r>
        <w:rPr>
          <w:rFonts w:ascii="Times New Roman" w:cs="Times New Roman" w:eastAsia="Times New Roman" w:hAnsi="Times New Roman"/>
          <w:sz w:val="20"/>
          <w:szCs w:val="20"/>
          <w:color w:val="28282A"/>
        </w:rPr>
        <w:t>se</w:t>
      </w:r>
      <w:r>
        <w:rPr>
          <w:rFonts w:ascii="Times New Roman" w:cs="Times New Roman" w:eastAsia="Times New Roman" w:hAnsi="Times New Roman"/>
          <w:sz w:val="20"/>
          <w:szCs w:val="20"/>
          <w:color w:val="0A0A0A"/>
        </w:rPr>
        <w:t>nting th</w:t>
      </w:r>
      <w:r>
        <w:rPr>
          <w:rFonts w:ascii="Times New Roman" w:cs="Times New Roman" w:eastAsia="Times New Roman" w:hAnsi="Times New Roman"/>
          <w:sz w:val="20"/>
          <w:szCs w:val="20"/>
          <w:color w:val="28282A"/>
        </w:rPr>
        <w:t xml:space="preserve">e </w:t>
      </w:r>
      <w:r>
        <w:rPr>
          <w:rFonts w:ascii="Times New Roman" w:cs="Times New Roman" w:eastAsia="Times New Roman" w:hAnsi="Times New Roman"/>
          <w:sz w:val="20"/>
          <w:szCs w:val="20"/>
          <w:color w:val="1A1A1A"/>
        </w:rPr>
        <w:t>number of</w:t>
      </w:r>
      <w:r>
        <w:rPr>
          <w:rFonts w:ascii="Times New Roman" w:cs="Times New Roman" w:eastAsia="Times New Roman" w:hAnsi="Times New Roman"/>
          <w:sz w:val="20"/>
          <w:szCs w:val="20"/>
          <w:color w:val="28282A"/>
        </w:rPr>
        <w:t xml:space="preserve"> </w:t>
      </w:r>
      <w:r>
        <w:rPr>
          <w:rFonts w:ascii="Times New Roman" w:cs="Times New Roman" w:eastAsia="Times New Roman" w:hAnsi="Times New Roman"/>
          <w:sz w:val="20"/>
          <w:szCs w:val="20"/>
          <w:color w:val="1A1A1A"/>
        </w:rPr>
        <w:t xml:space="preserve">whole shares of Common </w:t>
      </w:r>
      <w:r>
        <w:rPr>
          <w:rFonts w:ascii="Times New Roman" w:cs="Times New Roman" w:eastAsia="Times New Roman" w:hAnsi="Times New Roman"/>
          <w:sz w:val="20"/>
          <w:szCs w:val="20"/>
          <w:color w:val="0A0A0A"/>
        </w:rPr>
        <w:t>Stock</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28282A"/>
        </w:rPr>
        <w:t>a</w:t>
      </w:r>
      <w:r>
        <w:rPr>
          <w:rFonts w:ascii="Times New Roman" w:cs="Times New Roman" w:eastAsia="Times New Roman" w:hAnsi="Times New Roman"/>
          <w:sz w:val="20"/>
          <w:szCs w:val="20"/>
          <w:color w:val="0A0A0A"/>
        </w:rPr>
        <w:t>fter the</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28282A"/>
        </w:rPr>
        <w:t>Effec</w:t>
      </w:r>
      <w:r>
        <w:rPr>
          <w:rFonts w:ascii="Times New Roman" w:cs="Times New Roman" w:eastAsia="Times New Roman" w:hAnsi="Times New Roman"/>
          <w:sz w:val="20"/>
          <w:szCs w:val="20"/>
          <w:color w:val="0A0A0A"/>
        </w:rPr>
        <w:t>ti</w:t>
      </w:r>
      <w:r>
        <w:rPr>
          <w:rFonts w:ascii="Times New Roman" w:cs="Times New Roman" w:eastAsia="Times New Roman" w:hAnsi="Times New Roman"/>
          <w:sz w:val="20"/>
          <w:szCs w:val="20"/>
          <w:color w:val="28282A"/>
        </w:rPr>
        <w:t>ve</w:t>
      </w:r>
      <w:r>
        <w:rPr>
          <w:rFonts w:ascii="Times New Roman" w:cs="Times New Roman" w:eastAsia="Times New Roman" w:hAnsi="Times New Roman"/>
          <w:sz w:val="20"/>
          <w:szCs w:val="20"/>
          <w:color w:val="1A1A1A"/>
        </w:rPr>
        <w:t xml:space="preserve"> Time </w:t>
      </w:r>
      <w:r>
        <w:rPr>
          <w:rFonts w:ascii="Times New Roman" w:cs="Times New Roman" w:eastAsia="Times New Roman" w:hAnsi="Times New Roman"/>
          <w:sz w:val="20"/>
          <w:szCs w:val="20"/>
          <w:color w:val="0A0A0A"/>
        </w:rPr>
        <w:t>int</w:t>
      </w:r>
      <w:r>
        <w:rPr>
          <w:rFonts w:ascii="Times New Roman" w:cs="Times New Roman" w:eastAsia="Times New Roman" w:hAnsi="Times New Roman"/>
          <w:sz w:val="20"/>
          <w:szCs w:val="20"/>
          <w:color w:val="28282A"/>
        </w:rPr>
        <w:t>o</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0A0A0A"/>
        </w:rPr>
        <w:t>wh</w:t>
      </w:r>
      <w:r>
        <w:rPr>
          <w:rFonts w:ascii="Times New Roman" w:cs="Times New Roman" w:eastAsia="Times New Roman" w:hAnsi="Times New Roman"/>
          <w:sz w:val="20"/>
          <w:szCs w:val="20"/>
          <w:color w:val="28282A"/>
        </w:rPr>
        <w:t>ich</w:t>
      </w:r>
      <w:r>
        <w:rPr>
          <w:rFonts w:ascii="Times New Roman" w:cs="Times New Roman" w:eastAsia="Times New Roman" w:hAnsi="Times New Roman"/>
          <w:sz w:val="20"/>
          <w:szCs w:val="20"/>
          <w:color w:val="1A1A1A"/>
        </w:rPr>
        <w:t xml:space="preserve"> the </w:t>
      </w:r>
      <w:r>
        <w:rPr>
          <w:rFonts w:ascii="Times New Roman" w:cs="Times New Roman" w:eastAsia="Times New Roman" w:hAnsi="Times New Roman"/>
          <w:sz w:val="20"/>
          <w:szCs w:val="20"/>
          <w:color w:val="28282A"/>
        </w:rPr>
        <w:t>shar</w:t>
      </w:r>
      <w:r>
        <w:rPr>
          <w:rFonts w:ascii="Times New Roman" w:cs="Times New Roman" w:eastAsia="Times New Roman" w:hAnsi="Times New Roman"/>
          <w:sz w:val="20"/>
          <w:szCs w:val="20"/>
          <w:color w:val="0A0A0A"/>
        </w:rPr>
        <w:t>e</w:t>
      </w:r>
      <w:r>
        <w:rPr>
          <w:rFonts w:ascii="Times New Roman" w:cs="Times New Roman" w:eastAsia="Times New Roman" w:hAnsi="Times New Roman"/>
          <w:sz w:val="20"/>
          <w:szCs w:val="20"/>
          <w:color w:val="28282A"/>
        </w:rPr>
        <w:t>s</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0A0A0A"/>
        </w:rPr>
        <w:t>o</w:t>
      </w:r>
      <w:r>
        <w:rPr>
          <w:rFonts w:ascii="Times New Roman" w:cs="Times New Roman" w:eastAsia="Times New Roman" w:hAnsi="Times New Roman"/>
          <w:sz w:val="20"/>
          <w:szCs w:val="20"/>
          <w:color w:val="28282A"/>
        </w:rPr>
        <w:t>f</w:t>
      </w:r>
      <w:r>
        <w:rPr>
          <w:rFonts w:ascii="Times New Roman" w:cs="Times New Roman" w:eastAsia="Times New Roman" w:hAnsi="Times New Roman"/>
          <w:sz w:val="20"/>
          <w:szCs w:val="20"/>
          <w:color w:val="1A1A1A"/>
        </w:rPr>
        <w:t xml:space="preserve"> Common Stock formerly </w:t>
      </w:r>
      <w:r>
        <w:rPr>
          <w:rFonts w:ascii="Times New Roman" w:cs="Times New Roman" w:eastAsia="Times New Roman" w:hAnsi="Times New Roman"/>
          <w:sz w:val="20"/>
          <w:szCs w:val="20"/>
          <w:color w:val="28282A"/>
        </w:rPr>
        <w:t>re</w:t>
      </w:r>
      <w:r>
        <w:rPr>
          <w:rFonts w:ascii="Times New Roman" w:cs="Times New Roman" w:eastAsia="Times New Roman" w:hAnsi="Times New Roman"/>
          <w:sz w:val="20"/>
          <w:szCs w:val="20"/>
          <w:color w:val="0A0A0A"/>
        </w:rPr>
        <w:t>p</w:t>
      </w:r>
      <w:r>
        <w:rPr>
          <w:rFonts w:ascii="Times New Roman" w:cs="Times New Roman" w:eastAsia="Times New Roman" w:hAnsi="Times New Roman"/>
          <w:sz w:val="20"/>
          <w:szCs w:val="20"/>
          <w:color w:val="28282A"/>
        </w:rPr>
        <w:t>resente</w:t>
      </w:r>
      <w:r>
        <w:rPr>
          <w:rFonts w:ascii="Times New Roman" w:cs="Times New Roman" w:eastAsia="Times New Roman" w:hAnsi="Times New Roman"/>
          <w:sz w:val="20"/>
          <w:szCs w:val="20"/>
          <w:color w:val="0A0A0A"/>
        </w:rPr>
        <w:t>d by</w:t>
      </w:r>
      <w:r>
        <w:rPr>
          <w:rFonts w:ascii="Times New Roman" w:cs="Times New Roman" w:eastAsia="Times New Roman" w:hAnsi="Times New Roman"/>
          <w:sz w:val="20"/>
          <w:szCs w:val="20"/>
          <w:color w:val="1A1A1A"/>
        </w:rPr>
        <w:t xml:space="preserve"> such certificate </w:t>
      </w:r>
      <w:r>
        <w:rPr>
          <w:rFonts w:ascii="Times New Roman" w:cs="Times New Roman" w:eastAsia="Times New Roman" w:hAnsi="Times New Roman"/>
          <w:sz w:val="20"/>
          <w:szCs w:val="20"/>
          <w:color w:val="28282A"/>
        </w:rPr>
        <w:t>sha</w:t>
      </w:r>
      <w:r>
        <w:rPr>
          <w:rFonts w:ascii="Times New Roman" w:cs="Times New Roman" w:eastAsia="Times New Roman" w:hAnsi="Times New Roman"/>
          <w:sz w:val="20"/>
          <w:szCs w:val="20"/>
          <w:color w:val="0A0A0A"/>
        </w:rPr>
        <w:t>ll h</w:t>
      </w:r>
      <w:r>
        <w:rPr>
          <w:rFonts w:ascii="Times New Roman" w:cs="Times New Roman" w:eastAsia="Times New Roman" w:hAnsi="Times New Roman"/>
          <w:sz w:val="20"/>
          <w:szCs w:val="20"/>
          <w:color w:val="28282A"/>
        </w:rPr>
        <w:t>ave</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0A0A0A"/>
        </w:rPr>
        <w:t>been reclassifi</w:t>
      </w:r>
      <w:r>
        <w:rPr>
          <w:rFonts w:ascii="Times New Roman" w:cs="Times New Roman" w:eastAsia="Times New Roman" w:hAnsi="Times New Roman"/>
          <w:sz w:val="20"/>
          <w:szCs w:val="20"/>
          <w:color w:val="28282A"/>
        </w:rPr>
        <w:t>e</w:t>
      </w:r>
      <w:r>
        <w:rPr>
          <w:rFonts w:ascii="Times New Roman" w:cs="Times New Roman" w:eastAsia="Times New Roman" w:hAnsi="Times New Roman"/>
          <w:sz w:val="20"/>
          <w:szCs w:val="20"/>
          <w:color w:val="0A0A0A"/>
        </w:rPr>
        <w:t>d.</w:t>
      </w:r>
    </w:p>
    <w:p>
      <w:pPr>
        <w:sectPr>
          <w:pgSz w:w="11900" w:h="16838" w:orient="portrait"/>
          <w:cols w:equalWidth="0" w:num="1">
            <w:col w:w="10200"/>
          </w:cols>
          <w:pgMar w:left="440" w:top="981" w:right="1259" w:bottom="1440" w:gutter="0" w:footer="0" w:header="0"/>
        </w:sectPr>
      </w:pPr>
    </w:p>
    <w:bookmarkStart w:id="51" w:name="page52"/>
    <w:bookmarkEnd w:id="51"/>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total number of shares of all classes of stock which the Corporation shall have authority to issue is 125,000,000 shares, consisting of (i) 120,000,000 shares of Common Stock, $.0001 par value per share ("Common Stock"), and (ii) 5,000,000 shares of Preferred Stock, $.01 par value per share ("Preferred Stock")."</w:t>
      </w:r>
    </w:p>
    <w:p>
      <w:pPr>
        <w:spacing w:after="0" w:line="215" w:lineRule="exact"/>
        <w:rPr>
          <w:sz w:val="20"/>
          <w:szCs w:val="20"/>
          <w:color w:val="auto"/>
        </w:rPr>
      </w:pPr>
    </w:p>
    <w:p>
      <w:pPr>
        <w:ind w:right="40" w:firstLine="647"/>
        <w:spacing w:after="0" w:line="283" w:lineRule="auto"/>
        <w:tabs>
          <w:tab w:leader="none" w:pos="117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of the Restated Certificate of Incorporation has been duly adopted by the stockholders of the Corporation in accordance with the provisions of Section 242 of the General Corporation Law.</w:t>
      </w:r>
    </w:p>
    <w:p>
      <w:pPr>
        <w:spacing w:after="0" w:line="17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200"/>
          </w:cols>
          <w:pgMar w:left="440" w:top="1386" w:right="125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20" w:firstLine="61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THEREOF, </w:t>
      </w:r>
      <w:r>
        <w:rPr>
          <w:rFonts w:ascii="Times New Roman" w:cs="Times New Roman" w:eastAsia="Times New Roman" w:hAnsi="Times New Roman"/>
          <w:sz w:val="20"/>
          <w:szCs w:val="20"/>
          <w:color w:val="auto"/>
        </w:rPr>
        <w:t>this Corporation has caused this Certificate of Amendment of the Restated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Incorporation to be signed by its President and Chief Executive Officer this 19th day of July, 20 I 7.</w:t>
      </w:r>
    </w:p>
    <w:p>
      <w:pPr>
        <w:spacing w:after="0" w:line="200" w:lineRule="exact"/>
        <w:rPr>
          <w:sz w:val="20"/>
          <w:szCs w:val="20"/>
          <w:color w:val="auto"/>
        </w:rPr>
      </w:pPr>
    </w:p>
    <w:p>
      <w:pPr>
        <w:spacing w:after="0" w:line="29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0"/>
          <w:szCs w:val="20"/>
          <w:color w:val="auto"/>
        </w:rPr>
        <w:t>/s/ 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5034280</wp:posOffset>
            </wp:positionH>
            <wp:positionV relativeFrom="paragraph">
              <wp:posOffset>22860</wp:posOffset>
            </wp:positionV>
            <wp:extent cx="19627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0"/>
          <w:szCs w:val="20"/>
          <w:color w:val="auto"/>
        </w:rPr>
        <w:t>Christopher D.T. Guiffre</w:t>
      </w:r>
    </w:p>
    <w:p>
      <w:pPr>
        <w:spacing w:after="0" w:line="2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60"/>
          </w:cols>
          <w:pgMar w:left="540" w:top="1440" w:right="399" w:bottom="1440" w:gutter="0" w:footer="0" w:header="0"/>
        </w:sectPr>
      </w:pPr>
    </w:p>
    <w:bookmarkStart w:id="53" w:name="page54"/>
    <w:bookmarkEnd w:id="53"/>
    <w:p>
      <w:pPr>
        <w:ind w:left="7060"/>
        <w:spacing w:after="0"/>
        <w:rPr>
          <w:sz w:val="20"/>
          <w:szCs w:val="20"/>
          <w:color w:val="auto"/>
        </w:rPr>
      </w:pPr>
      <w:r>
        <w:rPr>
          <w:rFonts w:ascii="Times New Roman" w:cs="Times New Roman" w:eastAsia="Times New Roman" w:hAnsi="Times New Roman"/>
          <w:sz w:val="20"/>
          <w:szCs w:val="20"/>
          <w:b w:val="1"/>
          <w:bCs w:val="1"/>
          <w:i w:val="1"/>
          <w:iCs w:val="1"/>
          <w:color w:val="auto"/>
        </w:rPr>
        <w:t>State of Delaware Secretary of State</w:t>
      </w:r>
    </w:p>
    <w:p>
      <w:pPr>
        <w:ind w:left="7520"/>
        <w:spacing w:after="0" w:line="197" w:lineRule="auto"/>
        <w:rPr>
          <w:sz w:val="20"/>
          <w:szCs w:val="20"/>
          <w:color w:val="auto"/>
        </w:rPr>
      </w:pPr>
      <w:r>
        <w:rPr>
          <w:rFonts w:ascii="Times New Roman" w:cs="Times New Roman" w:eastAsia="Times New Roman" w:hAnsi="Times New Roman"/>
          <w:sz w:val="20"/>
          <w:szCs w:val="20"/>
          <w:b w:val="1"/>
          <w:bCs w:val="1"/>
          <w:i w:val="1"/>
          <w:iCs w:val="1"/>
          <w:color w:val="auto"/>
        </w:rPr>
        <w:t>Division of Corporations</w:t>
      </w:r>
    </w:p>
    <w:p>
      <w:pPr>
        <w:jc w:val="center"/>
        <w:ind w:left="590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Delivered 11:19 AM 04/15/2014</w:t>
      </w:r>
    </w:p>
    <w:p>
      <w:pPr>
        <w:jc w:val="center"/>
        <w:ind w:left="590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FILED 11:13 AM 04/15/2014</w:t>
      </w:r>
    </w:p>
    <w:p>
      <w:pPr>
        <w:spacing w:after="0" w:line="1"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SRV 140471255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4067151 FILE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20"/>
          <w:szCs w:val="20"/>
          <w:color w:val="auto"/>
        </w:rPr>
        <w:t>RESTATED CERTIFICATE OF INCORPORATION OF</w:t>
      </w:r>
    </w:p>
    <w:p>
      <w:pPr>
        <w:spacing w:after="0" w:line="14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20"/>
          <w:szCs w:val="20"/>
          <w:color w:val="auto"/>
        </w:rPr>
        <w:t>CERULEAN PHARMA INC.</w:t>
      </w:r>
    </w:p>
    <w:p>
      <w:pPr>
        <w:spacing w:after="0" w:line="243" w:lineRule="exact"/>
        <w:rPr>
          <w:sz w:val="20"/>
          <w:szCs w:val="20"/>
          <w:color w:val="auto"/>
        </w:rPr>
      </w:pPr>
    </w:p>
    <w:p>
      <w:pPr>
        <w:ind w:left="5060" w:right="1540" w:hanging="2380"/>
        <w:spacing w:after="0" w:line="283" w:lineRule="auto"/>
        <w:rPr>
          <w:sz w:val="20"/>
          <w:szCs w:val="20"/>
          <w:color w:val="auto"/>
        </w:rPr>
      </w:pPr>
      <w:r>
        <w:rPr>
          <w:rFonts w:ascii="Times New Roman" w:cs="Times New Roman" w:eastAsia="Times New Roman" w:hAnsi="Times New Roman"/>
          <w:sz w:val="20"/>
          <w:szCs w:val="20"/>
          <w:color w:val="auto"/>
        </w:rPr>
        <w:t>(Pursuant to Sections 242 and 245 of the General Corporation Law of the State of Delaware)</w:t>
      </w:r>
    </w:p>
    <w:p>
      <w:pPr>
        <w:spacing w:after="0" w:line="214" w:lineRule="exact"/>
        <w:rPr>
          <w:sz w:val="20"/>
          <w:szCs w:val="20"/>
          <w:color w:val="auto"/>
        </w:rPr>
      </w:pPr>
    </w:p>
    <w:p>
      <w:pPr>
        <w:ind w:left="2560" w:right="160" w:hanging="1095"/>
        <w:spacing w:after="0" w:line="283" w:lineRule="auto"/>
        <w:rPr>
          <w:sz w:val="20"/>
          <w:szCs w:val="20"/>
          <w:color w:val="auto"/>
        </w:rPr>
      </w:pPr>
      <w:r>
        <w:rPr>
          <w:rFonts w:ascii="Times New Roman" w:cs="Times New Roman" w:eastAsia="Times New Roman" w:hAnsi="Times New Roman"/>
          <w:sz w:val="20"/>
          <w:szCs w:val="20"/>
          <w:color w:val="auto"/>
        </w:rPr>
        <w:t>Cerulean Pharma Inc., a corporation organized and existing under and by virtue of the provisions of the General Corporation Law of the State of Delaware (the "General Corporation Law"),</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color w:val="auto"/>
        </w:rPr>
        <w:t>DOES HEREBY CERTIFY:</w:t>
      </w:r>
    </w:p>
    <w:p>
      <w:pPr>
        <w:spacing w:after="0" w:line="233" w:lineRule="exact"/>
        <w:rPr>
          <w:sz w:val="20"/>
          <w:szCs w:val="20"/>
          <w:color w:val="auto"/>
        </w:rPr>
      </w:pPr>
    </w:p>
    <w:p>
      <w:pPr>
        <w:jc w:val="both"/>
        <w:ind w:left="100" w:right="20" w:firstLine="630"/>
        <w:spacing w:after="0" w:line="216" w:lineRule="auto"/>
        <w:tabs>
          <w:tab w:leader="none" w:pos="1263"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name of this corporation is Cerulean Pharma Inc. (the "Corporation"), and that the Corporation was originally incorporated pursuant to the General Corporation Law on November 28, 2005 under the name Tempo Pharmaceuticals, Inc. The original Certificate of Incorporation of the Corporation was amended on each of December 1, 2005, October 20, 2006, December 22, 2006, May 8, 2007, December 6, 2007, October 14, 2008, July 9, 2009, July 13, 2009, May 26, 2010, November 12, 2010, December 2, 2011, November 29, 2012, January 11, 2013, February 19, 2013, August 14, 2013, January 30, 2014, February 10, 2014, March 21, 2014, March 28, 2014, March 31, 2014 and March 31, 2014.</w:t>
      </w:r>
    </w:p>
    <w:p>
      <w:pPr>
        <w:spacing w:after="0" w:line="202" w:lineRule="exact"/>
        <w:rPr>
          <w:rFonts w:ascii="Times New Roman" w:cs="Times New Roman" w:eastAsia="Times New Roman" w:hAnsi="Times New Roman"/>
          <w:sz w:val="20"/>
          <w:szCs w:val="20"/>
          <w:color w:val="auto"/>
        </w:rPr>
      </w:pPr>
    </w:p>
    <w:p>
      <w:pPr>
        <w:jc w:val="both"/>
        <w:ind w:left="100" w:right="180" w:firstLine="617"/>
        <w:spacing w:after="0" w:line="217" w:lineRule="auto"/>
        <w:tabs>
          <w:tab w:leader="none" w:pos="126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resolution was duly adopted by the Board of Directors of the Corporation (the "Board of Directors") pursuant to Sections 242 and 245 of the General Corporation Law proposing this Restated Certificate of Incorporation and declaring the advisability of this Restated Certificate of lncorporation. The stockholders of the Corporation duly approved and adopted this Restated Certificate of Incorporation by written consent in accordance with Sections 228,242 and 245 of the General Corporation Law.</w:t>
      </w:r>
    </w:p>
    <w:p>
      <w:pPr>
        <w:spacing w:after="0" w:line="189" w:lineRule="exact"/>
        <w:rPr>
          <w:sz w:val="20"/>
          <w:szCs w:val="20"/>
          <w:color w:val="auto"/>
        </w:rPr>
      </w:pPr>
    </w:p>
    <w:p>
      <w:pPr>
        <w:ind w:left="100" w:right="100"/>
        <w:spacing w:after="0"/>
        <w:rPr>
          <w:sz w:val="20"/>
          <w:szCs w:val="20"/>
          <w:color w:val="auto"/>
        </w:rPr>
      </w:pPr>
      <w:r>
        <w:rPr>
          <w:rFonts w:ascii="Times New Roman" w:cs="Times New Roman" w:eastAsia="Times New Roman" w:hAnsi="Times New Roman"/>
          <w:sz w:val="20"/>
          <w:szCs w:val="20"/>
          <w:color w:val="auto"/>
        </w:rPr>
        <w:t>Accordingly, the Certificate of Incorporation of the Corporation, as previously amended and restated, is hereby further amended and restated in its entirety to read as follows:</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FIRST: The name of the Corporation is Cerulean Pharma Inc.</w:t>
      </w:r>
    </w:p>
    <w:p>
      <w:pPr>
        <w:spacing w:after="0" w:line="216" w:lineRule="exact"/>
        <w:rPr>
          <w:sz w:val="20"/>
          <w:szCs w:val="20"/>
          <w:color w:val="auto"/>
        </w:rPr>
      </w:pPr>
    </w:p>
    <w:p>
      <w:pPr>
        <w:ind w:left="100" w:firstLine="625"/>
        <w:spacing w:after="0" w:line="227" w:lineRule="auto"/>
        <w:rPr>
          <w:sz w:val="20"/>
          <w:szCs w:val="20"/>
          <w:color w:val="auto"/>
        </w:rPr>
      </w:pPr>
      <w:r>
        <w:rPr>
          <w:rFonts w:ascii="Times New Roman" w:cs="Times New Roman" w:eastAsia="Times New Roman" w:hAnsi="Times New Roman"/>
          <w:sz w:val="19"/>
          <w:szCs w:val="19"/>
          <w:color w:val="auto"/>
        </w:rPr>
        <w:t>SECOND: The address of the Corporation's registered office in the State of Delaware is Corporation Service Company, 2711 Centerville Road, Suite 400, in the City of Wilmington, County of New Castle 19808. The name of its registered agent at that</w:t>
      </w:r>
    </w:p>
    <w:p>
      <w:pPr>
        <w:ind w:left="100"/>
        <w:spacing w:after="0"/>
        <w:rPr>
          <w:sz w:val="20"/>
          <w:szCs w:val="20"/>
          <w:color w:val="auto"/>
        </w:rPr>
      </w:pPr>
      <w:r>
        <w:rPr>
          <w:rFonts w:ascii="Times New Roman" w:cs="Times New Roman" w:eastAsia="Times New Roman" w:hAnsi="Times New Roman"/>
          <w:sz w:val="20"/>
          <w:szCs w:val="20"/>
          <w:color w:val="auto"/>
        </w:rPr>
        <w:t>address is Corporation Service Company.</w:t>
      </w:r>
    </w:p>
    <w:p>
      <w:pPr>
        <w:spacing w:after="0" w:line="194" w:lineRule="exact"/>
        <w:rPr>
          <w:sz w:val="20"/>
          <w:szCs w:val="20"/>
          <w:color w:val="auto"/>
        </w:rPr>
      </w:pPr>
    </w:p>
    <w:p>
      <w:pPr>
        <w:ind w:left="120" w:firstLine="625"/>
        <w:spacing w:after="0"/>
        <w:rPr>
          <w:sz w:val="20"/>
          <w:szCs w:val="20"/>
          <w:color w:val="auto"/>
        </w:rPr>
      </w:pPr>
      <w:r>
        <w:rPr>
          <w:rFonts w:ascii="Times New Roman" w:cs="Times New Roman" w:eastAsia="Times New Roman" w:hAnsi="Times New Roman"/>
          <w:sz w:val="20"/>
          <w:szCs w:val="20"/>
          <w:color w:val="auto"/>
        </w:rPr>
        <w:t>THIRD: The nature of the business or purposes to be conducted or promoted by the Corporation is to engage in any lawful act or activity for which corporations may be organized under the General Corporation Law of the State of Delaware.</w:t>
      </w:r>
    </w:p>
    <w:p>
      <w:pPr>
        <w:spacing w:after="0" w:line="134" w:lineRule="exact"/>
        <w:rPr>
          <w:sz w:val="20"/>
          <w:szCs w:val="20"/>
          <w:color w:val="auto"/>
        </w:rPr>
      </w:pPr>
    </w:p>
    <w:p>
      <w:pPr>
        <w:ind w:left="120" w:firstLine="628"/>
        <w:spacing w:after="0" w:line="233" w:lineRule="auto"/>
        <w:rPr>
          <w:sz w:val="20"/>
          <w:szCs w:val="20"/>
          <w:color w:val="auto"/>
        </w:rPr>
      </w:pPr>
      <w:r>
        <w:rPr>
          <w:rFonts w:ascii="Times New Roman" w:cs="Times New Roman" w:eastAsia="Times New Roman" w:hAnsi="Times New Roman"/>
          <w:sz w:val="20"/>
          <w:szCs w:val="20"/>
          <w:color w:val="auto"/>
        </w:rPr>
        <w:t>FOURTH: The total number of shares of all classes of stock which the Corporation shall have authority to issue is 125,000,000 shares, consisting of(i) 120,000,000 shares of Common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ActiveUS 116223978v.6</w:t>
      </w:r>
    </w:p>
    <w:p>
      <w:pPr>
        <w:sectPr>
          <w:pgSz w:w="11900" w:h="16838" w:orient="portrait"/>
          <w:cols w:equalWidth="0" w:num="1">
            <w:col w:w="10480"/>
          </w:cols>
          <w:pgMar w:left="360" w:top="975" w:right="1059" w:bottom="1440" w:gutter="0" w:footer="0" w:header="0"/>
        </w:sectPr>
      </w:pPr>
    </w:p>
    <w:bookmarkStart w:id="54" w:name="page55"/>
    <w:bookmarkEnd w:id="54"/>
    <w:p>
      <w:pPr>
        <w:spacing w:after="0" w:line="351" w:lineRule="exact"/>
        <w:rPr>
          <w:sz w:val="20"/>
          <w:szCs w:val="20"/>
          <w:color w:val="auto"/>
        </w:rPr>
      </w:pPr>
    </w:p>
    <w:p>
      <w:pPr>
        <w:ind w:left="100" w:right="20"/>
        <w:spacing w:after="0"/>
        <w:rPr>
          <w:sz w:val="20"/>
          <w:szCs w:val="20"/>
          <w:color w:val="auto"/>
        </w:rPr>
      </w:pPr>
      <w:r>
        <w:rPr>
          <w:rFonts w:ascii="Times New Roman" w:cs="Times New Roman" w:eastAsia="Times New Roman" w:hAnsi="Times New Roman"/>
          <w:sz w:val="20"/>
          <w:szCs w:val="20"/>
          <w:color w:val="auto"/>
        </w:rPr>
        <w:t>Stock, $.0001 par value per share ("Common Stock"), and (ii) 5,000,000 shares of Preferred Stock, $.01 par value per share ("Preferred Stock").</w:t>
      </w:r>
    </w:p>
    <w:p>
      <w:pPr>
        <w:spacing w:after="0" w:line="188" w:lineRule="exact"/>
        <w:rPr>
          <w:sz w:val="20"/>
          <w:szCs w:val="20"/>
          <w:color w:val="auto"/>
        </w:rPr>
      </w:pPr>
    </w:p>
    <w:p>
      <w:pPr>
        <w:ind w:left="100" w:right="120" w:firstLine="625"/>
        <w:spacing w:after="0"/>
        <w:rPr>
          <w:sz w:val="20"/>
          <w:szCs w:val="20"/>
          <w:color w:val="auto"/>
        </w:rPr>
      </w:pPr>
      <w:r>
        <w:rPr>
          <w:rFonts w:ascii="Times New Roman" w:cs="Times New Roman" w:eastAsia="Times New Roman" w:hAnsi="Times New Roman"/>
          <w:sz w:val="20"/>
          <w:szCs w:val="20"/>
          <w:color w:val="auto"/>
        </w:rPr>
        <w:t>The following is a statement of the designations and the powers, privileges and rights, and the qualifications, limitations or restrictions thereof in respect of each class of capital stock of the Corporation.</w:t>
      </w:r>
    </w:p>
    <w:p>
      <w:pPr>
        <w:spacing w:after="0" w:line="188" w:lineRule="exact"/>
        <w:rPr>
          <w:sz w:val="20"/>
          <w:szCs w:val="20"/>
          <w:color w:val="auto"/>
        </w:rPr>
      </w:pPr>
    </w:p>
    <w:p>
      <w:pPr>
        <w:ind w:left="720" w:hanging="612"/>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20" w:right="100" w:firstLine="645"/>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spacing w:after="0" w:line="133" w:lineRule="exact"/>
        <w:rPr>
          <w:sz w:val="20"/>
          <w:szCs w:val="20"/>
          <w:color w:val="auto"/>
        </w:rPr>
      </w:pPr>
    </w:p>
    <w:p>
      <w:pPr>
        <w:jc w:val="both"/>
        <w:ind w:left="120" w:firstLine="629"/>
        <w:spacing w:after="0" w:line="226" w:lineRule="auto"/>
        <w:tabs>
          <w:tab w:leader="none" w:pos="125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Voting.</w:t>
      </w:r>
      <w:r>
        <w:rPr>
          <w:rFonts w:ascii="Times New Roman" w:cs="Times New Roman" w:eastAsia="Times New Roman" w:hAnsi="Times New Roman"/>
          <w:sz w:val="19"/>
          <w:szCs w:val="19"/>
          <w:color w:val="auto"/>
        </w:rPr>
        <w:t xml:space="preserve"> The holders of the Common Stock shall have voting rights at all meetings of stockholders, each such holder being entitled to one vote for each share thereof held by such holder: </w:t>
      </w: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 xml:space="preserve">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There shall be no cumulative voting.</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number of authorized shares of Common Stock may be increased or decreased (but not below the number of shares</w:t>
      </w:r>
    </w:p>
    <w:p>
      <w:pPr>
        <w:ind w:left="140" w:right="80"/>
        <w:spacing w:after="0" w:line="221" w:lineRule="auto"/>
        <w:rPr>
          <w:sz w:val="20"/>
          <w:szCs w:val="20"/>
          <w:color w:val="auto"/>
        </w:rPr>
      </w:pPr>
      <w:r>
        <w:rPr>
          <w:rFonts w:ascii="Times New Roman" w:cs="Times New Roman" w:eastAsia="Times New Roman" w:hAnsi="Times New Roman"/>
          <w:sz w:val="20"/>
          <w:szCs w:val="20"/>
          <w:color w:val="auto"/>
        </w:rPr>
        <w:t>thereof then outstanding) by the affirmative vote of the holders of a majority of the stock of the Corporation entitled to vote, irrespective of the provisions of Section 242(b)(2) of the General Corporation Law of the State of Delaware.</w:t>
      </w:r>
    </w:p>
    <w:p>
      <w:pPr>
        <w:spacing w:after="0" w:line="189" w:lineRule="exact"/>
        <w:rPr>
          <w:sz w:val="20"/>
          <w:szCs w:val="20"/>
          <w:color w:val="auto"/>
        </w:rPr>
      </w:pPr>
    </w:p>
    <w:p>
      <w:pPr>
        <w:jc w:val="both"/>
        <w:ind w:left="140" w:right="120" w:firstLine="631"/>
        <w:spacing w:after="0" w:line="230" w:lineRule="auto"/>
        <w:tabs>
          <w:tab w:leader="none" w:pos="124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xml:space="preserve"> Dividends may be declared and paid on the Common Stock from funds lawfully available therefor as and when determined by the Board of Directors and subject to any preferential dividend or other rights of any then outstanding Preferred Stock.</w:t>
      </w:r>
    </w:p>
    <w:p>
      <w:pPr>
        <w:spacing w:after="0" w:line="175" w:lineRule="exact"/>
        <w:rPr>
          <w:rFonts w:ascii="Times New Roman" w:cs="Times New Roman" w:eastAsia="Times New Roman" w:hAnsi="Times New Roman"/>
          <w:sz w:val="20"/>
          <w:szCs w:val="20"/>
          <w:color w:val="auto"/>
        </w:rPr>
      </w:pPr>
    </w:p>
    <w:p>
      <w:pPr>
        <w:jc w:val="both"/>
        <w:ind w:left="140" w:right="240" w:firstLine="630"/>
        <w:spacing w:after="0" w:line="230" w:lineRule="auto"/>
        <w:tabs>
          <w:tab w:leader="none" w:pos="12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Liquidation.</w:t>
      </w:r>
      <w:r>
        <w:rPr>
          <w:rFonts w:ascii="Times New Roman" w:cs="Times New Roman" w:eastAsia="Times New Roman" w:hAnsi="Times New Roman"/>
          <w:sz w:val="20"/>
          <w:szCs w:val="20"/>
          <w:color w:val="auto"/>
        </w:rPr>
        <w:t xml:space="preserve"> Upon the dissolution or liquidation of the Corporation, whether voluntary or involuntary, holders of Common Stock will be entitled to receive all assets of the Corporation available for distribution to its stockholders, subject to any preferential or other rights of any then outstanding Preferred Stock.</w:t>
      </w:r>
    </w:p>
    <w:p>
      <w:pPr>
        <w:spacing w:after="0" w:line="176" w:lineRule="exact"/>
        <w:rPr>
          <w:sz w:val="20"/>
          <w:szCs w:val="20"/>
          <w:color w:val="auto"/>
        </w:rPr>
      </w:pPr>
    </w:p>
    <w:p>
      <w:pPr>
        <w:ind w:left="780" w:hanging="622"/>
        <w:spacing w:after="0"/>
        <w:tabs>
          <w:tab w:leader="none" w:pos="7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60" w:firstLine="630"/>
        <w:spacing w:after="0" w:line="234" w:lineRule="auto"/>
        <w:rPr>
          <w:sz w:val="20"/>
          <w:szCs w:val="20"/>
          <w:color w:val="auto"/>
        </w:rPr>
      </w:pPr>
      <w:r>
        <w:rPr>
          <w:rFonts w:ascii="Times New Roman" w:cs="Times New Roman" w:eastAsia="Times New Roman" w:hAnsi="Times New Roman"/>
          <w:sz w:val="19"/>
          <w:szCs w:val="19"/>
          <w:color w:val="auto"/>
        </w:rPr>
        <w:t>Preferred Stock may be issued from time to time in one or more series, each of such series to have such terms as stated or expressed herein and in the resolution or resolutions providing for the issue of such series adopted by the Board of Directors as</w:t>
      </w:r>
    </w:p>
    <w:p>
      <w:pPr>
        <w:spacing w:after="0" w:line="1" w:lineRule="exact"/>
        <w:rPr>
          <w:sz w:val="20"/>
          <w:szCs w:val="20"/>
          <w:color w:val="auto"/>
        </w:rPr>
      </w:pPr>
    </w:p>
    <w:p>
      <w:pPr>
        <w:ind w:left="160" w:right="20"/>
        <w:spacing w:after="0" w:line="221" w:lineRule="auto"/>
        <w:rPr>
          <w:sz w:val="20"/>
          <w:szCs w:val="20"/>
          <w:color w:val="auto"/>
        </w:rPr>
      </w:pPr>
      <w:r>
        <w:rPr>
          <w:rFonts w:ascii="Times New Roman" w:cs="Times New Roman" w:eastAsia="Times New Roman" w:hAnsi="Times New Roman"/>
          <w:sz w:val="20"/>
          <w:szCs w:val="20"/>
          <w:color w:val="auto"/>
        </w:rPr>
        <w:t>hereinafter provided. Any shares of Preferred Stock which may be redeemed, purchased or acquired by the Corporation may be reissued except as otherwise provided by law.</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-2-</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ActiveUS I 16223978v.6</w:t>
      </w:r>
    </w:p>
    <w:p>
      <w:pPr>
        <w:sectPr>
          <w:pgSz w:w="11900" w:h="16838" w:orient="portrait"/>
          <w:cols w:equalWidth="0" w:num="1">
            <w:col w:w="10480"/>
          </w:cols>
          <w:pgMar w:left="360" w:top="1440" w:right="1059" w:bottom="1440" w:gutter="0" w:footer="0" w:header="0"/>
        </w:sectPr>
      </w:pPr>
    </w:p>
    <w:bookmarkStart w:id="55" w:name="page56"/>
    <w:bookmarkEnd w:id="55"/>
    <w:p>
      <w:pPr>
        <w:spacing w:after="0" w:line="338" w:lineRule="exact"/>
        <w:rPr>
          <w:sz w:val="20"/>
          <w:szCs w:val="20"/>
          <w:color w:val="auto"/>
        </w:rPr>
      </w:pPr>
    </w:p>
    <w:p>
      <w:pPr>
        <w:ind w:right="20" w:firstLine="631"/>
        <w:spacing w:after="0" w:line="215" w:lineRule="auto"/>
        <w:rPr>
          <w:sz w:val="20"/>
          <w:szCs w:val="20"/>
          <w:color w:val="auto"/>
        </w:rPr>
      </w:pPr>
      <w:r>
        <w:rPr>
          <w:rFonts w:ascii="Times New Roman" w:cs="Times New Roman" w:eastAsia="Times New Roman" w:hAnsi="Times New Roman"/>
          <w:sz w:val="20"/>
          <w:szCs w:val="20"/>
          <w:color w:val="auto"/>
        </w:rPr>
        <w:t>Authority is hereby expressly granted to the Board of Directors from time to time to issue the Preferred Stock in one or more series, and in connection with the creation of any such series, by adopting a resolution or resolutions providing for the</w:t>
      </w:r>
    </w:p>
    <w:p>
      <w:pPr>
        <w:spacing w:after="0" w:line="212" w:lineRule="auto"/>
        <w:rPr>
          <w:sz w:val="20"/>
          <w:szCs w:val="20"/>
          <w:color w:val="auto"/>
        </w:rPr>
      </w:pPr>
      <w:r>
        <w:rPr>
          <w:rFonts w:ascii="Times New Roman" w:cs="Times New Roman" w:eastAsia="Times New Roman" w:hAnsi="Times New Roman"/>
          <w:sz w:val="20"/>
          <w:szCs w:val="20"/>
          <w:color w:val="auto"/>
        </w:rPr>
        <w:t>issuance of the shares thereof and by filing a certificate of designations relating thereto in accordance with the General</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Corporation Law of the State of Delaware, to determine and fix the number of shares of such series and such voting powers, full or limited, or no voting powers, and such designations, preferences and relative participating, optional or other special rights, and</w:t>
      </w:r>
    </w:p>
    <w:p>
      <w:pPr>
        <w:spacing w:after="0" w:line="211" w:lineRule="auto"/>
        <w:rPr>
          <w:sz w:val="20"/>
          <w:szCs w:val="20"/>
          <w:color w:val="auto"/>
        </w:rPr>
      </w:pPr>
      <w:r>
        <w:rPr>
          <w:rFonts w:ascii="Times New Roman" w:cs="Times New Roman" w:eastAsia="Times New Roman" w:hAnsi="Times New Roman"/>
          <w:sz w:val="20"/>
          <w:szCs w:val="20"/>
          <w:color w:val="auto"/>
        </w:rPr>
        <w:t>qualifications, limitations or restrictions thereof, including without limitation thereof, dividend rights, conversion rights,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redemption privileges and liquidation preferences, as shall be stated and expressed in such resolutions, all to the full extent now or hereafter permitted by the General Corporation Law of the State of Delaware. Without limiting the generality of the foregoing, the</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resolutions providing for issuance of any series of Preferred Stock may provide that such series shall be superior or rank equally or be junior to any other series of Preferred Stock to the extent permitted by law.</w:t>
      </w:r>
    </w:p>
    <w:p>
      <w:pPr>
        <w:spacing w:after="0" w:line="176" w:lineRule="exact"/>
        <w:rPr>
          <w:sz w:val="20"/>
          <w:szCs w:val="20"/>
          <w:color w:val="auto"/>
        </w:rPr>
      </w:pPr>
    </w:p>
    <w:p>
      <w:pPr>
        <w:ind w:right="140" w:firstLine="625"/>
        <w:spacing w:after="0" w:line="222" w:lineRule="auto"/>
        <w:rPr>
          <w:sz w:val="20"/>
          <w:szCs w:val="20"/>
          <w:color w:val="auto"/>
        </w:rPr>
      </w:pPr>
      <w:r>
        <w:rPr>
          <w:rFonts w:ascii="Times New Roman" w:cs="Times New Roman" w:eastAsia="Times New Roman" w:hAnsi="Times New Roman"/>
          <w:sz w:val="20"/>
          <w:szCs w:val="20"/>
          <w:color w:val="auto"/>
        </w:rPr>
        <w:t>The number of authorized shares of Preferred Stock may be increased or decreased (but not below the number of shares then outstanding) by the affirmative vote of the holders of a majority of the voting power of the capital stock of the Corporation</w:t>
      </w:r>
    </w:p>
    <w:p>
      <w:pPr>
        <w:spacing w:after="0" w:line="2"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20"/>
          <w:szCs w:val="20"/>
          <w:color w:val="auto"/>
        </w:rPr>
        <w:t>entitled to vote thereon, voting as a single class, irrespective of the provisions of Section 242(b)(2) of the General Corporation Law of the State of Delaware.</w:t>
      </w:r>
    </w:p>
    <w:p>
      <w:pPr>
        <w:spacing w:after="0" w:line="189" w:lineRule="exact"/>
        <w:rPr>
          <w:sz w:val="20"/>
          <w:szCs w:val="20"/>
          <w:color w:val="auto"/>
        </w:rPr>
      </w:pPr>
    </w:p>
    <w:p>
      <w:pPr>
        <w:jc w:val="both"/>
        <w:ind w:right="40" w:firstLine="627"/>
        <w:spacing w:after="0" w:line="230" w:lineRule="auto"/>
        <w:rPr>
          <w:sz w:val="20"/>
          <w:szCs w:val="20"/>
          <w:color w:val="auto"/>
        </w:rPr>
      </w:pPr>
      <w:r>
        <w:rPr>
          <w:rFonts w:ascii="Times New Roman" w:cs="Times New Roman" w:eastAsia="Times New Roman" w:hAnsi="Times New Roman"/>
          <w:sz w:val="20"/>
          <w:szCs w:val="20"/>
          <w:color w:val="auto"/>
        </w:rPr>
        <w:t>FIFTH: Except as otherwise provided herein, the Corporation reserves the right to amend, alter, change or repeal any provision contained in this Certificate of lncorporation, in the manner now or hereafter prescribed by statute and this Certificate of Incorporation, and all rights conferred upon stockholders herein are granted subject to this reservation.</w:t>
      </w:r>
    </w:p>
    <w:p>
      <w:pPr>
        <w:spacing w:after="0" w:line="189" w:lineRule="exact"/>
        <w:rPr>
          <w:sz w:val="20"/>
          <w:szCs w:val="20"/>
          <w:color w:val="auto"/>
        </w:rPr>
      </w:pPr>
    </w:p>
    <w:p>
      <w:pPr>
        <w:jc w:val="both"/>
        <w:ind w:right="100" w:firstLine="633"/>
        <w:spacing w:after="0" w:line="227" w:lineRule="auto"/>
        <w:rPr>
          <w:sz w:val="20"/>
          <w:szCs w:val="20"/>
          <w:color w:val="auto"/>
        </w:rPr>
      </w:pPr>
      <w:r>
        <w:rPr>
          <w:rFonts w:ascii="Times New Roman" w:cs="Times New Roman" w:eastAsia="Times New Roman" w:hAnsi="Times New Roman"/>
          <w:sz w:val="19"/>
          <w:szCs w:val="19"/>
          <w:color w:val="auto"/>
        </w:rPr>
        <w:t>SIXTH: In furtherance and not in limitation of the powers conferred upon it by the General Corporation Law of the State of Delaware, and subject to the terms of any series of Preferred Stock, the Board of Directors shall have the power to adopt,</w:t>
      </w:r>
    </w:p>
    <w:p>
      <w:pPr>
        <w:spacing w:after="0" w:line="211" w:lineRule="auto"/>
        <w:rPr>
          <w:sz w:val="20"/>
          <w:szCs w:val="20"/>
          <w:color w:val="auto"/>
        </w:rPr>
      </w:pPr>
      <w:r>
        <w:rPr>
          <w:rFonts w:ascii="Times New Roman" w:cs="Times New Roman" w:eastAsia="Times New Roman" w:hAnsi="Times New Roman"/>
          <w:sz w:val="20"/>
          <w:szCs w:val="20"/>
          <w:color w:val="auto"/>
        </w:rPr>
        <w:t>amend, alter or repeal the By-laws of the Corporation by the affirmative vote of a majority of the directors present at any regular</w:t>
      </w:r>
    </w:p>
    <w:p>
      <w:pPr>
        <w:spacing w:after="0" w:line="1" w:lineRule="exact"/>
        <w:rPr>
          <w:sz w:val="20"/>
          <w:szCs w:val="20"/>
          <w:color w:val="auto"/>
        </w:rPr>
      </w:pPr>
    </w:p>
    <w:p>
      <w:pPr>
        <w:ind w:right="100"/>
        <w:spacing w:after="0" w:line="204" w:lineRule="auto"/>
        <w:rPr>
          <w:sz w:val="20"/>
          <w:szCs w:val="20"/>
          <w:color w:val="auto"/>
        </w:rPr>
      </w:pPr>
      <w:r>
        <w:rPr>
          <w:rFonts w:ascii="Times New Roman" w:cs="Times New Roman" w:eastAsia="Times New Roman" w:hAnsi="Times New Roman"/>
          <w:sz w:val="20"/>
          <w:szCs w:val="20"/>
          <w:color w:val="auto"/>
        </w:rPr>
        <w:t>or special meeting of the Board of Directors at which a quorum is present. The stockholders may not adopt, amend, alter or repeal the By-laws of the Corporation, or adopt any provision inconsistent therewith, unless such action is approved, in addition</w:t>
      </w:r>
    </w:p>
    <w:p>
      <w:pPr>
        <w:spacing w:after="0" w:line="211" w:lineRule="auto"/>
        <w:rPr>
          <w:sz w:val="20"/>
          <w:szCs w:val="20"/>
          <w:color w:val="auto"/>
        </w:rPr>
      </w:pPr>
      <w:r>
        <w:rPr>
          <w:rFonts w:ascii="Times New Roman" w:cs="Times New Roman" w:eastAsia="Times New Roman" w:hAnsi="Times New Roman"/>
          <w:sz w:val="20"/>
          <w:szCs w:val="20"/>
          <w:color w:val="auto"/>
        </w:rPr>
        <w:t>to any other vote required by this Certificate of Incorporation, by the affirmative vote of the holders of at least seventy-five</w:t>
      </w:r>
    </w:p>
    <w:p>
      <w:pPr>
        <w:spacing w:after="0" w:line="1" w:lineRule="exact"/>
        <w:rPr>
          <w:sz w:val="20"/>
          <w:szCs w:val="20"/>
          <w:color w:val="auto"/>
        </w:rPr>
      </w:pPr>
    </w:p>
    <w:p>
      <w:pPr>
        <w:ind w:right="100"/>
        <w:spacing w:after="0" w:line="204" w:lineRule="auto"/>
        <w:rPr>
          <w:sz w:val="20"/>
          <w:szCs w:val="20"/>
          <w:color w:val="auto"/>
        </w:rPr>
      </w:pPr>
      <w:r>
        <w:rPr>
          <w:rFonts w:ascii="Times New Roman" w:cs="Times New Roman" w:eastAsia="Times New Roman" w:hAnsi="Times New Roman"/>
          <w:sz w:val="20"/>
          <w:szCs w:val="20"/>
          <w:color w:val="auto"/>
        </w:rPr>
        <w:t>percent (75%) of the votes that all the stockholders would be entitled to cast in any annual election of directors or class of directors. Notwithstanding any other provisions of law, this Certificate of Incorporation or the By-laws of the Corporation, and</w:t>
      </w:r>
    </w:p>
    <w:p>
      <w:pPr>
        <w:spacing w:after="0" w:line="211" w:lineRule="auto"/>
        <w:rPr>
          <w:sz w:val="20"/>
          <w:szCs w:val="20"/>
          <w:color w:val="auto"/>
        </w:rPr>
      </w:pPr>
      <w:r>
        <w:rPr>
          <w:rFonts w:ascii="Times New Roman" w:cs="Times New Roman" w:eastAsia="Times New Roman" w:hAnsi="Times New Roman"/>
          <w:sz w:val="20"/>
          <w:szCs w:val="20"/>
          <w:color w:val="auto"/>
        </w:rPr>
        <w:t>notwithstanding the fact that a lesser percentage may be specified by law, the affirmative vote of the holders of at least seventy-</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auto"/>
        </w:rPr>
        <w:t>five percent (75%) of the votes which all the stockholders would be entitled to cast in any annual election of directors or class of directors shall be required to amend or repeal, or to adopt any provision inconsistent with, this Article SIXTH.</w:t>
      </w:r>
    </w:p>
    <w:p>
      <w:pPr>
        <w:spacing w:after="0" w:line="202" w:lineRule="exact"/>
        <w:rPr>
          <w:sz w:val="20"/>
          <w:szCs w:val="20"/>
          <w:color w:val="auto"/>
        </w:rPr>
      </w:pPr>
    </w:p>
    <w:p>
      <w:pPr>
        <w:ind w:left="20" w:right="20" w:firstLine="627"/>
        <w:spacing w:after="0" w:line="215" w:lineRule="auto"/>
        <w:rPr>
          <w:sz w:val="20"/>
          <w:szCs w:val="20"/>
          <w:color w:val="auto"/>
        </w:rPr>
      </w:pPr>
      <w:r>
        <w:rPr>
          <w:rFonts w:ascii="Times New Roman" w:cs="Times New Roman" w:eastAsia="Times New Roman" w:hAnsi="Times New Roman"/>
          <w:sz w:val="20"/>
          <w:szCs w:val="20"/>
          <w:color w:val="auto"/>
        </w:rPr>
        <w:t>SEVENTH: Except to the extent that the General Corporation Law of the State of Delaware prohibits the elimination or limitation of liability of directors for breaches of fiduciary duty, no director of the Corporation shall be personally liable to the</w:t>
      </w:r>
    </w:p>
    <w:p>
      <w:pPr>
        <w:spacing w:after="0" w:line="1" w:lineRule="exact"/>
        <w:rPr>
          <w:sz w:val="20"/>
          <w:szCs w:val="20"/>
          <w:color w:val="auto"/>
        </w:rPr>
      </w:pPr>
    </w:p>
    <w:p>
      <w:pPr>
        <w:ind w:left="20" w:right="20"/>
        <w:spacing w:after="0" w:line="228" w:lineRule="auto"/>
        <w:rPr>
          <w:sz w:val="20"/>
          <w:szCs w:val="20"/>
          <w:color w:val="auto"/>
        </w:rPr>
      </w:pPr>
      <w:r>
        <w:rPr>
          <w:rFonts w:ascii="Times New Roman" w:cs="Times New Roman" w:eastAsia="Times New Roman" w:hAnsi="Times New Roman"/>
          <w:sz w:val="20"/>
          <w:szCs w:val="20"/>
          <w:color w:val="auto"/>
        </w:rPr>
        <w:t>Corporation or its stockholders for monetary damages for any breach of fiduciary duty as a director, notwithstanding any provision of law imposing such liability. No amendment to or repeal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380"/>
          </w:cols>
          <w:pgMar w:left="500" w:top="1440" w:right="1019" w:bottom="1440" w:gutter="0" w:footer="0" w:header="0"/>
        </w:sectPr>
      </w:pPr>
    </w:p>
    <w:bookmarkStart w:id="56" w:name="page57"/>
    <w:bookmarkEnd w:id="56"/>
    <w:p>
      <w:pPr>
        <w:spacing w:after="0" w:line="3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provision shall apply to or have any effect on the liability or alleged liability of any director of the Corporation for or with respect</w:t>
      </w:r>
    </w:p>
    <w:p>
      <w:pPr>
        <w:spacing w:after="0" w:line="6" w:lineRule="exact"/>
        <w:rPr>
          <w:sz w:val="20"/>
          <w:szCs w:val="20"/>
          <w:color w:val="auto"/>
        </w:rPr>
      </w:pPr>
    </w:p>
    <w:p>
      <w:pPr>
        <w:ind w:left="100" w:right="80"/>
        <w:spacing w:after="0" w:line="215" w:lineRule="auto"/>
        <w:rPr>
          <w:sz w:val="20"/>
          <w:szCs w:val="20"/>
          <w:color w:val="auto"/>
        </w:rPr>
      </w:pPr>
      <w:r>
        <w:rPr>
          <w:rFonts w:ascii="Times New Roman" w:cs="Times New Roman" w:eastAsia="Times New Roman" w:hAnsi="Times New Roman"/>
          <w:sz w:val="19"/>
          <w:szCs w:val="19"/>
          <w:color w:val="auto"/>
        </w:rPr>
        <w:t>to any acts or omissions of such director occurring prior to such amendment or repeal. If the General Corporation Law of the State of Delaware is amended to permit further elimination or limitation of the personal liability of directors, then the liability of a</w:t>
      </w:r>
    </w:p>
    <w:p>
      <w:pPr>
        <w:ind w:left="100" w:right="80"/>
        <w:spacing w:after="0" w:line="228" w:lineRule="auto"/>
        <w:rPr>
          <w:sz w:val="20"/>
          <w:szCs w:val="20"/>
          <w:color w:val="auto"/>
        </w:rPr>
      </w:pPr>
      <w:r>
        <w:rPr>
          <w:rFonts w:ascii="Times New Roman" w:cs="Times New Roman" w:eastAsia="Times New Roman" w:hAnsi="Times New Roman"/>
          <w:sz w:val="20"/>
          <w:szCs w:val="20"/>
          <w:color w:val="auto"/>
        </w:rPr>
        <w:t>director of the Corporation shall be eliminated or limited to the fullest extent permitted by the General Corporation Law of the State of Delaware as so amended.</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EIGHTH: The Corporation shall provide indemnification as follows:</w:t>
      </w:r>
    </w:p>
    <w:p>
      <w:pPr>
        <w:spacing w:after="0" w:line="216" w:lineRule="exact"/>
        <w:rPr>
          <w:sz w:val="20"/>
          <w:szCs w:val="20"/>
          <w:color w:val="auto"/>
        </w:rPr>
      </w:pPr>
    </w:p>
    <w:p>
      <w:pPr>
        <w:jc w:val="both"/>
        <w:ind w:left="100" w:firstLine="654"/>
        <w:spacing w:after="0" w:line="210" w:lineRule="auto"/>
        <w:tabs>
          <w:tab w:leader="none" w:pos="1271"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Actions, Suits and Proceedings Other than by or in the Right of the Corporation.</w:t>
      </w:r>
      <w:r>
        <w:rPr>
          <w:rFonts w:ascii="Times New Roman" w:cs="Times New Roman" w:eastAsia="Times New Roman" w:hAnsi="Times New Roman"/>
          <w:sz w:val="20"/>
          <w:szCs w:val="20"/>
          <w:color w:val="auto"/>
        </w:rPr>
        <w:t xml:space="preserve">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"lndemnitee"),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lndemnitee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w:t>
      </w:r>
      <w:r>
        <w:rPr>
          <w:rFonts w:ascii="Times New Roman" w:cs="Times New Roman" w:eastAsia="Times New Roman" w:hAnsi="Times New Roman"/>
          <w:sz w:val="20"/>
          <w:szCs w:val="20"/>
          <w:u w:val="single" w:color="auto"/>
          <w:color w:val="auto"/>
        </w:rPr>
        <w:t>contendere</w:t>
      </w:r>
      <w:r>
        <w:rPr>
          <w:rFonts w:ascii="Times New Roman" w:cs="Times New Roman" w:eastAsia="Times New Roman" w:hAnsi="Times New Roman"/>
          <w:sz w:val="20"/>
          <w:szCs w:val="20"/>
          <w:color w:val="auto"/>
        </w:rPr>
        <w:t xml:space="preserve"> or its equivalent, shall not, of itself, create a presumption that lndemnitee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209" w:lineRule="exact"/>
        <w:rPr>
          <w:rFonts w:ascii="Times New Roman" w:cs="Times New Roman" w:eastAsia="Times New Roman" w:hAnsi="Times New Roman"/>
          <w:sz w:val="20"/>
          <w:szCs w:val="20"/>
          <w:color w:val="auto"/>
        </w:rPr>
      </w:pPr>
    </w:p>
    <w:p>
      <w:pPr>
        <w:jc w:val="both"/>
        <w:ind w:left="80" w:right="40" w:firstLine="637"/>
        <w:spacing w:after="0" w:line="211" w:lineRule="auto"/>
        <w:tabs>
          <w:tab w:leader="none" w:pos="126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Actions or Suits by or in the Right of the Corporation.</w:t>
      </w:r>
      <w:r>
        <w:rPr>
          <w:rFonts w:ascii="Times New Roman" w:cs="Times New Roman" w:eastAsia="Times New Roman" w:hAnsi="Times New Roman"/>
          <w:sz w:val="20"/>
          <w:szCs w:val="20"/>
          <w:color w:val="auto"/>
        </w:rPr>
        <w:t xml:space="preserve"> The Corporation shall indemnify any lndemnitee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2 in respect of any claim, issue or matter as to which lndemnitee shall have been adjudged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ActiveUS 116223978v.6</w:t>
      </w:r>
    </w:p>
    <w:p>
      <w:pPr>
        <w:sectPr>
          <w:pgSz w:w="11900" w:h="16838" w:orient="portrait"/>
          <w:cols w:equalWidth="0" w:num="1">
            <w:col w:w="10480"/>
          </w:cols>
          <w:pgMar w:left="360" w:top="1440" w:right="1059" w:bottom="1440" w:gutter="0" w:footer="0" w:header="0"/>
        </w:sectPr>
      </w:pPr>
    </w:p>
    <w:bookmarkStart w:id="57" w:name="page58"/>
    <w:bookmarkEnd w:id="57"/>
    <w:p>
      <w:pPr>
        <w:spacing w:after="0" w:line="351" w:lineRule="exact"/>
        <w:rPr>
          <w:sz w:val="20"/>
          <w:szCs w:val="20"/>
          <w:color w:val="auto"/>
        </w:rPr>
      </w:pPr>
    </w:p>
    <w:p>
      <w:pPr>
        <w:ind w:left="140" w:right="60"/>
        <w:spacing w:after="0" w:line="215" w:lineRule="auto"/>
        <w:rPr>
          <w:sz w:val="20"/>
          <w:szCs w:val="20"/>
          <w:color w:val="auto"/>
        </w:rPr>
      </w:pPr>
      <w:r>
        <w:rPr>
          <w:rFonts w:ascii="Times New Roman" w:cs="Times New Roman" w:eastAsia="Times New Roman" w:hAnsi="Times New Roman"/>
          <w:sz w:val="20"/>
          <w:szCs w:val="20"/>
          <w:color w:val="auto"/>
        </w:rPr>
        <w:t>liable to the Corporation, unless, and only to the extent, that the Court of Chancery of Delaware or the court in which such action or suit was brought shall determine upon application that, despite the adjudication of such liability but in view of all the</w:t>
      </w:r>
    </w:p>
    <w:p>
      <w:pPr>
        <w:spacing w:after="0" w:line="1" w:lineRule="exact"/>
        <w:rPr>
          <w:sz w:val="20"/>
          <w:szCs w:val="20"/>
          <w:color w:val="auto"/>
        </w:rPr>
      </w:pPr>
    </w:p>
    <w:p>
      <w:pPr>
        <w:ind w:left="140" w:right="60"/>
        <w:spacing w:after="0" w:line="228" w:lineRule="auto"/>
        <w:rPr>
          <w:sz w:val="20"/>
          <w:szCs w:val="20"/>
          <w:color w:val="auto"/>
        </w:rPr>
      </w:pPr>
      <w:r>
        <w:rPr>
          <w:rFonts w:ascii="Times New Roman" w:cs="Times New Roman" w:eastAsia="Times New Roman" w:hAnsi="Times New Roman"/>
          <w:sz w:val="20"/>
          <w:szCs w:val="20"/>
          <w:color w:val="auto"/>
        </w:rPr>
        <w:t>circumstances of the case, Indemnitee is fairly and reasonably entitled to indemnity for such expenses (including attorneys' fees) which the Court of Chancery of Delaware or such other court shall deem proper.</w:t>
      </w:r>
    </w:p>
    <w:p>
      <w:pPr>
        <w:spacing w:after="0" w:line="189" w:lineRule="exact"/>
        <w:rPr>
          <w:sz w:val="20"/>
          <w:szCs w:val="20"/>
          <w:color w:val="auto"/>
        </w:rPr>
      </w:pPr>
    </w:p>
    <w:p>
      <w:pPr>
        <w:jc w:val="both"/>
        <w:ind w:left="160" w:right="40" w:firstLine="618"/>
        <w:spacing w:after="0" w:line="211" w:lineRule="auto"/>
        <w:tabs>
          <w:tab w:leader="none" w:pos="126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for Expenses of Successful Party.</w:t>
      </w:r>
      <w:r>
        <w:rPr>
          <w:rFonts w:ascii="Times New Roman" w:cs="Times New Roman" w:eastAsia="Times New Roman" w:hAnsi="Times New Roman"/>
          <w:sz w:val="20"/>
          <w:szCs w:val="20"/>
          <w:color w:val="auto"/>
        </w:rPr>
        <w:t xml:space="preserve"> Notwithstanding any other provisions of this Article EIGHTH, to the extent that an Indemnitee has been successful, on the merits or otherwise, in defense of any action, suit or proceeding referred to in Sections I and 2 of this Article EIGHTH, or in defense of any claim, issue or matter therein, or on appeal from any such action, suit or proceeding, lndemnitee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w:t>
      </w:r>
      <w:r>
        <w:rPr>
          <w:rFonts w:ascii="Times New Roman" w:cs="Times New Roman" w:eastAsia="Times New Roman" w:hAnsi="Times New Roman"/>
          <w:sz w:val="20"/>
          <w:szCs w:val="20"/>
          <w:u w:val="single" w:color="auto"/>
          <w:color w:val="auto"/>
        </w:rPr>
        <w:t>nolo contendere</w:t>
      </w:r>
      <w:r>
        <w:rPr>
          <w:rFonts w:ascii="Times New Roman" w:cs="Times New Roman" w:eastAsia="Times New Roman" w:hAnsi="Times New Roman"/>
          <w:sz w:val="20"/>
          <w:szCs w:val="20"/>
          <w:color w:val="auto"/>
        </w:rPr>
        <w:t xml:space="preserve"> by Indemnitee, (iv) an adjudication that lndemnitee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p>
    <w:p>
      <w:pPr>
        <w:spacing w:after="0" w:line="205" w:lineRule="exact"/>
        <w:rPr>
          <w:rFonts w:ascii="Times New Roman" w:cs="Times New Roman" w:eastAsia="Times New Roman" w:hAnsi="Times New Roman"/>
          <w:sz w:val="20"/>
          <w:szCs w:val="20"/>
          <w:color w:val="auto"/>
        </w:rPr>
      </w:pPr>
    </w:p>
    <w:p>
      <w:pPr>
        <w:jc w:val="both"/>
        <w:ind w:left="220" w:firstLine="608"/>
        <w:spacing w:after="0" w:line="209" w:lineRule="auto"/>
        <w:tabs>
          <w:tab w:leader="none" w:pos="126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and Defense of Claim</w:t>
      </w:r>
      <w:r>
        <w:rPr>
          <w:rFonts w:ascii="Times New Roman" w:cs="Times New Roman" w:eastAsia="Times New Roman" w:hAnsi="Times New Roman"/>
          <w:sz w:val="20"/>
          <w:szCs w:val="20"/>
          <w:color w:val="auto"/>
        </w:rPr>
        <w:t>. 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lndemnitee unless (i) the employment of counsel by Indemnitee has been authorized by the Corporation, (ii) counsel to Indemnitee shall have reasonably concluded that there may be a conflict of interest or position on any significant issue between the Corporation and lndemnitee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above. The Corporation shall not be required to indemnify lndemnitee under this Article EIGHTH for any amounts paid in settlement of any action, suit, proceeding or investigation effected without its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-5-</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ActiveUS l 16223978v.6</w:t>
      </w:r>
    </w:p>
    <w:p>
      <w:pPr>
        <w:sectPr>
          <w:pgSz w:w="11900" w:h="16838" w:orient="portrait"/>
          <w:cols w:equalWidth="0" w:num="1">
            <w:col w:w="10560"/>
          </w:cols>
          <w:pgMar w:left="360" w:top="1440" w:right="979" w:bottom="1440" w:gutter="0" w:footer="0" w:header="0"/>
        </w:sectPr>
      </w:pPr>
    </w:p>
    <w:bookmarkStart w:id="58" w:name="page59"/>
    <w:bookmarkEnd w:id="58"/>
    <w:p>
      <w:pPr>
        <w:spacing w:after="0" w:line="351" w:lineRule="exact"/>
        <w:rPr>
          <w:sz w:val="20"/>
          <w:szCs w:val="20"/>
          <w:color w:val="auto"/>
        </w:rPr>
      </w:pPr>
    </w:p>
    <w:p>
      <w:pPr>
        <w:ind w:left="140" w:right="20" w:hanging="4"/>
        <w:spacing w:after="0" w:line="215" w:lineRule="auto"/>
        <w:rPr>
          <w:sz w:val="20"/>
          <w:szCs w:val="20"/>
          <w:color w:val="auto"/>
        </w:rPr>
      </w:pPr>
      <w:r>
        <w:rPr>
          <w:rFonts w:ascii="Times New Roman" w:cs="Times New Roman" w:eastAsia="Times New Roman" w:hAnsi="Times New Roman"/>
          <w:sz w:val="20"/>
          <w:szCs w:val="20"/>
          <w:color w:val="auto"/>
        </w:rPr>
        <w:t>The Corporation shall not settle any action, suit, proceeding or investigation in any manner which would impose any penalty or limitation on Indemnitee without Indemnitee's written consent. Neither the Corporation nor Indemnitee will unreasonably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withhold or delay its consent to any proposed settlement.</w:t>
      </w:r>
    </w:p>
    <w:p>
      <w:pPr>
        <w:spacing w:after="0" w:line="194" w:lineRule="exact"/>
        <w:rPr>
          <w:sz w:val="20"/>
          <w:szCs w:val="20"/>
          <w:color w:val="auto"/>
        </w:rPr>
      </w:pPr>
    </w:p>
    <w:p>
      <w:pPr>
        <w:jc w:val="both"/>
        <w:ind w:left="160" w:firstLine="622"/>
        <w:spacing w:after="0" w:line="211" w:lineRule="auto"/>
        <w:tabs>
          <w:tab w:leader="none" w:pos="125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 of Expenses.</w:t>
      </w:r>
      <w:r>
        <w:rPr>
          <w:rFonts w:ascii="Times New Roman" w:cs="Times New Roman" w:eastAsia="Times New Roman" w:hAnsi="Times New Roman"/>
          <w:sz w:val="20"/>
          <w:szCs w:val="20"/>
          <w:color w:val="auto"/>
        </w:rPr>
        <w:t xml:space="preserve"> Subject to the provisions of Section 6 of this Article EIGHTH, in the event of any threatened or pending action, suit, proceeding or investigation of which the Corporation receives notice under this Article EIGHTH, any expenses (including attorneys' fees) incurred by or on behalf of indemnitee in defending an action, suit, proceeding or investigation or any appeal therefrom shall be paid by the Corporation in advance of the final disposition of such matter: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EIGHTH;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such advancement of expenses shall be made under this Article EIGHTH if it is determined (in the manner described in Section 6 of this Article EIGHTH) that (i) Indemnitee did not act in good faith and in a manner he or she reasonably believed to be in, or not opposed to, the best interests of the Corporation, or (ii) with respect to any criminal action or proceeding, Indemnitee had reasonable cause to believe his or her conduct was unlawful. Such undertaking shall be accepted without reference to the financial ability of lndemnitee to make such repayment.</w:t>
      </w:r>
    </w:p>
    <w:p>
      <w:pPr>
        <w:spacing w:after="0" w:line="112" w:lineRule="exact"/>
        <w:rPr>
          <w:rFonts w:ascii="Times New Roman" w:cs="Times New Roman" w:eastAsia="Times New Roman" w:hAnsi="Times New Roman"/>
          <w:sz w:val="20"/>
          <w:szCs w:val="20"/>
          <w:color w:val="auto"/>
        </w:rPr>
      </w:pPr>
    </w:p>
    <w:p>
      <w:pPr>
        <w:jc w:val="both"/>
        <w:ind w:left="200" w:right="20" w:firstLine="617"/>
        <w:spacing w:after="0" w:line="210" w:lineRule="auto"/>
        <w:tabs>
          <w:tab w:leader="none" w:pos="1261"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 for Indemnification and Advancement of Expenses.</w:t>
      </w:r>
      <w:r>
        <w:rPr>
          <w:rFonts w:ascii="Times New Roman" w:cs="Times New Roman" w:eastAsia="Times New Roman" w:hAnsi="Times New Roman"/>
          <w:sz w:val="20"/>
          <w:szCs w:val="20"/>
          <w:color w:val="auto"/>
        </w:rPr>
        <w:t xml:space="preserve"> In order to obtain indemnification or advancement of expenses pursuant to Section 1, 2, 3 or 5 of this Article EIGHTH, an Indemnitee shall submit to the Corporation a written request. Any such advancement of expenses shall be made promptly, and in any event within 60 days after receipt by the Corporation of the written request of Indemnitee, unless (i) the Corporation has assumed the defense pursuant to Section 4 of this Article EIGHTH (and none of the circumstances described in Section 4 of this Article EIGHTH that would nonetheless entitle the Indemnitee to indemnification for the fees and expenses of separate counsel have occurred) or (ii) the Corporation determines within such 60-day period that lndemnitee did not meet the applicable standard of conduct set forth in Section I, 2 or 5 of this Article EIGHTH, as the case may be. Any such indemnification, unless ordered by a court, shall be made with respect to requests under Section I or 2 of this Article EIGHTH only as authorized in the specific case upon a determination by the Corporation that the indemnification of lndemnitee is proper because lndemnitee has met the applicable standard of conduct set forth in Section I or 2 of this Article EIGHTH, as the case may be. Such determination shall be made in each instance (a) by a majority vote of the directors of the Corporation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-6-</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ActiveUS 116223978v.6</w:t>
      </w:r>
    </w:p>
    <w:p>
      <w:pPr>
        <w:sectPr>
          <w:pgSz w:w="11900" w:h="16838" w:orient="portrait"/>
          <w:cols w:equalWidth="0" w:num="1">
            <w:col w:w="10500"/>
          </w:cols>
          <w:pgMar w:left="360" w:top="1440" w:right="1039" w:bottom="1440" w:gutter="0" w:footer="0" w:header="0"/>
        </w:sectPr>
      </w:pPr>
    </w:p>
    <w:bookmarkStart w:id="59" w:name="page60"/>
    <w:bookmarkEnd w:id="59"/>
    <w:p>
      <w:pPr>
        <w:spacing w:after="0" w:line="378" w:lineRule="exact"/>
        <w:rPr>
          <w:sz w:val="20"/>
          <w:szCs w:val="20"/>
          <w:color w:val="auto"/>
        </w:rPr>
      </w:pPr>
    </w:p>
    <w:p>
      <w:pPr>
        <w:jc w:val="both"/>
        <w:ind w:left="240" w:right="60" w:firstLine="630"/>
        <w:spacing w:after="0" w:line="211" w:lineRule="auto"/>
        <w:tabs>
          <w:tab w:leader="none" w:pos="126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xml:space="preserve"> The right to indemnification or advancement of expenses as granted by this Article EIGHTH shall be enforceable by lndemnitee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lndemnitee has not met the applicable standard of conduct. In any suit brought by Indemnitee to enforce a right to indemnification, or brought by the Corporation to recover an advancement of expenses pursuant to the terms of an undertaking, the Corporation shall have the burden of proving that lndemnitee is not entitled to be indemnified, or to such advancement of expenses, under this Article EIGHTH. Indemnitee's expenses (including attorneys' fees) reasonably incurred in connection with successfully establishing Indemnitee's right to indemnification, in whole or in part, in any such proceeding shall also be indemnified by the Corporation. Notwithstanding the foregoing, in any suit brought by Indemnitee to enforce a right to indemnification hereunder it shall be a defense that the Indemnitee has not met any applicable standard for indemnification set forth in the General Corporation Law of the State of Delaware.</w:t>
      </w:r>
    </w:p>
    <w:p>
      <w:pPr>
        <w:spacing w:after="0" w:line="193" w:lineRule="exact"/>
        <w:rPr>
          <w:rFonts w:ascii="Times New Roman" w:cs="Times New Roman" w:eastAsia="Times New Roman" w:hAnsi="Times New Roman"/>
          <w:sz w:val="20"/>
          <w:szCs w:val="20"/>
          <w:color w:val="auto"/>
        </w:rPr>
      </w:pPr>
    </w:p>
    <w:p>
      <w:pPr>
        <w:jc w:val="both"/>
        <w:ind w:left="240" w:right="40" w:firstLine="625"/>
        <w:spacing w:after="0" w:line="215" w:lineRule="auto"/>
        <w:tabs>
          <w:tab w:leader="none" w:pos="125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xml:space="preserve"> Notwithstanding anything to the contrary in this Article EIGHTH, except as set forth in Section 7 of this Article EIGHTH, the Corporation shall not indemnify an lndemnitee pursuant to this Article EIGHTH in connection with a proceeding (or part thereof) initiated by such Indemnitee unless the initiation thereof was approved by the Board of Directors of the Corporation. Notwithstanding anything to the contrary in this Article EIGHTH, the Corporation shall not indemnify an lndemnitee to the extent such lndemnitee is reimbursed from the proceeds of insurance, and in the event the Corporation makes any indemnification payments to an lndemnitee and such Indemnitee is subsequently reimbursed from the proceeds of insurance, such lndemnitee shall promptly refund indemnification payments to the Corporation to the extent of such insurance reimbursement.</w:t>
      </w:r>
    </w:p>
    <w:p>
      <w:pPr>
        <w:spacing w:after="0" w:line="187" w:lineRule="exact"/>
        <w:rPr>
          <w:rFonts w:ascii="Times New Roman" w:cs="Times New Roman" w:eastAsia="Times New Roman" w:hAnsi="Times New Roman"/>
          <w:sz w:val="20"/>
          <w:szCs w:val="20"/>
          <w:color w:val="auto"/>
        </w:rPr>
      </w:pPr>
    </w:p>
    <w:p>
      <w:pPr>
        <w:jc w:val="both"/>
        <w:ind w:left="240" w:right="140" w:firstLine="629"/>
        <w:spacing w:after="0" w:line="220" w:lineRule="auto"/>
        <w:tabs>
          <w:tab w:leader="none" w:pos="12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Amendment.</w:t>
      </w:r>
      <w:r>
        <w:rPr>
          <w:rFonts w:ascii="Times New Roman" w:cs="Times New Roman" w:eastAsia="Times New Roman" w:hAnsi="Times New Roman"/>
          <w:sz w:val="20"/>
          <w:szCs w:val="20"/>
          <w:color w:val="auto"/>
        </w:rPr>
        <w:t xml:space="preserve"> No amendment, termination or repeal of this Article EIGHTH or of the relevant provisions of the General Corporation Law of the State of Delaware or any other applicable laws shall adversely affect or diminish in any way the rights of any Indemnitee to indemnification under the provisions hereof with respect to any action, suit, proceeding or investigation arising out of or relating to any actions, transactions or facts occurring prior to the final adoption of such amendment, termination or repeal.</w:t>
      </w:r>
    </w:p>
    <w:p>
      <w:pPr>
        <w:spacing w:after="0" w:line="174" w:lineRule="exact"/>
        <w:rPr>
          <w:rFonts w:ascii="Times New Roman" w:cs="Times New Roman" w:eastAsia="Times New Roman" w:hAnsi="Times New Roman"/>
          <w:sz w:val="20"/>
          <w:szCs w:val="20"/>
          <w:color w:val="auto"/>
        </w:rPr>
      </w:pPr>
    </w:p>
    <w:p>
      <w:pPr>
        <w:jc w:val="both"/>
        <w:ind w:left="240" w:firstLine="633"/>
        <w:spacing w:after="0" w:line="215" w:lineRule="auto"/>
        <w:tabs>
          <w:tab w:leader="none" w:pos="126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Rights.</w:t>
      </w:r>
      <w:r>
        <w:rPr>
          <w:rFonts w:ascii="Times New Roman" w:cs="Times New Roman" w:eastAsia="Times New Roman" w:hAnsi="Times New Roman"/>
          <w:sz w:val="20"/>
          <w:szCs w:val="20"/>
          <w:color w:val="auto"/>
        </w:rPr>
        <w:t xml:space="preserve">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lndemnitee's official capacity and as to action in any other capacity while holding office for the Corporation, and shall continue as to an lndemnitee who has ceased to be a director or officer, and shall inure to the benefit of the estate, heirs, executors and administrators of lndemnitee. Nothing contained in this Article EIGHTH shall be deemed to prohibit, and the Corporation is specifically authorized to enter into, agreements with officers and directors providing indemnification rights and procedures different from those set forth in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color w:val="auto"/>
        </w:rPr>
        <w:t>-7-</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ActiveUS 116223978v.6</w:t>
      </w:r>
    </w:p>
    <w:p>
      <w:pPr>
        <w:sectPr>
          <w:pgSz w:w="11900" w:h="16838" w:orient="portrait"/>
          <w:cols w:equalWidth="0" w:num="1">
            <w:col w:w="10620"/>
          </w:cols>
          <w:pgMar w:left="360" w:top="1440" w:right="919" w:bottom="1440" w:gutter="0" w:footer="0" w:header="0"/>
        </w:sectPr>
      </w:pPr>
    </w:p>
    <w:bookmarkStart w:id="60" w:name="page61"/>
    <w:bookmarkEnd w:id="60"/>
    <w:p>
      <w:pPr>
        <w:spacing w:after="0" w:line="392" w:lineRule="exact"/>
        <w:rPr>
          <w:sz w:val="20"/>
          <w:szCs w:val="20"/>
          <w:color w:val="auto"/>
        </w:rPr>
      </w:pPr>
    </w:p>
    <w:p>
      <w:pPr>
        <w:jc w:val="both"/>
        <w:ind w:left="260" w:right="100" w:firstLine="5"/>
        <w:spacing w:after="0" w:line="230" w:lineRule="auto"/>
        <w:rPr>
          <w:sz w:val="20"/>
          <w:szCs w:val="20"/>
          <w:color w:val="auto"/>
        </w:rPr>
      </w:pPr>
      <w:r>
        <w:rPr>
          <w:rFonts w:ascii="Times New Roman" w:cs="Times New Roman" w:eastAsia="Times New Roman" w:hAnsi="Times New Roman"/>
          <w:sz w:val="20"/>
          <w:szCs w:val="20"/>
          <w:color w:val="auto"/>
        </w:rPr>
        <w:t>EIGHTH. In addition,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 EIGHTH.</w:t>
      </w:r>
    </w:p>
    <w:p>
      <w:pPr>
        <w:spacing w:after="0" w:line="176" w:lineRule="exact"/>
        <w:rPr>
          <w:sz w:val="20"/>
          <w:szCs w:val="20"/>
          <w:color w:val="auto"/>
        </w:rPr>
      </w:pPr>
    </w:p>
    <w:p>
      <w:pPr>
        <w:jc w:val="both"/>
        <w:ind w:left="260" w:right="100" w:firstLine="639"/>
        <w:spacing w:after="0" w:line="215" w:lineRule="auto"/>
        <w:tabs>
          <w:tab w:leader="none" w:pos="123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Partial Indemnification</w:t>
      </w:r>
      <w:r>
        <w:rPr>
          <w:rFonts w:ascii="Times New Roman" w:cs="Times New Roman" w:eastAsia="Times New Roman" w:hAnsi="Times New Roman"/>
          <w:sz w:val="20"/>
          <w:szCs w:val="20"/>
          <w:color w:val="auto"/>
        </w:rPr>
        <w:t>. If an Indemnitee is entitled under any provision of this Article EIGHTH to indemnification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lndemnitee is entitled.</w:t>
      </w:r>
    </w:p>
    <w:p>
      <w:pPr>
        <w:spacing w:after="0" w:line="187" w:lineRule="exact"/>
        <w:rPr>
          <w:rFonts w:ascii="Times New Roman" w:cs="Times New Roman" w:eastAsia="Times New Roman" w:hAnsi="Times New Roman"/>
          <w:sz w:val="20"/>
          <w:szCs w:val="20"/>
          <w:color w:val="auto"/>
        </w:rPr>
      </w:pPr>
    </w:p>
    <w:p>
      <w:pPr>
        <w:jc w:val="both"/>
        <w:ind w:left="280" w:right="40" w:firstLine="626"/>
        <w:spacing w:after="0" w:line="217" w:lineRule="auto"/>
        <w:tabs>
          <w:tab w:leader="none" w:pos="127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 of the State of Delaware.</w:t>
      </w:r>
    </w:p>
    <w:p>
      <w:pPr>
        <w:spacing w:after="0" w:line="188" w:lineRule="exact"/>
        <w:rPr>
          <w:rFonts w:ascii="Times New Roman" w:cs="Times New Roman" w:eastAsia="Times New Roman" w:hAnsi="Times New Roman"/>
          <w:sz w:val="20"/>
          <w:szCs w:val="20"/>
          <w:color w:val="auto"/>
        </w:rPr>
      </w:pPr>
    </w:p>
    <w:p>
      <w:pPr>
        <w:jc w:val="both"/>
        <w:ind w:left="280" w:firstLine="626"/>
        <w:spacing w:after="0" w:line="215" w:lineRule="auto"/>
        <w:tabs>
          <w:tab w:leader="none" w:pos="126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Savings Clause</w:t>
      </w:r>
      <w:r>
        <w:rPr>
          <w:rFonts w:ascii="Times New Roman" w:cs="Times New Roman" w:eastAsia="Times New Roman" w:hAnsi="Times New Roman"/>
          <w:sz w:val="20"/>
          <w:szCs w:val="20"/>
          <w:color w:val="auto"/>
        </w:rPr>
        <w:t>. If this Article EIGHTH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w:t>
      </w:r>
    </w:p>
    <w:p>
      <w:pPr>
        <w:spacing w:after="0" w:line="204" w:lineRule="exact"/>
        <w:rPr>
          <w:rFonts w:ascii="Times New Roman" w:cs="Times New Roman" w:eastAsia="Times New Roman" w:hAnsi="Times New Roman"/>
          <w:sz w:val="20"/>
          <w:szCs w:val="20"/>
          <w:color w:val="auto"/>
        </w:rPr>
      </w:pPr>
    </w:p>
    <w:p>
      <w:pPr>
        <w:ind w:left="280" w:right="120" w:firstLine="626"/>
        <w:spacing w:after="0" w:line="233" w:lineRule="auto"/>
        <w:tabs>
          <w:tab w:leader="none" w:pos="126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Terms used herein and defined in Section 145(h) and Section 145(i) of the General Corporation Law of the State of Delaware shall have the respective meanings assigned to such terms in such Section 145(h) and Section 145(i).</w:t>
      </w:r>
    </w:p>
    <w:p>
      <w:pPr>
        <w:spacing w:after="0" w:line="188" w:lineRule="exact"/>
        <w:rPr>
          <w:sz w:val="20"/>
          <w:szCs w:val="20"/>
          <w:color w:val="auto"/>
        </w:rPr>
      </w:pPr>
    </w:p>
    <w:p>
      <w:pPr>
        <w:ind w:left="280" w:right="100" w:firstLine="626"/>
        <w:spacing w:after="0"/>
        <w:rPr>
          <w:sz w:val="20"/>
          <w:szCs w:val="20"/>
          <w:color w:val="auto"/>
        </w:rPr>
      </w:pPr>
      <w:r>
        <w:rPr>
          <w:rFonts w:ascii="Times New Roman" w:cs="Times New Roman" w:eastAsia="Times New Roman" w:hAnsi="Times New Roman"/>
          <w:sz w:val="20"/>
          <w:szCs w:val="20"/>
          <w:color w:val="auto"/>
        </w:rPr>
        <w:t>NINTH: This Article NINTH is inserted for the management of the business and for the conduct of the affairs of the Corporation.</w:t>
      </w:r>
    </w:p>
    <w:p>
      <w:pPr>
        <w:spacing w:after="0" w:line="188" w:lineRule="exact"/>
        <w:rPr>
          <w:sz w:val="20"/>
          <w:szCs w:val="20"/>
          <w:color w:val="auto"/>
        </w:rPr>
      </w:pPr>
    </w:p>
    <w:p>
      <w:pPr>
        <w:ind w:left="280" w:right="20" w:firstLine="628"/>
        <w:spacing w:after="0"/>
        <w:tabs>
          <w:tab w:leader="none" w:pos="1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Powers.</w:t>
      </w:r>
      <w:r>
        <w:rPr>
          <w:rFonts w:ascii="Times New Roman" w:cs="Times New Roman" w:eastAsia="Times New Roman" w:hAnsi="Times New Roman"/>
          <w:sz w:val="20"/>
          <w:szCs w:val="20"/>
          <w:color w:val="auto"/>
        </w:rPr>
        <w:t xml:space="preserve"> The business and affairs of the Corporation shall be managed by or under the direction of the Board of Directors.</w:t>
      </w:r>
    </w:p>
    <w:p>
      <w:pPr>
        <w:spacing w:after="0" w:line="188" w:lineRule="exact"/>
        <w:rPr>
          <w:rFonts w:ascii="Times New Roman" w:cs="Times New Roman" w:eastAsia="Times New Roman" w:hAnsi="Times New Roman"/>
          <w:sz w:val="20"/>
          <w:szCs w:val="20"/>
          <w:color w:val="auto"/>
        </w:rPr>
      </w:pPr>
    </w:p>
    <w:p>
      <w:pPr>
        <w:ind w:left="280" w:right="180" w:firstLine="626"/>
        <w:spacing w:after="0" w:line="233" w:lineRule="auto"/>
        <w:tabs>
          <w:tab w:leader="none" w:pos="125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Directors: Election of Directors.</w:t>
      </w:r>
      <w:r>
        <w:rPr>
          <w:rFonts w:ascii="Times New Roman" w:cs="Times New Roman" w:eastAsia="Times New Roman" w:hAnsi="Times New Roman"/>
          <w:sz w:val="20"/>
          <w:szCs w:val="20"/>
          <w:color w:val="auto"/>
        </w:rPr>
        <w:t xml:space="preserve"> Subject to the rights of holders of any series of Preferred Stock to elect directors, the number of directors of the Corporation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ActiveUS ! 16223978v.6</w:t>
      </w:r>
    </w:p>
    <w:p>
      <w:pPr>
        <w:sectPr>
          <w:pgSz w:w="11900" w:h="16838" w:orient="portrait"/>
          <w:cols w:equalWidth="0" w:num="1">
            <w:col w:w="10660"/>
          </w:cols>
          <w:pgMar w:left="360" w:top="1440" w:right="879" w:bottom="1440" w:gutter="0" w:footer="0" w:header="0"/>
        </w:sectPr>
      </w:pPr>
    </w:p>
    <w:bookmarkStart w:id="61" w:name="page62"/>
    <w:bookmarkEnd w:id="61"/>
    <w:p>
      <w:pPr>
        <w:spacing w:after="0" w:line="392" w:lineRule="exact"/>
        <w:rPr>
          <w:sz w:val="20"/>
          <w:szCs w:val="20"/>
          <w:color w:val="auto"/>
        </w:rPr>
      </w:pPr>
    </w:p>
    <w:p>
      <w:pPr>
        <w:ind w:left="280" w:right="180" w:firstLine="7"/>
        <w:spacing w:after="0"/>
        <w:rPr>
          <w:sz w:val="20"/>
          <w:szCs w:val="20"/>
          <w:color w:val="auto"/>
        </w:rPr>
      </w:pPr>
      <w:r>
        <w:rPr>
          <w:rFonts w:ascii="Times New Roman" w:cs="Times New Roman" w:eastAsia="Times New Roman" w:hAnsi="Times New Roman"/>
          <w:sz w:val="20"/>
          <w:szCs w:val="20"/>
          <w:color w:val="auto"/>
        </w:rPr>
        <w:t>be established by the Board of Directors. Election of directors need not be by written ballot, except as and to the extent provided in the By-laws of the Corporation.</w:t>
      </w:r>
    </w:p>
    <w:p>
      <w:pPr>
        <w:spacing w:after="0" w:line="188" w:lineRule="exact"/>
        <w:rPr>
          <w:sz w:val="20"/>
          <w:szCs w:val="20"/>
          <w:color w:val="auto"/>
        </w:rPr>
      </w:pPr>
    </w:p>
    <w:p>
      <w:pPr>
        <w:jc w:val="both"/>
        <w:ind w:left="280" w:right="60" w:firstLine="628"/>
        <w:spacing w:after="0" w:line="220" w:lineRule="auto"/>
        <w:tabs>
          <w:tab w:leader="none" w:pos="12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Classes of Directors.</w:t>
      </w:r>
      <w:r>
        <w:rPr>
          <w:rFonts w:ascii="Times New Roman" w:cs="Times New Roman" w:eastAsia="Times New Roman" w:hAnsi="Times New Roman"/>
          <w:sz w:val="20"/>
          <w:szCs w:val="20"/>
          <w:color w:val="auto"/>
        </w:rPr>
        <w:t xml:space="preserve"> Subject to the rights of holders of any series of Preferred Stock to elect directors, the Board of Directors shall be and is divided into three classes, designated Class I, Class II and Class III. Each class shall consist, as nearly as may be possible, of one-third of the total number of directors constituting the entire Board of Directors. The Board of Directors is authorized to assign members of the Board of Directors already in office to Class I, Class II or Class Ill at the time such classification becomes effective.</w:t>
      </w:r>
    </w:p>
    <w:p>
      <w:pPr>
        <w:spacing w:after="0" w:line="187" w:lineRule="exact"/>
        <w:rPr>
          <w:rFonts w:ascii="Times New Roman" w:cs="Times New Roman" w:eastAsia="Times New Roman" w:hAnsi="Times New Roman"/>
          <w:sz w:val="20"/>
          <w:szCs w:val="20"/>
          <w:color w:val="auto"/>
        </w:rPr>
      </w:pPr>
    </w:p>
    <w:p>
      <w:pPr>
        <w:jc w:val="both"/>
        <w:ind w:left="280" w:firstLine="627"/>
        <w:spacing w:after="0" w:line="209" w:lineRule="auto"/>
        <w:tabs>
          <w:tab w:leader="none" w:pos="1265"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Office</w:t>
      </w:r>
      <w:r>
        <w:rPr>
          <w:rFonts w:ascii="Times New Roman" w:cs="Times New Roman" w:eastAsia="Times New Roman" w:hAnsi="Times New Roman"/>
          <w:sz w:val="20"/>
          <w:szCs w:val="20"/>
          <w:color w:val="auto"/>
        </w:rPr>
        <w:t xml:space="preserve">. 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director initially assigned to Class I shall serve for a term expiring at the Corporation's first annual meeting of stockholders held after the effectiveness of this Restated Certificate of Incorporation; each director initially assigned to Class II shall serve for a term expiring at the Corporation's second annual meeting of stockholders held after the effectiveness of this Restated Certificate of Incorporation; and each director initially assigned to Class II shall serve for a term expiring at the Corporation's third annual meeting of stockholders held after the effectiveness of this Restated Certificate of Incorporation;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term of each director shall continue until the election and qualification of his or her successor</w:t>
      </w:r>
    </w:p>
    <w:p>
      <w:pPr>
        <w:spacing w:after="0" w:line="1" w:lineRule="exact"/>
        <w:rPr>
          <w:rFonts w:ascii="Times New Roman" w:cs="Times New Roman" w:eastAsia="Times New Roman" w:hAnsi="Times New Roman"/>
          <w:sz w:val="20"/>
          <w:szCs w:val="20"/>
          <w:color w:val="auto"/>
        </w:rPr>
      </w:pPr>
    </w:p>
    <w:p>
      <w:pPr>
        <w:ind w:left="2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be subject to his or her earlier death, resignation or removal.</w:t>
      </w:r>
    </w:p>
    <w:p>
      <w:pPr>
        <w:spacing w:after="0" w:line="193" w:lineRule="exact"/>
        <w:rPr>
          <w:rFonts w:ascii="Times New Roman" w:cs="Times New Roman" w:eastAsia="Times New Roman" w:hAnsi="Times New Roman"/>
          <w:sz w:val="20"/>
          <w:szCs w:val="20"/>
          <w:color w:val="auto"/>
        </w:rPr>
      </w:pPr>
    </w:p>
    <w:p>
      <w:pPr>
        <w:ind w:left="1520" w:hanging="614"/>
        <w:spacing w:after="0"/>
        <w:tabs>
          <w:tab w:leader="none" w:pos="152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 xml:space="preserve"> The greater of (a) a majority of the directors at any time in office and</w:t>
      </w:r>
    </w:p>
    <w:p>
      <w:pPr>
        <w:spacing w:after="0" w:line="8" w:lineRule="exact"/>
        <w:rPr>
          <w:rFonts w:ascii="Times New Roman" w:cs="Times New Roman" w:eastAsia="Times New Roman" w:hAnsi="Times New Roman"/>
          <w:sz w:val="20"/>
          <w:szCs w:val="20"/>
          <w:color w:val="auto"/>
        </w:rPr>
      </w:pPr>
    </w:p>
    <w:p>
      <w:pPr>
        <w:jc w:val="both"/>
        <w:ind w:left="280" w:right="100" w:firstLine="4"/>
        <w:spacing w:after="0" w:line="216" w:lineRule="auto"/>
        <w:tabs>
          <w:tab w:leader="none" w:pos="56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one-third of the number of directors fixed pursuant to Section 2 of this Article NINTH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189" w:lineRule="exact"/>
        <w:rPr>
          <w:rFonts w:ascii="Times New Roman" w:cs="Times New Roman" w:eastAsia="Times New Roman" w:hAnsi="Times New Roman"/>
          <w:sz w:val="20"/>
          <w:szCs w:val="20"/>
          <w:color w:val="auto"/>
        </w:rPr>
      </w:pPr>
    </w:p>
    <w:p>
      <w:pPr>
        <w:jc w:val="both"/>
        <w:ind w:left="280" w:right="80" w:firstLine="628"/>
        <w:spacing w:after="0" w:line="226" w:lineRule="auto"/>
        <w:tabs>
          <w:tab w:leader="none" w:pos="126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 at Meeting.</w:t>
      </w:r>
      <w:r>
        <w:rPr>
          <w:rFonts w:ascii="Times New Roman" w:cs="Times New Roman" w:eastAsia="Times New Roman" w:hAnsi="Times New Roman"/>
          <w:sz w:val="20"/>
          <w:szCs w:val="20"/>
          <w:color w:val="auto"/>
        </w:rPr>
        <w:t xml:space="preserve">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spacing w:after="0" w:line="187" w:lineRule="exact"/>
        <w:rPr>
          <w:rFonts w:ascii="Times New Roman" w:cs="Times New Roman" w:eastAsia="Times New Roman" w:hAnsi="Times New Roman"/>
          <w:sz w:val="20"/>
          <w:szCs w:val="20"/>
          <w:color w:val="auto"/>
        </w:rPr>
      </w:pPr>
    </w:p>
    <w:p>
      <w:pPr>
        <w:jc w:val="both"/>
        <w:ind w:left="280" w:right="160" w:firstLine="622"/>
        <w:spacing w:after="0" w:line="226" w:lineRule="auto"/>
        <w:tabs>
          <w:tab w:leader="none" w:pos="1261"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Removal.</w:t>
      </w:r>
      <w:r>
        <w:rPr>
          <w:rFonts w:ascii="Times New Roman" w:cs="Times New Roman" w:eastAsia="Times New Roman" w:hAnsi="Times New Roman"/>
          <w:sz w:val="20"/>
          <w:szCs w:val="20"/>
          <w:color w:val="auto"/>
        </w:rPr>
        <w:t xml:space="preserve"> Subject to the rights of holders of any series of Preferred Stock, directors of the Corporation may be removed only for cause and only by the affirmative vote of the holders of at least seventy-five percent (75%) of the votes which all the stockholders would be entitled to cast in any annual election of directors or class of directors.</w:t>
      </w:r>
    </w:p>
    <w:p>
      <w:pPr>
        <w:spacing w:after="0" w:line="187" w:lineRule="exact"/>
        <w:rPr>
          <w:rFonts w:ascii="Times New Roman" w:cs="Times New Roman" w:eastAsia="Times New Roman" w:hAnsi="Times New Roman"/>
          <w:sz w:val="20"/>
          <w:szCs w:val="20"/>
          <w:color w:val="auto"/>
        </w:rPr>
      </w:pPr>
    </w:p>
    <w:p>
      <w:pPr>
        <w:jc w:val="both"/>
        <w:ind w:left="280" w:right="80" w:firstLine="624"/>
        <w:spacing w:after="0" w:line="222" w:lineRule="auto"/>
        <w:tabs>
          <w:tab w:leader="none" w:pos="1263"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xml:space="preserve">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A director elected to fill a vacancy shall hold office until the next election of the class for which such director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-9-</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ActiveUS I 16223978v.6</w:t>
      </w:r>
    </w:p>
    <w:p>
      <w:pPr>
        <w:sectPr>
          <w:pgSz w:w="11900" w:h="16838" w:orient="portrait"/>
          <w:cols w:equalWidth="0" w:num="1">
            <w:col w:w="10660"/>
          </w:cols>
          <w:pgMar w:left="360" w:top="1440" w:right="879" w:bottom="1440" w:gutter="0" w:footer="0" w:header="0"/>
        </w:sectPr>
      </w:pPr>
    </w:p>
    <w:bookmarkStart w:id="62" w:name="page63"/>
    <w:bookmarkEnd w:id="62"/>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been chosen, subject to the election and qualification of a successor and to such director's earlier death, resignation or removal.</w:t>
      </w:r>
    </w:p>
    <w:p>
      <w:pPr>
        <w:spacing w:after="0" w:line="229" w:lineRule="exact"/>
        <w:rPr>
          <w:sz w:val="20"/>
          <w:szCs w:val="20"/>
          <w:color w:val="auto"/>
        </w:rPr>
      </w:pPr>
    </w:p>
    <w:p>
      <w:pPr>
        <w:jc w:val="both"/>
        <w:ind w:left="260" w:right="80" w:firstLine="629"/>
        <w:spacing w:after="0" w:line="226" w:lineRule="auto"/>
        <w:tabs>
          <w:tab w:leader="none" w:pos="125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Nominations and Introduction of Business. Etc</w:t>
      </w:r>
      <w:r>
        <w:rPr>
          <w:rFonts w:ascii="Times New Roman" w:cs="Times New Roman" w:eastAsia="Times New Roman" w:hAnsi="Times New Roman"/>
          <w:sz w:val="20"/>
          <w:szCs w:val="20"/>
          <w:color w:val="auto"/>
        </w:rPr>
        <w:t>. Advance notice of stockholder nominations for election of directors and other business to be brought by stockholders before a meeting of stockholders shall be given in the manner provided by the By laws of the Corporation.</w:t>
      </w:r>
    </w:p>
    <w:p>
      <w:pPr>
        <w:spacing w:after="0" w:line="187" w:lineRule="exact"/>
        <w:rPr>
          <w:rFonts w:ascii="Times New Roman" w:cs="Times New Roman" w:eastAsia="Times New Roman" w:hAnsi="Times New Roman"/>
          <w:sz w:val="20"/>
          <w:szCs w:val="20"/>
          <w:color w:val="auto"/>
        </w:rPr>
      </w:pPr>
    </w:p>
    <w:p>
      <w:pPr>
        <w:jc w:val="both"/>
        <w:ind w:left="260" w:right="40" w:firstLine="640"/>
        <w:spacing w:after="0" w:line="220" w:lineRule="auto"/>
        <w:tabs>
          <w:tab w:leader="none" w:pos="125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Article.</w:t>
      </w:r>
      <w:r>
        <w:rPr>
          <w:rFonts w:ascii="Times New Roman" w:cs="Times New Roman" w:eastAsia="Times New Roman" w:hAnsi="Times New Roman"/>
          <w:sz w:val="20"/>
          <w:szCs w:val="20"/>
          <w:color w:val="auto"/>
        </w:rPr>
        <w:t xml:space="preserve"> Notwithstanding any other provisions of law, this Certificate of Incorporation or the By-laws of the Corporation, and notwithstanding the fact that a lesser percentage may be specified by law, the affirmative vote of the holders of at least seventy-five percent (75%) of the votes which all the stockholders would be entitled to cast in any annual election of directors or class of directors shall be required to amend or repeal, or to adopt any provision inconsistent with, this Article NINTH.</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TENTH: Stockholders of the Corporation may not take any action by written consent in lieu of a meeting.</w:t>
      </w:r>
    </w:p>
    <w:p>
      <w:pPr>
        <w:ind w:left="260"/>
        <w:spacing w:after="0" w:line="204" w:lineRule="auto"/>
        <w:rPr>
          <w:sz w:val="20"/>
          <w:szCs w:val="20"/>
          <w:color w:val="auto"/>
        </w:rPr>
      </w:pPr>
      <w:r>
        <w:rPr>
          <w:rFonts w:ascii="Times New Roman" w:cs="Times New Roman" w:eastAsia="Times New Roman" w:hAnsi="Times New Roman"/>
          <w:sz w:val="20"/>
          <w:szCs w:val="20"/>
          <w:color w:val="auto"/>
        </w:rPr>
        <w:t>Notwithstanding any other provisions of law, this Certificate of lncorporation or the By-laws of the Corporation, and notwithstanding the fact that a lesser percentage may be specified by law, the affirmative vote of the holders of at least seventy-</w:t>
      </w:r>
    </w:p>
    <w:p>
      <w:pPr>
        <w:spacing w:after="0" w:line="1" w:lineRule="exact"/>
        <w:rPr>
          <w:sz w:val="20"/>
          <w:szCs w:val="20"/>
          <w:color w:val="auto"/>
        </w:rPr>
      </w:pPr>
    </w:p>
    <w:p>
      <w:pPr>
        <w:ind w:left="260"/>
        <w:spacing w:after="0" w:line="228" w:lineRule="auto"/>
        <w:rPr>
          <w:sz w:val="20"/>
          <w:szCs w:val="20"/>
          <w:color w:val="auto"/>
        </w:rPr>
      </w:pPr>
      <w:r>
        <w:rPr>
          <w:rFonts w:ascii="Times New Roman" w:cs="Times New Roman" w:eastAsia="Times New Roman" w:hAnsi="Times New Roman"/>
          <w:sz w:val="20"/>
          <w:szCs w:val="20"/>
          <w:color w:val="auto"/>
        </w:rPr>
        <w:t>five percent (75%) of the votes which all the stockholders would be entitled to cast in any annual election of directors or class of directors shall be required to amend or repeal, or to adopt any provision inconsistent with, this Article TENTH.</w:t>
      </w:r>
    </w:p>
    <w:p>
      <w:pPr>
        <w:spacing w:after="0" w:line="176" w:lineRule="exact"/>
        <w:rPr>
          <w:sz w:val="20"/>
          <w:szCs w:val="20"/>
          <w:color w:val="auto"/>
        </w:rPr>
      </w:pPr>
    </w:p>
    <w:p>
      <w:pPr>
        <w:jc w:val="both"/>
        <w:ind w:left="260" w:firstLine="640"/>
        <w:spacing w:after="0" w:line="234" w:lineRule="auto"/>
        <w:rPr>
          <w:sz w:val="20"/>
          <w:szCs w:val="20"/>
          <w:color w:val="auto"/>
        </w:rPr>
      </w:pPr>
      <w:r>
        <w:rPr>
          <w:rFonts w:ascii="Times New Roman" w:cs="Times New Roman" w:eastAsia="Times New Roman" w:hAnsi="Times New Roman"/>
          <w:sz w:val="19"/>
          <w:szCs w:val="19"/>
          <w:color w:val="auto"/>
        </w:rPr>
        <w:t>ELEVENTH: Special meetings of stockholders for any purpose or purposes may be called at any time by only the Board of Directors, the Chairman of the Board or the Chief Executive Officer, and may not be called by any other person or persons.</w:t>
      </w:r>
    </w:p>
    <w:p>
      <w:pPr>
        <w:spacing w:after="0" w:line="1" w:lineRule="exact"/>
        <w:rPr>
          <w:sz w:val="20"/>
          <w:szCs w:val="20"/>
          <w:color w:val="auto"/>
        </w:rPr>
      </w:pPr>
    </w:p>
    <w:p>
      <w:pPr>
        <w:ind w:left="260"/>
        <w:spacing w:after="0" w:line="204" w:lineRule="auto"/>
        <w:rPr>
          <w:sz w:val="20"/>
          <w:szCs w:val="20"/>
          <w:color w:val="auto"/>
        </w:rPr>
      </w:pPr>
      <w:r>
        <w:rPr>
          <w:rFonts w:ascii="Times New Roman" w:cs="Times New Roman" w:eastAsia="Times New Roman" w:hAnsi="Times New Roman"/>
          <w:sz w:val="20"/>
          <w:szCs w:val="20"/>
          <w:color w:val="auto"/>
        </w:rPr>
        <w:t>Business transacted at any special meeting of stockholders shall be limited to matters relating to the purpose or purposes stated in the notice of meeting. Notwithstanding any other provisions of law, this Certificate of Incorporation or the By-laws of the</w:t>
      </w:r>
    </w:p>
    <w:p>
      <w:pPr>
        <w:ind w:left="260"/>
        <w:spacing w:after="0" w:line="211" w:lineRule="auto"/>
        <w:rPr>
          <w:sz w:val="20"/>
          <w:szCs w:val="20"/>
          <w:color w:val="auto"/>
        </w:rPr>
      </w:pPr>
      <w:r>
        <w:rPr>
          <w:rFonts w:ascii="Times New Roman" w:cs="Times New Roman" w:eastAsia="Times New Roman" w:hAnsi="Times New Roman"/>
          <w:sz w:val="20"/>
          <w:szCs w:val="20"/>
          <w:color w:val="auto"/>
        </w:rPr>
        <w:t>Corporation, and notwithstanding the fact that a lesser percentage may be specified by law, the affirmative vote of the holders of</w:t>
      </w:r>
    </w:p>
    <w:p>
      <w:pPr>
        <w:spacing w:after="0" w:line="1" w:lineRule="exact"/>
        <w:rPr>
          <w:sz w:val="20"/>
          <w:szCs w:val="20"/>
          <w:color w:val="auto"/>
        </w:rPr>
      </w:pPr>
    </w:p>
    <w:p>
      <w:pPr>
        <w:ind w:left="260"/>
        <w:spacing w:after="0" w:line="204" w:lineRule="auto"/>
        <w:rPr>
          <w:sz w:val="20"/>
          <w:szCs w:val="20"/>
          <w:color w:val="auto"/>
        </w:rPr>
      </w:pPr>
      <w:r>
        <w:rPr>
          <w:rFonts w:ascii="Times New Roman" w:cs="Times New Roman" w:eastAsia="Times New Roman" w:hAnsi="Times New Roman"/>
          <w:sz w:val="20"/>
          <w:szCs w:val="20"/>
          <w:color w:val="auto"/>
        </w:rPr>
        <w:t>at least seventy-five percent (75%) of the votes which all the stockholders would be entitled to cast in any annual election of directors or class of directors shall be required to amend or repeal, or to adopt any provision inconsistent with, this Article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ELEVENTH.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-10-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ActiveUS 116223978v.6</w:t>
      </w:r>
    </w:p>
    <w:p>
      <w:pPr>
        <w:sectPr>
          <w:pgSz w:w="11900" w:h="16838" w:orient="portrait"/>
          <w:cols w:equalWidth="0" w:num="1">
            <w:col w:w="10560"/>
          </w:cols>
          <w:pgMar w:left="360" w:top="1440" w:right="979" w:bottom="1440" w:gutter="0" w:footer="0" w:header="0"/>
        </w:sectPr>
      </w:pPr>
    </w:p>
    <w:bookmarkStart w:id="63" w:name="page64"/>
    <w:bookmarkEnd w:id="63"/>
    <w:p>
      <w:pPr>
        <w:spacing w:after="0" w:line="351" w:lineRule="exact"/>
        <w:rPr>
          <w:sz w:val="20"/>
          <w:szCs w:val="20"/>
          <w:color w:val="auto"/>
        </w:rPr>
      </w:pPr>
    </w:p>
    <w:p>
      <w:pPr>
        <w:jc w:val="both"/>
        <w:ind w:left="160" w:right="720" w:firstLine="618"/>
        <w:spacing w:after="0" w:line="249" w:lineRule="auto"/>
        <w:rPr>
          <w:sz w:val="20"/>
          <w:szCs w:val="20"/>
          <w:color w:val="auto"/>
        </w:rPr>
      </w:pPr>
      <w:r>
        <w:rPr>
          <w:rFonts w:ascii="Times New Roman" w:cs="Times New Roman" w:eastAsia="Times New Roman" w:hAnsi="Times New Roman"/>
          <w:sz w:val="19"/>
          <w:szCs w:val="19"/>
          <w:color w:val="auto"/>
        </w:rPr>
        <w:t>IN WITNESS WHEREOF, this Restated Certificate of Incorporation, which restates, integrates and amends the certificate of incorporation of the Corporation, and which has been duly adopted in accordance with Sections 228, 242 and 245 of the General Corporation Law of the State of Delaware, has been executed by its duly authorized officer this I5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April, 2014.</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CERULEAN PHARMA INC.</w:t>
      </w:r>
    </w:p>
    <w:p>
      <w:pPr>
        <w:spacing w:after="0" w:line="200" w:lineRule="exact"/>
        <w:rPr>
          <w:sz w:val="20"/>
          <w:szCs w:val="20"/>
          <w:color w:val="auto"/>
        </w:rPr>
      </w:pPr>
    </w:p>
    <w:p>
      <w:pPr>
        <w:spacing w:after="0" w:line="313" w:lineRule="exact"/>
        <w:rPr>
          <w:sz w:val="20"/>
          <w:szCs w:val="20"/>
          <w:color w:val="auto"/>
        </w:rPr>
      </w:pPr>
    </w:p>
    <w:p>
      <w:pPr>
        <w:ind w:left="8800"/>
        <w:spacing w:after="0"/>
        <w:tabs>
          <w:tab w:leader="none" w:pos="92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Oliver Fetzer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22860</wp:posOffset>
            </wp:positionV>
            <wp:extent cx="12515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20"/>
          <w:szCs w:val="20"/>
          <w:color w:val="auto"/>
        </w:rPr>
        <w:t>Name: Oliver Fetzer</w:t>
      </w:r>
    </w:p>
    <w:p>
      <w:pPr>
        <w:spacing w:after="0" w:line="21"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20"/>
          <w:szCs w:val="20"/>
          <w:color w:val="auto"/>
        </w:rPr>
        <w:t>Title:  Chief  Executive</w:t>
      </w:r>
    </w:p>
    <w:p>
      <w:pPr>
        <w:ind w:left="9240"/>
        <w:spacing w:after="0"/>
        <w:rPr>
          <w:sz w:val="20"/>
          <w:szCs w:val="20"/>
          <w:color w:val="auto"/>
        </w:rPr>
      </w:pPr>
      <w:r>
        <w:rPr>
          <w:rFonts w:ascii="Times New Roman" w:cs="Times New Roman" w:eastAsia="Times New Roman" w:hAnsi="Times New Roman"/>
          <w:sz w:val="20"/>
          <w:szCs w:val="20"/>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ActivcUS I I 6223978v.6</w:t>
      </w:r>
    </w:p>
    <w:p>
      <w:pPr>
        <w:sectPr>
          <w:pgSz w:w="11900" w:h="16838" w:orient="portrait"/>
          <w:cols w:equalWidth="0" w:num="1">
            <w:col w:w="11200"/>
          </w:cols>
          <w:pgMar w:left="360" w:top="144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66" w:lineRule="exact"/>
        <w:rPr>
          <w:sz w:val="20"/>
          <w:szCs w:val="20"/>
          <w:color w:val="auto"/>
        </w:rPr>
      </w:pPr>
    </w:p>
    <w:p>
      <w:pPr>
        <w:ind w:left="900" w:hanging="442"/>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44" w:lineRule="exact"/>
        <w:rPr>
          <w:rFonts w:ascii="Arial" w:cs="Arial" w:eastAsia="Arial" w:hAnsi="Arial"/>
          <w:sz w:val="18"/>
          <w:szCs w:val="18"/>
          <w:color w:val="auto"/>
        </w:rPr>
      </w:pPr>
    </w:p>
    <w:p>
      <w:pPr>
        <w:jc w:val="both"/>
        <w:ind w:left="900" w:right="220" w:hanging="442"/>
        <w:spacing w:after="0" w:line="233"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8"/>
          <w:szCs w:val="18"/>
          <w:color w:val="auto"/>
        </w:rPr>
      </w:pPr>
    </w:p>
    <w:p>
      <w:pPr>
        <w:jc w:val="both"/>
        <w:ind w:left="900" w:right="220" w:hanging="442"/>
        <w:spacing w:after="0" w:line="22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900" w:right="220" w:hanging="442"/>
        <w:spacing w:after="0" w:line="233"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Arial" w:cs="Arial" w:eastAsia="Arial" w:hAnsi="Arial"/>
          <w:sz w:val="18"/>
          <w:szCs w:val="18"/>
          <w:color w:val="auto"/>
        </w:rPr>
      </w:pPr>
    </w:p>
    <w:p>
      <w:pPr>
        <w:jc w:val="both"/>
        <w:ind w:left="1440" w:right="260" w:hanging="550"/>
        <w:spacing w:after="0" w:line="225" w:lineRule="auto"/>
        <w:tabs>
          <w:tab w:leader="none" w:pos="1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left="1440" w:right="280" w:hanging="550"/>
        <w:spacing w:after="0" w:line="227" w:lineRule="auto"/>
        <w:tabs>
          <w:tab w:leader="none" w:pos="1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jc w:val="both"/>
        <w:ind w:left="1440" w:right="260" w:hanging="550"/>
        <w:spacing w:after="0" w:line="233" w:lineRule="auto"/>
        <w:tabs>
          <w:tab w:leader="none" w:pos="1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8"/>
          <w:szCs w:val="18"/>
          <w:color w:val="auto"/>
        </w:rPr>
      </w:pPr>
    </w:p>
    <w:p>
      <w:pPr>
        <w:jc w:val="both"/>
        <w:ind w:left="1440" w:right="260" w:hanging="550"/>
        <w:spacing w:after="0" w:line="225" w:lineRule="auto"/>
        <w:tabs>
          <w:tab w:leader="none" w:pos="1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8"/>
          <w:szCs w:val="18"/>
          <w:color w:val="auto"/>
        </w:rPr>
      </w:pPr>
    </w:p>
    <w:p>
      <w:pPr>
        <w:jc w:val="both"/>
        <w:ind w:left="900" w:right="220" w:hanging="442"/>
        <w:spacing w:after="0" w:line="22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jc w:val="both"/>
        <w:ind w:left="1440" w:right="260" w:hanging="550"/>
        <w:spacing w:after="0" w:line="233" w:lineRule="auto"/>
        <w:tabs>
          <w:tab w:leader="none" w:pos="1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8"/>
          <w:szCs w:val="18"/>
          <w:color w:val="auto"/>
        </w:rPr>
      </w:pPr>
    </w:p>
    <w:p>
      <w:pPr>
        <w:ind w:left="1440" w:right="280" w:hanging="550"/>
        <w:spacing w:after="0"/>
        <w:tabs>
          <w:tab w:leader="none" w:pos="1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2022</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17780</wp:posOffset>
            </wp:positionV>
            <wp:extent cx="2785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Sabrina Martucci Johnson</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44" w:lineRule="exact"/>
        <w:rPr>
          <w:sz w:val="20"/>
          <w:szCs w:val="20"/>
          <w:color w:val="auto"/>
        </w:rPr>
      </w:pPr>
    </w:p>
    <w:p>
      <w:pPr>
        <w:ind w:left="900" w:hanging="442"/>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right="220" w:hanging="442"/>
        <w:spacing w:after="0" w:line="23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8"/>
          <w:szCs w:val="18"/>
          <w:color w:val="auto"/>
        </w:rPr>
      </w:pPr>
    </w:p>
    <w:p>
      <w:pPr>
        <w:jc w:val="both"/>
        <w:ind w:left="900" w:right="220" w:hanging="442"/>
        <w:spacing w:after="0" w:line="23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jc w:val="both"/>
        <w:ind w:left="900" w:right="220" w:hanging="442"/>
        <w:spacing w:after="0" w:line="22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8"/>
          <w:szCs w:val="18"/>
          <w:color w:val="auto"/>
        </w:rPr>
      </w:pPr>
    </w:p>
    <w:p>
      <w:pPr>
        <w:jc w:val="both"/>
        <w:ind w:left="1440" w:right="260" w:hanging="550"/>
        <w:spacing w:after="0" w:line="225" w:lineRule="auto"/>
        <w:tabs>
          <w:tab w:leader="none" w:pos="14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left="1440" w:right="280" w:hanging="550"/>
        <w:spacing w:after="0" w:line="233" w:lineRule="auto"/>
        <w:tabs>
          <w:tab w:leader="none" w:pos="14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Arial" w:cs="Arial" w:eastAsia="Arial" w:hAnsi="Arial"/>
          <w:sz w:val="18"/>
          <w:szCs w:val="18"/>
          <w:color w:val="auto"/>
        </w:rPr>
      </w:pPr>
    </w:p>
    <w:p>
      <w:pPr>
        <w:jc w:val="both"/>
        <w:ind w:left="1440" w:right="260" w:hanging="550"/>
        <w:spacing w:after="0" w:line="227" w:lineRule="auto"/>
        <w:tabs>
          <w:tab w:leader="none" w:pos="14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8"/>
          <w:szCs w:val="18"/>
          <w:color w:val="auto"/>
        </w:rPr>
      </w:pPr>
    </w:p>
    <w:p>
      <w:pPr>
        <w:jc w:val="both"/>
        <w:ind w:left="1440" w:right="260" w:hanging="550"/>
        <w:spacing w:after="0" w:line="225" w:lineRule="auto"/>
        <w:tabs>
          <w:tab w:leader="none" w:pos="14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8"/>
          <w:szCs w:val="18"/>
          <w:color w:val="auto"/>
        </w:rPr>
      </w:pPr>
    </w:p>
    <w:p>
      <w:pPr>
        <w:jc w:val="both"/>
        <w:ind w:left="900" w:right="220" w:hanging="442"/>
        <w:spacing w:after="0" w:line="23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8"/>
          <w:szCs w:val="18"/>
          <w:color w:val="auto"/>
        </w:rPr>
      </w:pPr>
    </w:p>
    <w:p>
      <w:pPr>
        <w:jc w:val="both"/>
        <w:ind w:left="1440" w:right="260" w:hanging="550"/>
        <w:spacing w:after="0" w:line="227" w:lineRule="auto"/>
        <w:tabs>
          <w:tab w:leader="none" w:pos="14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1440" w:right="280" w:hanging="550"/>
        <w:spacing w:after="0" w:line="256" w:lineRule="auto"/>
        <w:tabs>
          <w:tab w:leader="none" w:pos="14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2022</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17780</wp:posOffset>
            </wp:positionV>
            <wp:extent cx="27857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Lisa Walters-Hoffert</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93"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June 30, 2022,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176"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87" w:lineRule="auto"/>
        <w:tabs>
          <w:tab w:leader="none" w:pos="2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34925</wp:posOffset>
            </wp:positionV>
            <wp:extent cx="28371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Sabrina Martucci Johnson</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1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June 30, 2022,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171"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87" w:lineRule="auto"/>
        <w:tabs>
          <w:tab w:leader="none" w:pos="2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34925</wp:posOffset>
            </wp:positionV>
            <wp:extent cx="2837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Lisa Walters-Hoffert</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1."/>
      <w:numFmt w:val="decimal"/>
      <w:start w:val="4"/>
    </w:lvl>
  </w:abstractNum>
  <w:abstractNum w:abstractNumId="10">
    <w:nsid w:val="737B8DDC"/>
    <w:multiLevelType w:val="hybridMultilevel"/>
    <w:lvl w:ilvl="0">
      <w:lvlJc w:val="left"/>
      <w:lvlText w:val="%1."/>
      <w:numFmt w:val="decimal"/>
      <w:start w:val="5"/>
    </w:lvl>
  </w:abstractNum>
  <w:abstractNum w:abstractNumId="11">
    <w:nsid w:val="6CEAF087"/>
    <w:multiLevelType w:val="hybridMultilevel"/>
    <w:lvl w:ilvl="0">
      <w:lvlJc w:val="left"/>
      <w:lvlText w:val="%1."/>
      <w:numFmt w:val="decimal"/>
      <w:start w:val="6"/>
    </w:lvl>
  </w:abstractNum>
  <w:abstractNum w:abstractNumId="12">
    <w:nsid w:val="22221A70"/>
    <w:multiLevelType w:val="hybridMultilevel"/>
    <w:lvl w:ilvl="0">
      <w:lvlJc w:val="left"/>
      <w:lvlText w:val="%1."/>
      <w:numFmt w:val="decimal"/>
      <w:start w:val="8"/>
    </w:lvl>
  </w:abstractNum>
  <w:abstractNum w:abstractNumId="13">
    <w:nsid w:val="4516DDE9"/>
    <w:multiLevelType w:val="hybridMultilevel"/>
    <w:lvl w:ilvl="0">
      <w:lvlJc w:val="left"/>
      <w:lvlText w:val="%1."/>
      <w:numFmt w:val="decimal"/>
      <w:start w:val="9"/>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lowerRoman"/>
      <w:start w:val="4"/>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3"/>
    </w:lvl>
  </w:abstractNum>
  <w:abstractNum w:abstractNumId="27">
    <w:nsid w:val="2D517796"/>
    <w:multiLevelType w:val="hybridMultilevel"/>
    <w:lvl w:ilvl="0">
      <w:lvlJc w:val="left"/>
      <w:lvlText w:val="%1"/>
      <w:numFmt w:val="decimal"/>
      <w:start w:val="1"/>
    </w:lvl>
    <w:lvl w:ilvl="1">
      <w:lvlJc w:val="left"/>
      <w:lvlText w:val="%2."/>
      <w:numFmt w:val="decimal"/>
      <w:start w:val="1"/>
    </w:lvl>
  </w:abstractNum>
  <w:abstractNum w:abstractNumId="28">
    <w:nsid w:val="580BD78F"/>
    <w:multiLevelType w:val="hybridMultilevel"/>
    <w:lvl w:ilvl="0">
      <w:lvlJc w:val="left"/>
      <w:lvlText w:val="%1."/>
      <w:numFmt w:val="decimal"/>
      <w:start w:val="2"/>
    </w:lvl>
    <w:lvl w:ilvl="1">
      <w:lvlJc w:val="left"/>
      <w:lvlText w:val="%2"/>
      <w:numFmt w:val="decimal"/>
      <w:start w:val="1"/>
    </w:lvl>
  </w:abstractNum>
  <w:abstractNum w:abstractNumId="29">
    <w:nsid w:val="153EA438"/>
    <w:multiLevelType w:val="hybridMultilevel"/>
    <w:lvl w:ilvl="0">
      <w:lvlJc w:val="left"/>
      <w:lvlText w:val="%1."/>
      <w:numFmt w:val="decimal"/>
      <w:start w:val="3"/>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3"/>
    </w:lvl>
  </w:abstractNum>
  <w:abstractNum w:abstractNumId="32">
    <w:nsid w:val="6A2342EC"/>
    <w:multiLevelType w:val="hybridMultilevel"/>
    <w:lvl w:ilvl="0">
      <w:lvlJc w:val="left"/>
      <w:lvlText w:val="%1"/>
      <w:numFmt w:val="decimal"/>
      <w:start w:val="1"/>
    </w:lvl>
    <w:lvl w:ilvl="1">
      <w:lvlJc w:val="left"/>
      <w:lvlText w:val="%2."/>
      <w:numFmt w:val="decimal"/>
      <w:start w:val="1"/>
    </w:lvl>
  </w:abstractNum>
  <w:abstractNum w:abstractNumId="33">
    <w:nsid w:val="2A487CB0"/>
    <w:multiLevelType w:val="hybridMultilevel"/>
    <w:lvl w:ilvl="0">
      <w:lvlJc w:val="left"/>
      <w:lvlText w:val="%1."/>
      <w:numFmt w:val="decimal"/>
      <w:start w:val="2"/>
    </w:lvl>
    <w:lvl w:ilvl="1">
      <w:lvlJc w:val="left"/>
      <w:lvlText w:val="%2"/>
      <w:numFmt w:val="decimal"/>
      <w:start w:val="1"/>
    </w:lvl>
  </w:abstractNum>
  <w:abstractNum w:abstractNumId="34">
    <w:nsid w:val="1D4ED43B"/>
    <w:multiLevelType w:val="hybridMultilevel"/>
    <w:lvl w:ilvl="0">
      <w:lvlJc w:val="left"/>
      <w:lvlText w:val="A"/>
      <w:numFmt w:val="bullet"/>
      <w:start w:val="1"/>
    </w:lvl>
    <w:lvl w:ilvl="1">
      <w:lvlJc w:val="left"/>
      <w:lvlText w:val="%2"/>
      <w:numFmt w:val="upperLetter"/>
      <w:start w:val="1"/>
    </w:lvl>
  </w:abstractNum>
  <w:abstractNum w:abstractNumId="35">
    <w:nsid w:val="725A06FB"/>
    <w:multiLevelType w:val="hybridMultilevel"/>
    <w:lvl w:ilvl="0">
      <w:lvlJc w:val="left"/>
      <w:lvlText w:val="%1."/>
      <w:numFmt w:val="decimal"/>
      <w:start w:val="2"/>
    </w:lvl>
  </w:abstractNum>
  <w:abstractNum w:abstractNumId="36">
    <w:nsid w:val="2CD89A32"/>
    <w:multiLevelType w:val="hybridMultilevel"/>
    <w:lvl w:ilvl="0">
      <w:lvlJc w:val="left"/>
      <w:lvlText w:val="%1."/>
      <w:numFmt w:val="decimal"/>
      <w:start w:val="3"/>
    </w:lvl>
  </w:abstractNum>
  <w:abstractNum w:abstractNumId="37">
    <w:nsid w:val="57E4CCAF"/>
    <w:multiLevelType w:val="hybridMultilevel"/>
    <w:lvl w:ilvl="0">
      <w:lvlJc w:val="left"/>
      <w:lvlText w:val="B"/>
      <w:numFmt w:val="bullet"/>
      <w:start w:val="1"/>
    </w:lvl>
  </w:abstractNum>
  <w:abstractNum w:abstractNumId="38">
    <w:nsid w:val="7A6D8D3C"/>
    <w:multiLevelType w:val="hybridMultilevel"/>
    <w:lvl w:ilvl="0">
      <w:lvlJc w:val="left"/>
      <w:lvlText w:val="%1"/>
      <w:numFmt w:val="decimal"/>
      <w:start w:val="1"/>
    </w:lvl>
    <w:lvl w:ilvl="1">
      <w:lvlJc w:val="left"/>
      <w:lvlText w:val="%2."/>
      <w:numFmt w:val="upperLetter"/>
      <w:start w:val="9"/>
    </w:lvl>
  </w:abstractNum>
  <w:abstractNum w:abstractNumId="39">
    <w:nsid w:val="4B588F54"/>
    <w:multiLevelType w:val="hybridMultilevel"/>
    <w:lvl w:ilvl="0">
      <w:lvlJc w:val="left"/>
      <w:lvlText w:val="%1."/>
      <w:numFmt w:val="decimal"/>
      <w:start w:val="2"/>
    </w:lvl>
    <w:lvl w:ilvl="1">
      <w:lvlJc w:val="left"/>
      <w:lvlText w:val="%2"/>
      <w:numFmt w:val="upperLetter"/>
      <w:start w:val="1"/>
    </w:lvl>
  </w:abstractNum>
  <w:abstractNum w:abstractNumId="40">
    <w:nsid w:val="542289EC"/>
    <w:multiLevelType w:val="hybridMultilevel"/>
    <w:lvl w:ilvl="0">
      <w:lvlJc w:val="left"/>
      <w:lvlText w:val="%1."/>
      <w:numFmt w:val="decimal"/>
      <w:start w:val="3"/>
    </w:lvl>
    <w:lvl w:ilvl="1">
      <w:lvlJc w:val="left"/>
      <w:lvlText w:val="%2."/>
      <w:numFmt w:val="decimal"/>
      <w:start w:val="4"/>
    </w:lvl>
  </w:abstractNum>
  <w:abstractNum w:abstractNumId="41">
    <w:nsid w:val="6DE91B18"/>
    <w:multiLevelType w:val="hybridMultilevel"/>
    <w:lvl w:ilvl="0">
      <w:lvlJc w:val="left"/>
      <w:lvlText w:val="%1."/>
      <w:numFmt w:val="decimal"/>
      <w:start w:val="5"/>
    </w:lvl>
    <w:lvl w:ilvl="1">
      <w:lvlJc w:val="left"/>
      <w:lvlText w:val="%2."/>
      <w:numFmt w:val="decimal"/>
      <w:start w:val="6"/>
    </w:lvl>
  </w:abstractNum>
  <w:abstractNum w:abstractNumId="42">
    <w:nsid w:val="38437FDB"/>
    <w:multiLevelType w:val="hybridMultilevel"/>
    <w:lvl w:ilvl="0">
      <w:lvlJc w:val="left"/>
      <w:lvlText w:val="%1."/>
      <w:numFmt w:val="decimal"/>
      <w:start w:val="7"/>
    </w:lvl>
  </w:abstractNum>
  <w:abstractNum w:abstractNumId="43">
    <w:nsid w:val="7644A45C"/>
    <w:multiLevelType w:val="hybridMultilevel"/>
    <w:lvl w:ilvl="0">
      <w:lvlJc w:val="left"/>
      <w:lvlText w:val="%1."/>
      <w:numFmt w:val="decimal"/>
      <w:start w:val="1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Letter"/>
      <w:start w:val="1"/>
    </w:lvl>
    <w:lvl w:ilvl="1">
      <w:lvlJc w:val="left"/>
      <w:lvlText w:val="%2."/>
      <w:numFmt w:val="decimal"/>
      <w:start w:val="3"/>
    </w:lvl>
  </w:abstractNum>
  <w:abstractNum w:abstractNumId="46">
    <w:nsid w:val="579478FE"/>
    <w:multiLevelType w:val="hybridMultilevel"/>
    <w:lvl w:ilvl="0">
      <w:lvlJc w:val="left"/>
      <w:lvlText w:val="(%1)"/>
      <w:numFmt w:val="lowerLetter"/>
      <w:start w:val="2"/>
    </w:lvl>
    <w:lvl w:ilvl="1">
      <w:lvlJc w:val="left"/>
      <w:lvlText w:val="%2."/>
      <w:numFmt w:val="decimal"/>
      <w:start w:val="6"/>
    </w:lvl>
  </w:abstractNum>
  <w:abstractNum w:abstractNumId="47">
    <w:nsid w:val="749ABB43"/>
    <w:multiLevelType w:val="hybridMultilevel"/>
    <w:lvl w:ilvl="0">
      <w:lvlJc w:val="left"/>
      <w:lvlText w:val="%1."/>
      <w:numFmt w:val="decimal"/>
      <w:start w:val="9"/>
    </w:lvl>
    <w:lvl w:ilvl="1">
      <w:lvlJc w:val="left"/>
      <w:lvlText w:val="%2."/>
      <w:numFmt w:val="decimal"/>
      <w:start w:val="10"/>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71" Type="http://schemas.openxmlformats.org/officeDocument/2006/relationships/hyperlink" Target="https://www.sec.gov/Archives/edgar/data/1401914/000149315222017652/ex10-1a.htm" TargetMode="External"/><Relationship Id="rId72" Type="http://schemas.openxmlformats.org/officeDocument/2006/relationships/hyperlink" Target="https://www.sec.gov/Archives/edgar/data/1401914/000149315222017652/ex10-1b.htm" TargetMode="External"/><Relationship Id="rId73" Type="http://schemas.openxmlformats.org/officeDocument/2006/relationships/hyperlink" Target="https://www.sec.gov/Archives/edgar/data/1401914/000149315222017652/ex10-1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2022-08-09T16:54:36Z</dcterms:created>
  <dcterms:modified xsi:type="dcterms:W3CDTF">2022-08-09T16:54:36Z</dcterms:modified>
</cp:coreProperties>
</file>