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quarterly period ended September 30, 2015</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OR</w:t>
      </w:r>
    </w:p>
    <w:p>
      <w:pPr>
        <w:spacing w:after="0" w:line="99"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580"/>
        <w:spacing w:after="0"/>
        <w:tabs>
          <w:tab w:leader="none" w:pos="6700" w:val="left"/>
          <w:tab w:leader="none" w:pos="77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-10160</wp:posOffset>
            </wp:positionV>
            <wp:extent cx="128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CERULEAN PHARMA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20-4139823</w:t>
            </w:r>
          </w:p>
        </w:tc>
      </w:tr>
      <w:tr>
        <w:trPr>
          <w:trHeight w:val="149"/>
        </w:trPr>
        <w:tc>
          <w:tcPr>
            <w:tcW w:w="4480" w:type="dxa"/>
            <w:vAlign w:val="bottom"/>
          </w:tcPr>
          <w:p>
            <w:pPr>
              <w:jc w:val="center"/>
              <w:ind w:right="19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3"/>
              </w:rPr>
              <w:t>840 Memorial Drive</w:t>
            </w:r>
          </w:p>
        </w:tc>
        <w:tc>
          <w:tcPr>
            <w:tcW w:w="3120" w:type="dxa"/>
            <w:vAlign w:val="bottom"/>
          </w:tcPr>
          <w:p>
            <w:pPr>
              <w:spacing w:after="0"/>
              <w:rPr>
                <w:sz w:val="24"/>
                <w:szCs w:val="24"/>
                <w:color w:val="auto"/>
              </w:rPr>
            </w:pPr>
          </w:p>
        </w:tc>
      </w:tr>
      <w:tr>
        <w:trPr>
          <w:trHeight w:val="225"/>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5"/>
              </w:rPr>
              <w:t>Cambridge,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(617) 551-9600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7" w:lineRule="exact"/>
        <w:rPr>
          <w:sz w:val="24"/>
          <w:szCs w:val="24"/>
          <w:color w:val="auto"/>
        </w:rPr>
      </w:pPr>
    </w:p>
    <w:p>
      <w:pPr>
        <w:jc w:val="both"/>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571" w:right="419" w:bottom="1440" w:gutter="0" w:footer="0" w:header="0"/>
        </w:sectPr>
      </w:pP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2280" w:space="720"/>
            <w:col w:w="4400" w:space="720"/>
            <w:col w:w="2240" w:space="720"/>
            <w:col w:w="160"/>
          </w:cols>
          <w:pgMar w:left="240" w:top="571" w:right="4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2280" w:space="720"/>
            <w:col w:w="160" w:space="300"/>
            <w:col w:w="3940" w:space="720"/>
            <w:col w:w="2240" w:space="720"/>
            <w:col w:w="160"/>
          </w:cols>
          <w:pgMar w:left="240" w:top="571" w:right="419" w:bottom="1440" w:gutter="0" w:footer="0" w:header="0"/>
          <w:type w:val="continuous"/>
        </w:sectPr>
      </w:pPr>
    </w:p>
    <w:p>
      <w:pPr>
        <w:spacing w:after="0" w:line="48"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8700" w:space="180"/>
            <w:col w:w="440" w:space="180"/>
            <w:col w:w="220" w:space="140"/>
            <w:col w:w="1380"/>
          </w:cols>
          <w:pgMar w:left="240" w:top="571" w:right="419" w:bottom="1440" w:gutter="0" w:footer="0" w:header="0"/>
          <w:type w:val="continuous"/>
        </w:sectPr>
      </w:pPr>
    </w:p>
    <w:p>
      <w:pPr>
        <w:spacing w:after="0" w:line="3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Number of shares of the registrant’s Common Stock, $ 0.0001 par value, outstanding on November 10, 2015: 27,346,780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71" w:right="41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CERULEAN PHARMA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291"/>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56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11"/>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4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2015 and December 31, 2014 (unaudited)</w:t>
              </w:r>
            </w:hyperlink>
          </w:p>
        </w:tc>
        <w:tc>
          <w:tcPr>
            <w:tcW w:w="2120" w:type="dxa"/>
            <w:vAlign w:val="bottom"/>
            <w:gridSpan w:val="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2015</w:t>
              </w:r>
            </w:hyperlink>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2014 (unaudited)</w:t>
              </w:r>
            </w:hyperlink>
          </w:p>
        </w:tc>
        <w:tc>
          <w:tcPr>
            <w:tcW w:w="8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7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2015</w:t>
              </w:r>
            </w:hyperlink>
          </w:p>
        </w:tc>
        <w:tc>
          <w:tcPr>
            <w:tcW w:w="232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2014 (unaudited)</w:t>
              </w:r>
            </w:hyperlink>
          </w:p>
        </w:tc>
        <w:tc>
          <w:tcPr>
            <w:tcW w:w="8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4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4700" w:type="dxa"/>
            <w:vAlign w:val="bottom"/>
            <w:gridSpan w:val="5"/>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2">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gridSpan w:val="4"/>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Quantitative and Qualitative Disclosures About Market Risk</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6"/>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24"/>
                <w:szCs w:val="24"/>
                <w:color w:val="auto"/>
              </w:rPr>
            </w:pPr>
          </w:p>
        </w:tc>
      </w:tr>
      <w:tr>
        <w:trPr>
          <w:trHeight w:val="318"/>
        </w:trPr>
        <w:tc>
          <w:tcPr>
            <w:tcW w:w="28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78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Risk Factors</w:t>
              </w:r>
            </w:hyperlink>
          </w:p>
        </w:tc>
        <w:tc>
          <w:tcPr>
            <w:tcW w:w="8600" w:type="dxa"/>
            <w:vAlign w:val="bottom"/>
            <w:gridSpan w:val="1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21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58">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56</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80" w:type="dxa"/>
            <w:vAlign w:val="bottom"/>
            <w:gridSpan w:val="16"/>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Exhibits</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56</w:t>
            </w: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Signatures</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24"/>
                <w:szCs w:val="24"/>
                <w:color w:val="auto"/>
              </w:rPr>
            </w:pPr>
          </w:p>
        </w:tc>
      </w:tr>
      <w:tr>
        <w:trPr>
          <w:trHeight w:val="352"/>
        </w:trPr>
        <w:tc>
          <w:tcPr>
            <w:tcW w:w="106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920" w:type="dxa"/>
            <w:vAlign w:val="bottom"/>
          </w:tcPr>
          <w:p>
            <w:pPr>
              <w:ind w:left="306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CERULEAN PHARMA INC.</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(in thousands except share data and par value)</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30, 2015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6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0"/>
              </w:rPr>
              <w:t>Current assets:</w:t>
            </w:r>
          </w:p>
        </w:tc>
        <w:tc>
          <w:tcPr>
            <w:tcW w:w="6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77,631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prepaid expenses, and other current assets</w:t>
            </w: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80,117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Current portion of loan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4,031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Loan payable — net of current portion</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Non-current accrued interest</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20" w:type="dxa"/>
            <w:vAlign w:val="bottom"/>
          </w:tcPr>
          <w:p>
            <w:pPr>
              <w:ind w:left="260"/>
              <w:spacing w:after="0"/>
              <w:rPr>
                <w:sz w:val="20"/>
                <w:szCs w:val="20"/>
                <w:color w:val="auto"/>
              </w:rPr>
            </w:pPr>
            <w:r>
              <w:rPr>
                <w:rFonts w:ascii="Arial" w:cs="Arial" w:eastAsia="Arial" w:hAnsi="Arial"/>
                <w:sz w:val="18"/>
                <w:szCs w:val="18"/>
                <w:color w:val="auto"/>
              </w:rPr>
              <w:t>Other</w:t>
            </w:r>
          </w:p>
        </w:tc>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w w:val="99"/>
              </w:rPr>
              <w:t>Commitments</w:t>
            </w:r>
          </w:p>
        </w:tc>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Preferred stock, $0.01 par value; 5,000,000 shares authorized, no shares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380"/>
              <w:spacing w:after="0"/>
              <w:rPr>
                <w:sz w:val="20"/>
                <w:szCs w:val="20"/>
                <w:color w:val="auto"/>
              </w:rPr>
            </w:pPr>
            <w:r>
              <w:rPr>
                <w:rFonts w:ascii="Arial" w:cs="Arial" w:eastAsia="Arial" w:hAnsi="Arial"/>
                <w:sz w:val="18"/>
                <w:szCs w:val="18"/>
                <w:color w:val="auto"/>
              </w:rPr>
              <w:t>issued or outstanding</w:t>
            </w:r>
          </w:p>
        </w:tc>
        <w:tc>
          <w:tcPr>
            <w:tcW w:w="10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$0.0001 par value;</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120,000,000 shares authorized, 27,346,780 and 20,125,049 shares issued and</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outstanding at September 30, 2015 and December 31, 2014, respectively</w:t>
            </w: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(150,667)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(121,781)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58,643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80,117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and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6"/>
        </w:trPr>
        <w:tc>
          <w:tcPr>
            <w:tcW w:w="50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7,071</w:t>
            </w: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2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13,051</w:t>
            </w:r>
          </w:p>
        </w:tc>
        <w:tc>
          <w:tcPr>
            <w:tcW w:w="12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(1,751)</w:t>
            </w:r>
          </w:p>
        </w:tc>
        <w:tc>
          <w:tcPr>
            <w:tcW w:w="2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(2,493)</w:t>
            </w: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Decrease in value of preferred stock warrant liability</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r>
      <w:tr>
        <w:trPr>
          <w:trHeight w:val="223"/>
        </w:trPr>
        <w:tc>
          <w:tcPr>
            <w:tcW w:w="5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 net</w:t>
            </w: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9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(28,886)</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(15,875)</w:t>
            </w:r>
          </w:p>
        </w:tc>
        <w:tc>
          <w:tcPr>
            <w:tcW w:w="120" w:type="dxa"/>
            <w:vAlign w:val="bottom"/>
            <w:tcBorders>
              <w:bottom w:val="single" w:sz="8" w:color="CFF0FC"/>
            </w:tcBorders>
          </w:tcPr>
          <w:p>
            <w:pPr>
              <w:spacing w:after="0"/>
              <w:rPr>
                <w:sz w:val="22"/>
                <w:szCs w:val="22"/>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502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0"/>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9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27,307,103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20,124,574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24,785,833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12,598,425</w:t>
            </w:r>
          </w:p>
        </w:tc>
        <w:tc>
          <w:tcPr>
            <w:tcW w:w="12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80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(28,886)</w:t>
            </w: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rent expense</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Arial" w:cs="Arial" w:eastAsia="Arial" w:hAnsi="Arial"/>
                <w:sz w:val="18"/>
                <w:szCs w:val="18"/>
                <w:color w:val="auto"/>
              </w:rPr>
              <w:t>Change in carrying value of preferred stock warrant liability</w:t>
            </w: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Arial" w:cs="Arial" w:eastAsia="Arial" w:hAnsi="Arial"/>
                <w:sz w:val="18"/>
                <w:szCs w:val="18"/>
                <w:color w:val="auto"/>
              </w:rPr>
              <w:t>Gain on disposal of property and equipment</w:t>
            </w: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740"/>
              <w:spacing w:after="0"/>
              <w:rPr>
                <w:sz w:val="20"/>
                <w:szCs w:val="20"/>
                <w:color w:val="auto"/>
              </w:rPr>
            </w:pPr>
            <w:r>
              <w:rPr>
                <w:rFonts w:ascii="Arial" w:cs="Arial" w:eastAsia="Arial" w:hAnsi="Arial"/>
                <w:sz w:val="18"/>
                <w:szCs w:val="18"/>
                <w:color w:val="auto"/>
              </w:rPr>
              <w:t>Accounts receivable, prepaid expenses and other current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restricted cash</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Proceeds from sale of common stock</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loans payable</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Proceeds from issuance of convertible promissory notes</w:t>
            </w:r>
          </w:p>
        </w:tc>
        <w:tc>
          <w:tcPr>
            <w:tcW w:w="3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loans payable</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(3,921)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Arial" w:cs="Arial" w:eastAsia="Arial" w:hAnsi="Arial"/>
                <w:sz w:val="18"/>
                <w:szCs w:val="18"/>
                <w:color w:val="auto"/>
              </w:rPr>
              <w:t>Cash paid for debt issuance costs</w:t>
            </w:r>
          </w:p>
        </w:tc>
        <w:tc>
          <w:tcPr>
            <w:tcW w:w="3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public stock offering, net of issuance costs</w:t>
            </w: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 Beginning of period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End of period</w:t>
            </w: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77,631</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redeemable convertible preferred stock into common stock</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5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Conversion of convertible notes and accrued interest into common stock, net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Reclassification of warrants to additional paid in capital</w:t>
            </w: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 Interest paid</w:t>
            </w: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OPERATIONS</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Nature of Business — Cerulean Pharma Inc. (the “Company”) was incorporated on November 28, 2005, as a Delaware corporation and is located in Cambridge, Massachusetts. The Company was formed to develop novel, nanotechnology-based therapeutics in the areas of oncology and other diseases.</w:t>
      </w:r>
    </w:p>
    <w:p>
      <w:pPr>
        <w:spacing w:after="0" w:line="124"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Basis of Presentation — The consolidated financial statements include the accounts of the Company and its subsidiary, Cerulean Pharma Australia Pty Ltd, a wholly owned Australian-based proprietary limited company. All intercompany 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Company’s audited financial statements as of and for the year ended December 31, 2014, and notes thereto, included in the Company’s Annual Report on Form 10-K, which was filed with the Securities and Exchange Commission on March 19, 2015 (the “2015 10-K”).</w:t>
      </w:r>
    </w:p>
    <w:p>
      <w:pPr>
        <w:spacing w:after="0" w:line="179"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unaudited condensed consolidated financial statements have been prepared on the same basis as the audited consolidated financial statements. In the opinion of the Company’s management, the accompanying unaudited interim consolidated financial statements contain all adjustments that are necessary to present fairly the Company’s financial position as of September 30, 2015, the results of its operations for the three and nine months ended September 30, 2015 and 2014, and cash flows for the nine months ended September 30, 2015 and 2014. Such adjustments are of a normal and recurring nature. The results for the three and nine months ended September 30, 2015, are not indicative of the results for the year ending December 31, 2015, or for any future period.</w:t>
      </w:r>
    </w:p>
    <w:p>
      <w:pPr>
        <w:spacing w:after="0" w:line="15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April 10, 2015, the Company completed the issuance and sale of 6,716,000 shares of common stock in an underwritten public offering at a price to the public of $6.00 per share. The sale of shares of common stock included 876,000 shares sold pursuant to the full exercise of the underwriters’ option to purchase additional shares of common stock. The net proceeds to the Company from this offering were $37.2 million after deducting underwriting discounts and commissions and offering expenses payable by the Company.</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April 15, 2014, the Company completed the issuance and sale of 8,500,000 shares of its common stock in its initial public offering (the “IPO”), at a price to the public of $7.00 per share. On May 7, 2014, the Company completed the sale of an additional 1,069,715 shares of common stock at a price to the public of $7.00 per share under a partial exercise by the underwriters of their option to purchase additional shares of common stock. The sale of the shares to the public resulted in net proceeds to the Company of $59.9 million after deducting underwriting discounts and commissions and offering expenses payable by the Company.</w:t>
      </w:r>
    </w:p>
    <w:p>
      <w:pPr>
        <w:spacing w:after="0" w:line="18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connection with the closing of the IPO, all of the Company’s outstanding redeemable convertible preferred stock and convertible notes automatically converted into shares of common stock as of April 15, 2014, resulting in the issuance by the Company of an additional 9,728,237 shares of common stock. The significant increases in shares outstanding in April 2015 and April 2014 impacts the year-over-year comparability of the Company’s net loss per share calculations.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connection with the completion of the IPO on April 15, 2014, the Company’s outstanding warrants to purchase 1,857,226 shares of the Company’s preferred stock automatically converted into warrants to purchase an aggregate of 128,663 shares of the Company’s common stock and, as a result, the Company reclassified the warrant liability to additional paid-in capital.</w:t>
      </w:r>
    </w:p>
    <w:p>
      <w:pPr>
        <w:spacing w:after="0" w:line="17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There have been no material changes to the significant accounting policies previously disclosed in the 2015 10-K.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firstLine="518"/>
        <w:spacing w:after="0" w:line="258"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In April 2015, the Financial Accounting Standards Board issued Accounting Standards Update 2015-03,</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 Imputation of Interest” (“ASU 2015-03”). To simplify presentation of debt issuance costs, ASU 2015-03 requires that debt issuance costs related to a recognized debt liability be presented in the balance sheet as a direct deduction from the carrying amount of that debt liability, consistent with debt discounts. ASU 2015-03 is effective for annual and interim reporting periods beginning January 1, 2016, and is not expected to have a material impact on the Company’s consolidated financial statements.</w:t>
      </w:r>
    </w:p>
    <w:p>
      <w:pPr>
        <w:spacing w:after="0" w:line="18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Company computes diluted loss per common share after giving effect to the dilutive effect of stock options, warrants and shares of unvested restricted stock that are outstanding during the period, except where the inclusion of such securities would be antidilutive.</w:t>
      </w:r>
    </w:p>
    <w:p>
      <w:pPr>
        <w:spacing w:after="0" w:line="14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Company has reported a net loss for all periods presented and, therefore, diluted net loss per common share is the same as basic net loss per common share.</w:t>
      </w:r>
    </w:p>
    <w:p>
      <w:pPr>
        <w:spacing w:after="0" w:line="170"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following potentially dilutive securities that were outstanding prior to the use of the treasury stock method have been excluded from the computation of diluted weighted-average shares outstanding, because the inclusion of such securities would have an antidilutive impact due to the losses reported (in common stock equivalent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28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3"/>
              </w:rPr>
              <w:t>As of September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04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2,521,772</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1,798,264</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300,564</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128,663</w:t>
            </w:r>
          </w:p>
        </w:tc>
        <w:tc>
          <w:tcPr>
            <w:tcW w:w="120" w:type="dxa"/>
            <w:vAlign w:val="bottom"/>
          </w:tcPr>
          <w:p>
            <w:pPr>
              <w:spacing w:after="0"/>
              <w:rPr>
                <w:sz w:val="20"/>
                <w:szCs w:val="20"/>
                <w:color w:val="auto"/>
              </w:rPr>
            </w:pPr>
          </w:p>
        </w:tc>
      </w:tr>
    </w:tbl>
    <w:p>
      <w:pPr>
        <w:spacing w:after="0" w:line="19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80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trial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Accrued contract manufacturing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PAYABLE TO SHAREHOLDERS</w:t>
      </w:r>
    </w:p>
    <w:p>
      <w:pPr>
        <w:spacing w:after="0" w:line="229"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In February and March 2014, the Company issued convertible promissory notes in the original principal amount of $6.0 million to existing investors and a convertible promissory note in the original principal amount of $2.5 million to a new investor. All of the notes had a stated interest rate of 7.0%. Outstanding principal and unpaid accrued interest due under the notes were automatically converted into shares of the Company’s common stock upon the closing of the IPO at a conversion price equal to 77.5% of the IPO price. The Company recorded a loss on the extinguishment of the notes of $2.5 million in April 2014, equal to the difference between the fair value of the shares into which the notes converted and the carrying amount of the notes upon the closing of the IPO.</w:t>
      </w:r>
    </w:p>
    <w:p>
      <w:pPr>
        <w:spacing w:after="0" w:line="189"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LOAN AGREEMENTS</w:t>
      </w:r>
    </w:p>
    <w:p>
      <w:pPr>
        <w:spacing w:after="0" w:line="229"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On January 8, 2015 (the “Closing Date”), the Company entered into a term loan facility of up to $26.0 million (the “Term Loan”) with Hercules Technology Growth Capital, Inc. (“Hercules”). The proceeds were used to repay the Company’s existing term loan facility with Lighthouse Capital Partners VI, L.P. (“Lighthouse Capital”) and for general corporate and working capital purposes.</w:t>
      </w:r>
    </w:p>
    <w:p>
      <w:pPr>
        <w:spacing w:after="0" w:line="18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Term Loan is governed by a loan and security agreement, dated January 8, 2015, between the Company and Hercules (the “Hercules Loan Agreement”). The Hercules Loan Agreement provides for up to three separate borrowings, the first of which was funded in the amount of $15.0 million on the Closing Date. The second borrowing of up to $5.0 million may be drawn by the Company, subject to the satisfaction of customary funding conditions, on or prior to December 15, 2015, provided that the Company meets certain clinical milestones. The third borrowing of up to $6.0 million (the “Term C Loan Advance”) may be drawn, at no less than $3.0 million per draw and subject to the satisfaction of customary funding conditions, on or after September 30, 2015, but before December 15, 2015, provided that between the Closing Date and December 15, 2015, the Company has received net cash proceeds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220"/>
        <w:spacing w:after="0" w:line="277" w:lineRule="auto"/>
        <w:rPr>
          <w:sz w:val="20"/>
          <w:szCs w:val="20"/>
          <w:color w:val="auto"/>
        </w:rPr>
      </w:pPr>
      <w:r>
        <w:rPr>
          <w:rFonts w:ascii="Arial" w:cs="Arial" w:eastAsia="Arial" w:hAnsi="Arial"/>
          <w:sz w:val="18"/>
          <w:szCs w:val="18"/>
          <w:color w:val="auto"/>
        </w:rPr>
        <w:t>at least $40.0 million from the issuance and sale by the Company of its equity securities and/or upfront cash payments from one or more strategic corporate partnerships.</w:t>
      </w:r>
    </w:p>
    <w:p>
      <w:pPr>
        <w:spacing w:after="0" w:line="1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Term Loan will mature on July 1, 2018. Each advance under the Term Loan accrues interest at a floating per annum rate equal to the greater of (i) 7.30% or (ii) the sum of 7.30% plus the prime rate minus 5.75%. The Term Loan provides for interest-only payments on a monthly basis until December 31, 2015. The interest-only period may be extended at the Company’s option for a three-month period if the Company attains certain clinical milestones, and for an additional three-month period if the Company attains certain clinical milestones and receives net cash proceeds of at least $30.0 million from the issuance and sale by the Company of its equity securities and/or upfront cash payments from one or more strategic corporate partnerships. Thereafter, payments will be payable monthly in equal installments of principal and interest to fully amortize the outstanding principal over the remaining term of the loan, subject to recalculation upon a change in the prime rate. The Company may prepay the Term Loan in whole or in part upon seven business days’ prior written notice to Hercules. Any such prepayment of the Term Loan is subject to a prepayment charge of (i) 3.0% if such prepayment occurs within twelve months of the Closing Date, (ii) 2.0% if such prepayment occurs after twelve months following the Closing Date but on or prior to twenty-four months following the Closing Date, and (iii) 1.0% thereafter. Amounts outstanding during an event of default are payable upon Hercules’ demand and shall accrue interest at an additional rate of 5.0% per annum of the past due amount outstanding. At the end of the loan term (whether at maturity, by prepayment in full or otherwise), the Company shall pay a final end of term charge to Hercules in the amount of 6.7% of the aggregate original principal amount advanced by Hercules. The amount of the end of term charge is being accrued over the loan term as interest expense.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Hercules Loan Agreement, the Company issued to Hercules a warrant to purchase shares of the common stock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an exercise price of $6.05 per share. The warrant is initially exercisable for 137,521 shares of common stock. On such date (if any) as a Term C Loan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Advance is made to the Company, the warrant shall automatically become exercisable for an additional 34,380 shares of common stock. The warrant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exercisable until January 8, 2020. The Company estimated the fair value of the warrant for shares exercisable on the issue date in January 2015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$659,000. The value of the warrant was recorded as a discount to the loan and will be amortized to interest expense using the effective interest method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of the loan. The fair value of the warrant was estimated on the date of issue for the exercisable shares at that date using the Black-Scholes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pricing model. The following table shows the Black-Scholes assumptions used to value the warrant: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Borders>
              <w:bottom w:val="single" w:sz="8" w:color="CFF0FC"/>
            </w:tcBorders>
          </w:tcPr>
          <w:p>
            <w:pPr>
              <w:spacing w:after="0"/>
              <w:rPr>
                <w:sz w:val="15"/>
                <w:szCs w:val="15"/>
                <w:color w:val="auto"/>
              </w:rPr>
            </w:pPr>
          </w:p>
        </w:tc>
        <w:tc>
          <w:tcPr>
            <w:tcW w:w="26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January 8, 2015</w:t>
            </w:r>
          </w:p>
        </w:tc>
        <w:tc>
          <w:tcPr>
            <w:tcW w:w="180" w:type="dxa"/>
            <w:vAlign w:val="bottom"/>
            <w:tcBorders>
              <w:bottom w:val="single" w:sz="8" w:color="CFF0FC"/>
            </w:tcBorders>
          </w:tcPr>
          <w:p>
            <w:pPr>
              <w:spacing w:after="0"/>
              <w:rPr>
                <w:sz w:val="15"/>
                <w:szCs w:val="15"/>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Contractual life</w:t>
            </w:r>
          </w:p>
        </w:tc>
        <w:tc>
          <w:tcPr>
            <w:tcW w:w="2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80" w:type="dxa"/>
            <w:vAlign w:val="bottom"/>
            <w:shd w:val="clear" w:color="auto" w:fill="CFF0FC"/>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Volatility rate</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Expected dividends</w:t>
            </w:r>
          </w:p>
        </w:tc>
        <w:tc>
          <w:tcPr>
            <w:tcW w:w="2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connection with the Hercules Loan Agreement, the Company entered into a stock purchase agreement with Hercules, whereby Hercules purchased 135,501 shares of common stock from the Company at a price per share of $7.38, which was equal to the closing price of the common stock on the NASDAQ Global Market on January 7, 2015, for an aggregate purchase price of approximately $1.0 million.</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December 2011, the Company entered into a loan and security agreement with Lighthouse Capital to borrow up to $10.0 million in one or more advances by December 31, 2012. In both March 2012 and August 2012, the Company borrowed $5.0 million under the loan and security agreement, for a total of $10.0 million. This amount was being repaid over 36 months beginning on December 1, 2012, at an interest rate of 8.25%. In addition, the Company was required to make an additional payment in the amount of $600,000 at the end of the loan term. The amount was accrued over the loan term as interest expense. The amount accrued as of December 31, 2014 was $574,000, and it was included in accrued expense in the Company’s consolidated balance sheet. In January 2015, the Company repaid in full the amount outstanding under the Lighthouse Capital loan, or $3.6 million, with the proceeds from the Hercules Loan Agreement.</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connection with the loan and security agreement with Lighthouse Capital, the Company issued Lighthouse Capital a warrant to purchase a maximum of 66,436 shares of the Company’s Series D Preferred Stock, at an exercise price of $12.04 per share and with an expiration date 10 years from the date of issue (December 2021). The Company determined the fair value of the warrant at the end of each reporting period using the Black-Scholes option pricing model until the warrant converted to a warrant to purchase 66,436 shares of common stock upon the completion of the IPO. The value of the warrant was recorded as a discount to the loan and was being amortized as interest expense using the effective interest method over the 36-month repayment term. The unamortized discount relating to the warrants, or $0.2 million, was expensed as interest expense upon repayment of the loan in January 2015.</w:t>
      </w:r>
    </w:p>
    <w:p>
      <w:pPr>
        <w:spacing w:after="0" w:line="16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March 2014, the Company’s board of directors adopted and its stockholders approved the 2014 Stock Incentive Plan (the “2014 Plan”) and the 2014 Employee Stock Purchase Plan (the “ESPP”), which became effective upon the closing of the IPO.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right="280"/>
        <w:spacing w:after="0" w:line="277" w:lineRule="auto"/>
        <w:rPr>
          <w:sz w:val="20"/>
          <w:szCs w:val="20"/>
          <w:color w:val="auto"/>
        </w:rPr>
      </w:pPr>
      <w:r>
        <w:rPr>
          <w:rFonts w:ascii="Arial" w:cs="Arial" w:eastAsia="Arial" w:hAnsi="Arial"/>
          <w:sz w:val="18"/>
          <w:szCs w:val="18"/>
          <w:color w:val="auto"/>
        </w:rPr>
        <w:t>2014 Plan provides for the grant of incentive stock options, nonstatutory stock options, stock appreciation rights, restricted stock, restricted stock units and other stock-based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stock option activity for employee, director and nonemployee awards under all stock option plans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is presented below (Aggregate Intrinsic Value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jc w:val="center"/>
              <w:ind w:left="219"/>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tcPr>
          <w:p>
            <w:pPr>
              <w:jc w:val="center"/>
              <w:ind w:left="239"/>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center"/>
              <w:ind w:left="239"/>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January 1, 2015</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2,126,176</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4.97</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1,375,562</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7.35</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(370,230)</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4.40</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(609,736)</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5.83</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September 30, 2015</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2,521,772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6.21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expected to vest — September 30, 2015</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vMerge w:val="restart"/>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79"/>
              </w:rPr>
              <w:t>6.52</w:t>
            </w:r>
          </w:p>
        </w:tc>
        <w:tc>
          <w:tcPr>
            <w:tcW w:w="22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1,631,896</w:t>
            </w:r>
          </w:p>
        </w:tc>
        <w:tc>
          <w:tcPr>
            <w:tcW w:w="220" w:type="dxa"/>
            <w:vAlign w:val="bottom"/>
            <w:tcBorders>
              <w:bottom w:val="single" w:sz="8" w:color="CFF0FC"/>
            </w:tcBorders>
          </w:tcPr>
          <w:p>
            <w:pPr>
              <w:spacing w:after="0"/>
              <w:rPr>
                <w:sz w:val="21"/>
                <w:szCs w:val="21"/>
                <w:color w:val="auto"/>
              </w:rPr>
            </w:pPr>
          </w:p>
        </w:tc>
        <w:tc>
          <w:tcPr>
            <w:tcW w:w="8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 September 30, 2015</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807,424</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5.56</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weighted-average per share grant date fair value of options granted during the nine months ended September 30, 2015 and 2014 was $4.22 and $3.71, respectively.</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and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7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Company has recorded stock-based compensation expense related to the issuance of stock option awards to employees of $773,000 and $272,000, for the three months ended September 30, 2015 and 2014, respectively, and $1.6 million and $591,000 for the nine months ended September 30, 2015 and 2014, respectively. The assumptions used in the Black-Scholes option-pricing model for stock options granted to employees and to directors in respect of board services during the three and nine months ended September 30, 2015 and 2014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700" w:type="dxa"/>
            <w:vAlign w:val="bottom"/>
            <w:gridSpan w:val="4"/>
          </w:tcPr>
          <w:p>
            <w:pPr>
              <w:ind w:left="700"/>
              <w:spacing w:after="0"/>
              <w:rPr>
                <w:sz w:val="20"/>
                <w:szCs w:val="20"/>
                <w:color w:val="auto"/>
              </w:rPr>
            </w:pPr>
            <w:r>
              <w:rPr>
                <w:rFonts w:ascii="Arial" w:cs="Arial" w:eastAsia="Arial" w:hAnsi="Arial"/>
                <w:sz w:val="14"/>
                <w:szCs w:val="14"/>
                <w:b w:val="1"/>
                <w:bCs w:val="1"/>
                <w:color w:val="auto"/>
              </w:rPr>
              <w:t>Three Months Ended September 30,</w:t>
            </w:r>
          </w:p>
        </w:tc>
        <w:tc>
          <w:tcPr>
            <w:tcW w:w="364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FF0FC"/>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 years</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years</w:t>
            </w:r>
          </w:p>
        </w:tc>
        <w:tc>
          <w:tcPr>
            <w:tcW w:w="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 years</w:t>
            </w: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years</w:t>
            </w:r>
          </w:p>
        </w:tc>
        <w:tc>
          <w:tcPr>
            <w:tcW w:w="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1.65%-1.71%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1.86%-2.00%</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1.45%-2.02%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1.83%-2.00%</w:t>
            </w:r>
          </w:p>
        </w:tc>
        <w:tc>
          <w:tcPr>
            <w:tcW w:w="2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647"/>
        </w:trPr>
        <w:tc>
          <w:tcPr>
            <w:tcW w:w="40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ind w:firstLine="518"/>
        <w:spacing w:after="0" w:line="291" w:lineRule="auto"/>
        <w:rPr>
          <w:sz w:val="20"/>
          <w:szCs w:val="20"/>
          <w:color w:val="auto"/>
        </w:rPr>
      </w:pPr>
      <w:r>
        <w:rPr>
          <w:rFonts w:ascii="Arial" w:cs="Arial" w:eastAsia="Arial" w:hAnsi="Arial"/>
          <w:sz w:val="16"/>
          <w:szCs w:val="16"/>
          <w:color w:val="auto"/>
        </w:rPr>
        <w:t>During the nine months ended September 30, 2015, the Company granted nonemployee stock options to consultants for the purchase of 192,000 shares of the Company’s common stock. The weighted-average exercise price and the weighted-average fair value of nonemployee stock options granted for the nine months ended September 30, 2015 was $5.28 per share and $2.33 per share, respectively. The fair value of the grants is being expensed over the vesting period of the options on a straight-line basis as the services are being provided. On September 4, 2015, nonemployee stock options to purchase 90,000 shares of the Company’s common stock were converted to employee stock options upon the appointment of the Company’s Chief Medical Officer who had been serving as a consultant to the Company until his appointment. The exercise price and the fair value of these stock options is $4.71 per share and $2.71 per share, respectively. The Company did not make any nonemployee stock option grants during the nine months ended September 30, 2014.</w:t>
      </w:r>
    </w:p>
    <w:p>
      <w:pPr>
        <w:spacing w:after="0" w:line="16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The Company recorded stock-based compensation expense related to nonemployee awards of $63,000 and $13,000 for the three months ended September 30, 2015 and 2014, respectively, and $135,000 and $37,000 for the nine months ended September 30, 2015 and 2014, respectively. The compensation expense related to nonemployee awards is included in the total stock-based compensation each year and is subject to re-measurement until the options vest. The Black-Scholes assumptions used to estimate fair value for the three and nine months ended September 30, 2015 and 2014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74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 September 30,</w:t>
            </w:r>
          </w:p>
        </w:tc>
        <w:tc>
          <w:tcPr>
            <w:tcW w:w="364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04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75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2014</w:t>
            </w: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9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6"/>
              </w:rPr>
              <w:t>10 years</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years</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9.7-10 years</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years</w:t>
            </w: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8"/>
                <w:szCs w:val="18"/>
                <w:color w:val="auto"/>
              </w:rPr>
              <w:t>2.05 %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2.00%-2.53%</w:t>
            </w:r>
          </w:p>
        </w:tc>
        <w:tc>
          <w:tcPr>
            <w:tcW w:w="120" w:type="dxa"/>
            <w:vAlign w:val="bottom"/>
          </w:tcPr>
          <w:p>
            <w:pPr>
              <w:spacing w:after="0"/>
              <w:rPr>
                <w:sz w:val="19"/>
                <w:szCs w:val="19"/>
                <w:color w:val="auto"/>
              </w:rPr>
            </w:pPr>
          </w:p>
        </w:tc>
        <w:tc>
          <w:tcPr>
            <w:tcW w:w="1780" w:type="dxa"/>
            <w:vAlign w:val="bottom"/>
          </w:tcPr>
          <w:p>
            <w:pPr>
              <w:jc w:val="right"/>
              <w:ind w:right="116"/>
              <w:spacing w:after="0"/>
              <w:rPr>
                <w:sz w:val="20"/>
                <w:szCs w:val="20"/>
                <w:color w:val="auto"/>
              </w:rPr>
            </w:pPr>
            <w:r>
              <w:rPr>
                <w:rFonts w:ascii="Arial" w:cs="Arial" w:eastAsia="Arial" w:hAnsi="Arial"/>
                <w:sz w:val="18"/>
                <w:szCs w:val="18"/>
                <w:color w:val="auto"/>
              </w:rPr>
              <w:t>2.02%-2.12%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2.05%-2.53%</w:t>
            </w: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w:t>
            </w:r>
          </w:p>
        </w:tc>
      </w:tr>
      <w:tr>
        <w:trPr>
          <w:trHeight w:val="243"/>
        </w:trPr>
        <w:tc>
          <w:tcPr>
            <w:tcW w:w="502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the last day of the offering period, whichever is lower. Purchase dates under the ESPP occur on or about June 30 and December 31 of each year. The first offering period under the ESPP opened on July 1, 2015. The stock-based compensation expense related to the ESPP for the three and nine months ended September 30, 2015 was $13,000. There was no stock-based compensation related to the ESPP recorded for the three and nine months ended September 30, 2014.</w:t>
      </w:r>
    </w:p>
    <w:p>
      <w:pPr>
        <w:spacing w:after="0" w:line="154"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Company’s financial instruments consist of cash equivalents, accounts payable, accrued expenses, and debt obligations. The carrying amount of accounts payable and accrued expenses are considered a reasonable estimate of their fair value, due to the short-term maturity of these instruments. The carrying amount of debt is also considered to be a reasonable estimate of its fair value based on the short term nature of the debt and because the debt bears interest at the prevailing market rate for instruments with similar characteristics.</w:t>
      </w:r>
    </w:p>
    <w:p>
      <w:pPr>
        <w:spacing w:after="0" w:line="187"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that are accessible at the market date for identical unrestricted assets or liabilities.</w:t>
      </w:r>
    </w:p>
    <w:p>
      <w:pPr>
        <w:spacing w:after="0" w:line="225"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60" w:firstLine="518"/>
        <w:spacing w:after="0" w:line="277" w:lineRule="auto"/>
        <w:rPr>
          <w:sz w:val="20"/>
          <w:szCs w:val="20"/>
          <w:color w:val="auto"/>
        </w:rPr>
      </w:pPr>
      <w:r>
        <w:rPr>
          <w:rFonts w:ascii="Arial" w:cs="Arial" w:eastAsia="Arial" w:hAnsi="Arial"/>
          <w:sz w:val="18"/>
          <w:szCs w:val="18"/>
          <w:color w:val="auto"/>
        </w:rPr>
        <w:t>A summary of the financial assets and liabilities that are measured on a recurring basis at fair value as of September 30, 2015 and December 31, 2014,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center"/>
              <w:ind w:left="944"/>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1"/>
                <w:szCs w:val="11"/>
                <w:color w:val="auto"/>
              </w:rPr>
            </w:pPr>
          </w:p>
        </w:tc>
        <w:tc>
          <w:tcPr>
            <w:tcW w:w="110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10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1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10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99"/>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100" w:type="dxa"/>
            <w:vAlign w:val="bottom"/>
          </w:tcPr>
          <w:p>
            <w:pPr>
              <w:jc w:val="center"/>
              <w:ind w:right="123"/>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September 30, 2015</w:t>
            </w:r>
          </w:p>
        </w:tc>
        <w:tc>
          <w:tcPr>
            <w:tcW w:w="2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Money market funds</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77,323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77,323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2014</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Money market funds</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50,541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50,541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debt obligations are Level 2 measurements in the fair value hierarchy.</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transfers between levels occurred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are a clinical-stage, oncology-focused company applying our proprietary Dynamic Tumor Targeting™ Platform to develop differentiated therapies. This platform utilizes nanoparticle-drug conjugates, or NDCs, which consist of proprietary polymers that are covalently linked to anti-cancer therapeutics, or payloads. We believe these NDCs dynamically target tumors by exploiting the leakiness of immature blood vessels in tumors as an entry portal into tumor tissue, followed by active uptake into tumor cells and the sustained release of the anti-cancer payload inside the tumor cells. We believe that our NDCs are differentiated from other nanoparticle technologies by our linker technology and expertise, which enable preferential delivery of our anti-cancer payloads.</w:t>
      </w:r>
    </w:p>
    <w:p>
      <w:pPr>
        <w:spacing w:after="0" w:line="15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During the quarter ended September 30, 2015, we appointed Adrian Senderowicz, M.D., as Senior Vice President &amp; Chief Medical Officer. Before working for biotechnology and pharmaceutical companies, Dr. Senderowicz held a variety of leadership positions at the U.S. Food and Drug Administration, or the FDA, Division of Oncology Drug Products in the Center for Drug Evaluation and Research and a variety of clinical and research positions with the National Cancer Institute/National Institutes of Health, or NCI.</w:t>
      </w:r>
    </w:p>
    <w:p>
      <w:pPr>
        <w:spacing w:after="0" w:line="18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reported during the quarter that our lead NDC, CRLX101, achieved the pre-defined, gating criterion for advancement into stage two of an open label, single-arm Phase 2 investigator-sponsored trial, or IST, of CRLX101 in combination with Avastin® in patients with recurrent cisplatin-resistant ovarian, tubal and peritoneal cancer. Eighteen patients were enrolled in stage one of the trial. As of November 12, 2015, nine of 16 patients, or 56%, have achieved at least six months of progression free survival, with two patients still ongoing who have been on the study less than six months. The trial is investigating the rate of PFS at six months using Response Evaluation Criteria in Solid Tumors, or RECIST 1.1, in recurrent cisplatin-resistant ovarian, tubal and peritoneal cancer patients.</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October 2015, we announced completion of enrollment of our company-sponsored randomized, controlled Phase 2 trial of CRLX101 in combination with Avastin, in third- and fourth-line relapsed renal cell carcinoma, or RCC. This Phase 2 trial, or the RCC Trial, compares CRLX101 in combination with Avastin to investigator's choice of standard of care in patients with RCC who have received two or three prior lines of therapy. The trial is sized to show a 2.3 month improvement over an expected 3.5 month median PFS for standard of care with a hazard ratio of 0.6, meaning that the trial is expected to show whether CRLX101 plus Avastin provides a 40% decrease in risk of progression over available third- and fourth-line treatments. The trial is fully enrolled with 115 patients.</w:t>
      </w:r>
    </w:p>
    <w:p>
      <w:pPr>
        <w:spacing w:after="0" w:line="193"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also announced in October 2015 that the first patient was dosed in a company-sponsored Phase 1 trial exploring a dose-intensive schedule for CRLX101 in patients with advanced solid tumor malignancies. The trial is an open-label, dose-escalation study in patients with advanced solid tumor malignancies with up to 18 patients receiving weekly CRLX101 alone, and up to 18 patients receiving weekly CRLX101 in combination with bi-weekly Avastin. The trial will explore safety and tolerability of CRLX101 when administered in a weekly dosing regimen and is designed to determine the maximum tolerated dose for potential indications of CRLX101. Preliminary evidence of anti-tumor activity will also be evaluated.</w:t>
      </w:r>
    </w:p>
    <w:p>
      <w:pPr>
        <w:spacing w:after="0" w:line="173"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Our second NDC, CRLX301, is in Phase 1 clinical development. On March 27, 2015, the investigational new drug application, or IND, for CRLX301 in the United States became effective, which enables us to conduct clinical trials for CRLX301 in the United States. The Phase 1 portion of a Phase 1/2a clinical trial for CRLX301 at two cancer centers in Australia has been underway since December 2014 and we have added sites in the U.S. as well.</w:t>
      </w:r>
    </w:p>
    <w:p>
      <w:pPr>
        <w:spacing w:after="0" w:line="14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To date, we have devoted substantially all of our resources to our drug discovery and development efforts, including conducting clinical trials of our product candidates, protecting our intellectual property and the general and administrative support of these operations. We have generated no revenue from product sales. We expect that it will be several years before we commercialize a product candidate, if ever. Through September 30, 2015, we have funded our operations primarily through $84.2 million in proceeds from the sale of shares of our convertible preferred stock in private placements, net proceeds of $59.9 million from sales of shares of our common stock in our initial public offering, or IPO, net proceeds of $37.2 million from the sale of shares of our common stock in April 2015 in an underwritten public offering, $17.3 million in proceeds from our sale of convertible promissory notes, $10.0 million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jc w:val="both"/>
        <w:ind w:right="200"/>
        <w:spacing w:after="0" w:line="264" w:lineRule="auto"/>
        <w:rPr>
          <w:sz w:val="20"/>
          <w:szCs w:val="20"/>
          <w:color w:val="auto"/>
        </w:rPr>
      </w:pPr>
      <w:r>
        <w:rPr>
          <w:rFonts w:ascii="Arial" w:cs="Arial" w:eastAsia="Arial" w:hAnsi="Arial"/>
          <w:sz w:val="18"/>
          <w:szCs w:val="18"/>
          <w:color w:val="auto"/>
        </w:rPr>
        <w:t>in proceeds from a loan and security agreement with Lighthouse Capital Partners VI, L.P., or Lighthouse Capital, and $15.0 million in proceeds from a loan and security agreement with Hercules Technology Growth Capital, Inc., or Hercules. We refer to our loan and security agreements with Lighthouse Capital and Hercules as the Lighthouse Loan Agreement and Hercules Loan Agreement, respectively.</w:t>
      </w:r>
    </w:p>
    <w:p>
      <w:pPr>
        <w:spacing w:after="0" w:line="18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We have never been profitable and have incurred significant operating losses since our incorporation. As of September 30, 2015, we had an accumulated deficit of $150.4 million. We incurred net losses of approximately $28.6 million and $15.9 million for the nine months ended September 30, 2015 and 2014, respectively.</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expect to continue to incur significant and increasing expenses and operating losses for the foreseeable future, as we advance our product candidates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7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To date, our only revenue has consisted of a government tax credit that we received in 2010 and payments in each of the years from 2011 through 2014 from four material transfer agreements and a research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Research and development expense consists of costs incurred in connection with the discovery and development of our Dynamic Tumor Targeting Platform and our NDCs. These expenses consist primarily of:</w:t>
      </w:r>
    </w:p>
    <w:p>
      <w:pPr>
        <w:ind w:left="900" w:hanging="379"/>
        <w:spacing w:after="0" w:line="210" w:lineRule="auto"/>
        <w:tabs>
          <w:tab w:leader="none" w:pos="9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employee-related expenses, including salaries, benefits and stock-based compensation expense;</w:t>
      </w:r>
    </w:p>
    <w:p>
      <w:pPr>
        <w:spacing w:after="0" w:line="110" w:lineRule="exact"/>
        <w:rPr>
          <w:rFonts w:ascii="Arial" w:cs="Arial" w:eastAsia="Arial" w:hAnsi="Arial"/>
          <w:sz w:val="29"/>
          <w:szCs w:val="29"/>
          <w:color w:val="auto"/>
          <w:vertAlign w:val="superscript"/>
        </w:rPr>
      </w:pPr>
    </w:p>
    <w:p>
      <w:pPr>
        <w:ind w:left="900" w:right="660" w:hanging="379"/>
        <w:spacing w:after="0" w:line="191" w:lineRule="auto"/>
        <w:tabs>
          <w:tab w:leader="none" w:pos="9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expenses incurred under agreements with contract research organizations, or CROs, investigative sites that conduct our clinical trials and consultants that conduct a portion of our preclinical studies;</w:t>
      </w:r>
    </w:p>
    <w:p>
      <w:pPr>
        <w:ind w:left="900" w:hanging="379"/>
        <w:spacing w:after="0" w:line="233" w:lineRule="auto"/>
        <w:tabs>
          <w:tab w:leader="none" w:pos="9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expenses relating to scientific and medical consultants and advisors;</w:t>
      </w:r>
    </w:p>
    <w:p>
      <w:pPr>
        <w:spacing w:after="0" w:line="110" w:lineRule="exact"/>
        <w:rPr>
          <w:rFonts w:ascii="Arial" w:cs="Arial" w:eastAsia="Arial" w:hAnsi="Arial"/>
          <w:sz w:val="29"/>
          <w:szCs w:val="29"/>
          <w:color w:val="auto"/>
          <w:vertAlign w:val="superscript"/>
        </w:rPr>
      </w:pPr>
    </w:p>
    <w:p>
      <w:pPr>
        <w:ind w:left="900" w:hanging="379"/>
        <w:spacing w:after="0" w:line="186" w:lineRule="auto"/>
        <w:tabs>
          <w:tab w:leader="none" w:pos="90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the cost of acquiring and manufacturing clinical trial materials;</w:t>
      </w:r>
    </w:p>
    <w:p>
      <w:pPr>
        <w:spacing w:after="0" w:line="110" w:lineRule="exact"/>
        <w:rPr>
          <w:rFonts w:ascii="Arial" w:cs="Arial" w:eastAsia="Arial" w:hAnsi="Arial"/>
          <w:sz w:val="24"/>
          <w:szCs w:val="24"/>
          <w:color w:val="auto"/>
          <w:vertAlign w:val="superscript"/>
        </w:rPr>
      </w:pPr>
    </w:p>
    <w:p>
      <w:pPr>
        <w:ind w:left="900" w:right="120" w:hanging="379"/>
        <w:spacing w:after="0" w:line="191" w:lineRule="auto"/>
        <w:tabs>
          <w:tab w:leader="none" w:pos="9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facilities, depreciation of fixed assets and other allocated expenses, including direct and allocated expenses for rent and maintenance of facilities and equipment;</w:t>
      </w:r>
    </w:p>
    <w:p>
      <w:pPr>
        <w:spacing w:after="0" w:line="25" w:lineRule="exact"/>
        <w:rPr>
          <w:rFonts w:ascii="Arial" w:cs="Arial" w:eastAsia="Arial" w:hAnsi="Arial"/>
          <w:sz w:val="29"/>
          <w:szCs w:val="29"/>
          <w:color w:val="auto"/>
          <w:vertAlign w:val="superscript"/>
        </w:rPr>
      </w:pPr>
    </w:p>
    <w:p>
      <w:pPr>
        <w:ind w:left="900" w:hanging="379"/>
        <w:spacing w:after="0"/>
        <w:tabs>
          <w:tab w:leader="none" w:pos="90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lab supplies, reagents, active pharmaceutical ingredients and other direct and indirect costs in support of our preclinical and clinical activities;</w:t>
      </w:r>
    </w:p>
    <w:p>
      <w:pPr>
        <w:spacing w:after="0" w:line="109" w:lineRule="exact"/>
        <w:rPr>
          <w:rFonts w:ascii="Arial" w:cs="Arial" w:eastAsia="Arial" w:hAnsi="Arial"/>
          <w:sz w:val="26"/>
          <w:szCs w:val="26"/>
          <w:color w:val="auto"/>
          <w:vertAlign w:val="superscript"/>
        </w:rPr>
      </w:pPr>
    </w:p>
    <w:p>
      <w:pPr>
        <w:ind w:left="900" w:hanging="379"/>
        <w:spacing w:after="0" w:line="186" w:lineRule="auto"/>
        <w:tabs>
          <w:tab w:leader="none" w:pos="90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license fees related to in-licensed products and technology; and</w:t>
      </w:r>
    </w:p>
    <w:p>
      <w:pPr>
        <w:spacing w:after="0" w:line="110" w:lineRule="exact"/>
        <w:rPr>
          <w:rFonts w:ascii="Arial" w:cs="Arial" w:eastAsia="Arial" w:hAnsi="Arial"/>
          <w:sz w:val="24"/>
          <w:szCs w:val="24"/>
          <w:color w:val="auto"/>
          <w:vertAlign w:val="superscript"/>
        </w:rPr>
      </w:pPr>
    </w:p>
    <w:p>
      <w:pPr>
        <w:ind w:left="900" w:hanging="379"/>
        <w:spacing w:after="0" w:line="186" w:lineRule="auto"/>
        <w:tabs>
          <w:tab w:leader="none" w:pos="90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costs associated with non-clinical activities and regulatory approvals.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expense research and development costs as incurred.</w:t>
      </w:r>
    </w:p>
    <w:p>
      <w:pPr>
        <w:spacing w:after="0" w:line="225"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and CRLX301, and advance our earlier-stage research and development projects.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160" w:firstLine="518"/>
        <w:spacing w:after="0" w:line="253" w:lineRule="auto"/>
        <w:rPr>
          <w:sz w:val="20"/>
          <w:szCs w:val="20"/>
          <w:color w:val="auto"/>
        </w:rPr>
      </w:pPr>
      <w:r>
        <w:rPr>
          <w:rFonts w:ascii="Arial" w:cs="Arial" w:eastAsia="Arial" w:hAnsi="Arial"/>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three and nine months ended September 30, 2015 and 2014 (in thousands):</w:t>
      </w:r>
    </w:p>
    <w:tbl>
      <w:tblPr>
        <w:tblLayout w:type="fixed"/>
        <w:tblInd w:w="0" w:type="dxa"/>
        <w:tblCellMar>
          <w:top w:w="0" w:type="dxa"/>
          <w:left w:w="0" w:type="dxa"/>
          <w:bottom w:w="0" w:type="dxa"/>
          <w:right w:w="0" w:type="dxa"/>
        </w:tblCellMar>
      </w:tblPr>
      <w:tr>
        <w:trPr>
          <w:trHeight w:val="143"/>
        </w:trPr>
        <w:tc>
          <w:tcPr>
            <w:tcW w:w="3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3"/>
          </w:tcPr>
          <w:p>
            <w:pPr>
              <w:jc w:val="right"/>
              <w:ind w:right="296"/>
              <w:spacing w:after="0" w:line="143" w:lineRule="exact"/>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3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CRLX101</w:t>
            </w: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13,486</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CRLX301</w:t>
            </w: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2,790</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Overhead</w:t>
            </w:r>
          </w:p>
        </w:tc>
        <w:tc>
          <w:tcPr>
            <w:tcW w:w="10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0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our research and development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CRLX101</w:t>
      </w:r>
    </w:p>
    <w:p>
      <w:pPr>
        <w:spacing w:after="0" w:line="225"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Our lead product candidate, CRLX101, is an NDC in Phase 2 clinical development. We are pursuing development of CRLX101 in combination with anti-cancer therapies in multiple ongoing clinical development programs that include company-sponsored trials and ISTs. These trials consist of:</w:t>
      </w:r>
    </w:p>
    <w:p>
      <w:pPr>
        <w:spacing w:after="0" w:line="38"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Relapsed renal cell carcinoma:</w:t>
      </w:r>
    </w:p>
    <w:p>
      <w:pPr>
        <w:spacing w:after="0" w:line="225" w:lineRule="exact"/>
        <w:rPr>
          <w:rFonts w:ascii="Arial" w:cs="Arial" w:eastAsia="Arial" w:hAnsi="Arial"/>
          <w:sz w:val="18"/>
          <w:szCs w:val="18"/>
          <w:color w:val="auto"/>
        </w:rPr>
      </w:pPr>
    </w:p>
    <w:p>
      <w:pPr>
        <w:ind w:left="1280" w:right="80" w:hanging="381"/>
        <w:spacing w:after="0" w:line="254" w:lineRule="auto"/>
        <w:tabs>
          <w:tab w:leader="none" w:pos="1280" w:val="left"/>
        </w:tabs>
        <w:numPr>
          <w:ilvl w:val="1"/>
          <w:numId w:val="12"/>
        </w:numPr>
        <w:rPr>
          <w:rFonts w:ascii="Courier New" w:cs="Courier New" w:eastAsia="Courier New" w:hAnsi="Courier New"/>
          <w:sz w:val="18"/>
          <w:szCs w:val="18"/>
          <w:color w:val="auto"/>
        </w:rPr>
      </w:pPr>
      <w:r>
        <w:rPr>
          <w:rFonts w:ascii="Arial" w:cs="Arial" w:eastAsia="Arial" w:hAnsi="Arial"/>
          <w:sz w:val="18"/>
          <w:szCs w:val="18"/>
          <w:color w:val="auto"/>
        </w:rPr>
        <w:t>The RCC Trial, which is a Phase 2 randomized, controlled, company-sponsored trial is being conducted comparing CRLX101 administered in combination with Avastin to investigator’s choice of standard of care in patients with RCC who have received two or three prior lines of therapy.</w:t>
      </w:r>
    </w:p>
    <w:p>
      <w:pPr>
        <w:spacing w:after="0" w:line="190" w:lineRule="exact"/>
        <w:rPr>
          <w:rFonts w:ascii="Courier New" w:cs="Courier New" w:eastAsia="Courier New" w:hAnsi="Courier New"/>
          <w:sz w:val="18"/>
          <w:szCs w:val="18"/>
          <w:color w:val="auto"/>
        </w:rPr>
      </w:pPr>
    </w:p>
    <w:p>
      <w:pPr>
        <w:ind w:left="1280" w:hanging="381"/>
        <w:spacing w:after="0"/>
        <w:tabs>
          <w:tab w:leader="none" w:pos="1280" w:val="left"/>
        </w:tabs>
        <w:numPr>
          <w:ilvl w:val="1"/>
          <w:numId w:val="12"/>
        </w:numPr>
        <w:rPr>
          <w:rFonts w:ascii="Courier New" w:cs="Courier New" w:eastAsia="Courier New" w:hAnsi="Courier New"/>
          <w:sz w:val="18"/>
          <w:szCs w:val="18"/>
          <w:color w:val="auto"/>
        </w:rPr>
      </w:pPr>
      <w:r>
        <w:rPr>
          <w:rFonts w:ascii="Arial" w:cs="Arial" w:eastAsia="Arial" w:hAnsi="Arial"/>
          <w:sz w:val="18"/>
          <w:szCs w:val="18"/>
          <w:color w:val="auto"/>
        </w:rPr>
        <w:t>A Phase 1b/2 single-arm IST of CRLX101 in combination with Avastin.</w:t>
      </w:r>
    </w:p>
    <w:p>
      <w:pPr>
        <w:spacing w:after="0" w:line="209" w:lineRule="exact"/>
        <w:rPr>
          <w:rFonts w:ascii="Courier New" w:cs="Courier New" w:eastAsia="Courier New" w:hAnsi="Courier New"/>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Relapsed ovarian cancer:</w:t>
      </w:r>
    </w:p>
    <w:p>
      <w:pPr>
        <w:spacing w:after="0" w:line="225" w:lineRule="exact"/>
        <w:rPr>
          <w:rFonts w:ascii="Arial" w:cs="Arial" w:eastAsia="Arial" w:hAnsi="Arial"/>
          <w:sz w:val="18"/>
          <w:szCs w:val="18"/>
          <w:color w:val="auto"/>
        </w:rPr>
      </w:pPr>
    </w:p>
    <w:p>
      <w:pPr>
        <w:ind w:left="1280" w:right="460" w:hanging="381"/>
        <w:spacing w:after="0" w:line="259" w:lineRule="auto"/>
        <w:tabs>
          <w:tab w:leader="none" w:pos="1280" w:val="left"/>
        </w:tabs>
        <w:numPr>
          <w:ilvl w:val="1"/>
          <w:numId w:val="12"/>
        </w:numPr>
        <w:rPr>
          <w:rFonts w:ascii="Courier New" w:cs="Courier New" w:eastAsia="Courier New" w:hAnsi="Courier New"/>
          <w:sz w:val="18"/>
          <w:szCs w:val="18"/>
          <w:color w:val="auto"/>
        </w:rPr>
      </w:pPr>
      <w:r>
        <w:rPr>
          <w:rFonts w:ascii="Arial" w:cs="Arial" w:eastAsia="Arial" w:hAnsi="Arial"/>
          <w:sz w:val="18"/>
          <w:szCs w:val="18"/>
          <w:color w:val="auto"/>
        </w:rPr>
        <w:t>A Phase 1b single-arm, company-sponsored trial of CRLX101 in combination with weekly paclitaxel in patients with relapsed ovarian cancer being conducted in collaboration with the GOG Foundation, Inc.</w:t>
      </w:r>
    </w:p>
    <w:p>
      <w:pPr>
        <w:spacing w:after="0" w:line="184" w:lineRule="exact"/>
        <w:rPr>
          <w:rFonts w:ascii="Courier New" w:cs="Courier New" w:eastAsia="Courier New" w:hAnsi="Courier New"/>
          <w:sz w:val="18"/>
          <w:szCs w:val="18"/>
          <w:color w:val="auto"/>
        </w:rPr>
      </w:pPr>
    </w:p>
    <w:p>
      <w:pPr>
        <w:ind w:left="1280" w:right="400" w:hanging="381"/>
        <w:spacing w:after="0" w:line="259" w:lineRule="auto"/>
        <w:tabs>
          <w:tab w:leader="none" w:pos="1280" w:val="left"/>
        </w:tabs>
        <w:numPr>
          <w:ilvl w:val="1"/>
          <w:numId w:val="12"/>
        </w:numPr>
        <w:rPr>
          <w:rFonts w:ascii="Courier New" w:cs="Courier New" w:eastAsia="Courier New" w:hAnsi="Courier New"/>
          <w:sz w:val="18"/>
          <w:szCs w:val="18"/>
          <w:color w:val="auto"/>
        </w:rPr>
      </w:pPr>
      <w:r>
        <w:rPr>
          <w:rFonts w:ascii="Arial" w:cs="Arial" w:eastAsia="Arial" w:hAnsi="Arial"/>
          <w:sz w:val="18"/>
          <w:szCs w:val="18"/>
          <w:color w:val="auto"/>
        </w:rPr>
        <w:t>A Phase 2 IST of CRLX101 as monotherapy (in one arm) and in combination with Avastin (in a separate arm) in patients with relapsed ovarian, tubal and peritoneal cancer.</w:t>
      </w:r>
    </w:p>
    <w:p>
      <w:pPr>
        <w:spacing w:after="0" w:line="184" w:lineRule="exact"/>
        <w:rPr>
          <w:rFonts w:ascii="Courier New" w:cs="Courier New" w:eastAsia="Courier New" w:hAnsi="Courier New"/>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Neoadjuvant rectal cancer:</w:t>
      </w:r>
    </w:p>
    <w:p>
      <w:pPr>
        <w:spacing w:after="0" w:line="225" w:lineRule="exact"/>
        <w:rPr>
          <w:rFonts w:ascii="Arial" w:cs="Arial" w:eastAsia="Arial" w:hAnsi="Arial"/>
          <w:sz w:val="18"/>
          <w:szCs w:val="18"/>
          <w:color w:val="auto"/>
        </w:rPr>
      </w:pPr>
    </w:p>
    <w:p>
      <w:pPr>
        <w:ind w:left="1280" w:hanging="381"/>
        <w:spacing w:after="0"/>
        <w:tabs>
          <w:tab w:leader="none" w:pos="1280" w:val="left"/>
        </w:tabs>
        <w:numPr>
          <w:ilvl w:val="1"/>
          <w:numId w:val="12"/>
        </w:numPr>
        <w:rPr>
          <w:rFonts w:ascii="Courier New" w:cs="Courier New" w:eastAsia="Courier New" w:hAnsi="Courier New"/>
          <w:sz w:val="17"/>
          <w:szCs w:val="17"/>
          <w:color w:val="auto"/>
        </w:rPr>
      </w:pPr>
      <w:r>
        <w:rPr>
          <w:rFonts w:ascii="Arial" w:cs="Arial" w:eastAsia="Arial" w:hAnsi="Arial"/>
          <w:sz w:val="17"/>
          <w:szCs w:val="17"/>
          <w:color w:val="auto"/>
        </w:rPr>
        <w:t>A Phase 1b/2 single-arm IST of CRLX101 in combination with chemoradiotherapy in patients with locally advanced rectal cancer.</w:t>
      </w:r>
    </w:p>
    <w:p>
      <w:pPr>
        <w:spacing w:after="0" w:line="330" w:lineRule="exact"/>
        <w:rPr>
          <w:sz w:val="20"/>
          <w:szCs w:val="20"/>
          <w:color w:val="auto"/>
        </w:rPr>
      </w:pPr>
    </w:p>
    <w:p>
      <w:pPr>
        <w:jc w:val="both"/>
        <w:ind w:right="240" w:firstLine="518"/>
        <w:spacing w:after="0" w:line="259" w:lineRule="auto"/>
        <w:rPr>
          <w:sz w:val="20"/>
          <w:szCs w:val="20"/>
          <w:color w:val="auto"/>
        </w:rPr>
      </w:pPr>
      <w:r>
        <w:rPr>
          <w:rFonts w:ascii="Arial" w:cs="Arial" w:eastAsia="Arial" w:hAnsi="Arial"/>
          <w:sz w:val="18"/>
          <w:szCs w:val="18"/>
          <w:color w:val="auto"/>
        </w:rPr>
        <w:t>We are also conducting a company-sponsored Phase 1 trial exploring a dose-intensive schedule for CRLX101 in patients with advanced solid tumor malignancies. The trial will explore safety and tolerability of CRLX101 when administered in a weekly dosing regimen alone and in combination with bi-weekly Avastin. The trial is designed to determine the maximum tolerated dose for potential indications of CRLX101. Preliminary evidence of anti-tumor activity will also be evaluated.</w:t>
      </w:r>
    </w:p>
    <w:p>
      <w:pPr>
        <w:spacing w:after="0" w:line="18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8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Under our license agreement with Calando Pharmaceuticals, Inc., or Calando, pursuant to which we obtained rights to CRLX101, or the CRLX101 Agreement, we are obligated to pay milestone payments which could total, in the aggregate, $32.8 million, if we achieve certain development and sales events with CRLX101.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ectPr>
          <w:pgSz w:w="11900" w:h="16838" w:orient="portrait"/>
          <w:cols w:equalWidth="0" w:num="1">
            <w:col w:w="11420"/>
          </w:cols>
          <w:pgMar w:left="240" w:top="341"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CRLX301</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CRLX301 is currently in early stage clinical development, with a Phase 1 trial ongoing. Assuming we are successful in establishing a safe maximum tolerated dose and/or a recommended Phase 2 dose in the Phase 1 trial, we plan to rapidly advance CRLX301 into Phase 2 development in selected solid tumors.</w:t>
      </w:r>
    </w:p>
    <w:p>
      <w:pPr>
        <w:spacing w:after="0" w:line="18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Under our license agreement with Calando pursuant to which we obtained rights to Calando’s cyclodextrin system for purposes of conjugating or complexing certain other therapeutic agents to the system, or the Platform Agreement, we paid a $250,000 clinical development milestone to Calando in January 2015 in connection with the initiation of our Phase 1 clinical trial of CRLX301 in December 2014. We are also required to make milestone payments in an aggregate amount of up to $18.0 million to Calando if we achieve certain development and sales events with respect to any cyclodextrin-based, or CDP-based, product. Further, under the Platform Agreement, if we, or one of our affiliates, sell CRLX301, or any CDP-based product, we are required to pay tiered royalty payments ranging from low- to mid-single digits, as a percentage of worldwide net sales, depending on whether there is patent protection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low-double digits.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Nanoparticle-Drug Conjugates or NDCs</w:t>
      </w:r>
    </w:p>
    <w:p>
      <w:pPr>
        <w:spacing w:after="0" w:line="225" w:lineRule="exact"/>
        <w:rPr>
          <w:sz w:val="20"/>
          <w:szCs w:val="20"/>
          <w:color w:val="auto"/>
        </w:rPr>
      </w:pPr>
    </w:p>
    <w:p>
      <w:pPr>
        <w:jc w:val="both"/>
        <w:ind w:right="360" w:firstLine="518"/>
        <w:spacing w:after="0" w:line="264" w:lineRule="auto"/>
        <w:rPr>
          <w:sz w:val="20"/>
          <w:szCs w:val="20"/>
          <w:color w:val="auto"/>
        </w:rPr>
      </w:pPr>
      <w:r>
        <w:rPr>
          <w:rFonts w:ascii="Arial" w:cs="Arial" w:eastAsia="Arial" w:hAnsi="Arial"/>
          <w:sz w:val="18"/>
          <w:szCs w:val="18"/>
          <w:color w:val="auto"/>
        </w:rPr>
        <w:t>We expect that the expenses related to our NDCs will continue to increase as we seek to identify additional targets for preclinical research and add personnel to these projects. We cannot accurately predict future research and development expenses for our NDCs because such costs are dependent on a number of variables, including the success of preclinical studies on any such NDC.</w:t>
      </w:r>
    </w:p>
    <w:p>
      <w:pPr>
        <w:spacing w:after="0" w:line="18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successful development of any of our NDCs is highly uncertain. As such, at this time, we cannot reasonably predict with certainty the duration and costs of the current or future preclinical studies or clinical trials of any of our NDCs or if, when or to what extent we will generate revenues from any commercialization and sale of any of our NDCs that obtain marketing approval. We may never succeed in achieving regulatory approval for any of our NDCs. The duration, costs and timing of development of our NDCs will depend on a variety of factors, including:</w:t>
      </w:r>
    </w:p>
    <w:p>
      <w:pPr>
        <w:spacing w:after="0" w:line="63" w:lineRule="exact"/>
        <w:rPr>
          <w:sz w:val="20"/>
          <w:szCs w:val="20"/>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and rate of progress of our ongoing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profile of any product candidate once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timing, results and costs of researching and developing our NDCs and conducting preclinical and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from ongoing as well as any future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and changing government regulation in the United States and abroad;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or approval of our NDCs in the United States and abroad;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arrangements with third party suppliers of raw materials and third party manufacturers of finished drug product;</w:t>
      </w:r>
    </w:p>
    <w:p>
      <w:pPr>
        <w:spacing w:after="0" w:line="117"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manufacture, market, commercialize and achieve market acceptance for any of our NDCs that we are developing or may develop in the future;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of preparing, filing and prosecuting patent applications and maintaining, enforcing and defending intellectual property-related claims.</w:t>
      </w:r>
    </w:p>
    <w:p>
      <w:pPr>
        <w:spacing w:after="0" w:line="248"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Any change in the outcome of any of these variables with respect to the development of a NDC could mean a significant change in the cost and timing associated with the development of that NDC. For example, if the FDA, or a comparable non-U.S. regulatory authority were to require us to conduct clinical trials beyond those that we currently anticipate will be required for the marketing authorization of a NDC, or if we experience significant delays in enrollment in any of our clinical trials, we could be required to expend significant additional financial resources and time to obtain marketing authorization.</w:t>
      </w:r>
    </w:p>
    <w:p>
      <w:pPr>
        <w:spacing w:after="0" w:line="154" w:lineRule="exact"/>
        <w:rPr>
          <w:sz w:val="20"/>
          <w:szCs w:val="20"/>
          <w:color w:val="auto"/>
        </w:rPr>
      </w:pPr>
    </w:p>
    <w:p>
      <w:pPr>
        <w:ind w:right="1080" w:firstLine="518"/>
        <w:spacing w:after="0" w:line="308" w:lineRule="auto"/>
        <w:rPr>
          <w:sz w:val="20"/>
          <w:szCs w:val="20"/>
          <w:color w:val="auto"/>
        </w:rPr>
      </w:pPr>
      <w:r>
        <w:rPr>
          <w:rFonts w:ascii="Arial" w:cs="Arial" w:eastAsia="Arial" w:hAnsi="Arial"/>
          <w:sz w:val="17"/>
          <w:szCs w:val="17"/>
          <w:color w:val="auto"/>
        </w:rPr>
        <w:t>As a result of the uncertainties discussed above, we are unable to determine when, or to what extent, we will generate revenues from the commercialization and sale of any of our NDCs. We anticipate that we will make determinations as to which additional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jc w:val="both"/>
        <w:ind w:right="260"/>
        <w:spacing w:after="0" w:line="286" w:lineRule="auto"/>
        <w:rPr>
          <w:sz w:val="20"/>
          <w:szCs w:val="20"/>
          <w:color w:val="auto"/>
        </w:rPr>
      </w:pPr>
      <w:r>
        <w:rPr>
          <w:rFonts w:ascii="Arial" w:cs="Arial" w:eastAsia="Arial" w:hAnsi="Arial"/>
          <w:sz w:val="17"/>
          <w:szCs w:val="17"/>
          <w:color w:val="auto"/>
        </w:rPr>
        <w:t>programs to pursue and how much funding to direct to each program on an ongoing basis in response to the scientific and clinical data with respect to each NDC, as well as our ongoing assessment of the NDCs’ commercial potential. We will need to raise additional capital in the future in order to complete the development and commercialization of CRLX101 and CRLX301 and to fund the development of our other NDCs, if 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General and administrative expenses consist principally of salaries and related costs for personnel in our executive, finance, business development, marketing,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anticipate that our general and administrative expenses will increase in the future for, among others, the following reasons:</w:t>
      </w:r>
    </w:p>
    <w:p>
      <w:pPr>
        <w:spacing w:after="0" w:line="117" w:lineRule="exact"/>
        <w:rPr>
          <w:sz w:val="20"/>
          <w:szCs w:val="20"/>
          <w:color w:val="auto"/>
        </w:rPr>
      </w:pPr>
    </w:p>
    <w:p>
      <w:pPr>
        <w:ind w:left="900" w:right="1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to incur increased general and administrative expenses to support our research and development activities, which we expect to expand as we continue to pursue the development of our NDCs;</w:t>
      </w:r>
    </w:p>
    <w:p>
      <w:pPr>
        <w:spacing w:after="0" w:line="62" w:lineRule="exact"/>
        <w:rPr>
          <w:rFonts w:ascii="Arial" w:cs="Arial" w:eastAsia="Arial" w:hAnsi="Arial"/>
          <w:sz w:val="18"/>
          <w:szCs w:val="18"/>
          <w:color w:val="auto"/>
        </w:rPr>
      </w:pPr>
    </w:p>
    <w:p>
      <w:pPr>
        <w:ind w:left="900" w:right="380" w:hanging="379"/>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our general and administrative expenses will continue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73"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begin to incur expenses related to sales and marketing of our NDCs in anticipation of commercial launch before we receive regulatory approval of a NDC.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income consists of interest earned on our cash and cash equivalents. The primary objective of our investment policy is capital preservation.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Interest expense consists primarily of interest, amortization of debt discount and amortization of deferred financing costs associated with the Hercules Loan Agreement. Interest expense also includes the write off of debt discount and deferred financing costs associated with the repayment in 2015 of the debt incurred under the Lighthouse Loan Agreement. In 2014, interest expense consists primarily of interest, amortization of debt discount and amortization of deferred financing costs associated with the Lighthouse Loan Agreement and interest expense on our convertible notes.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2015 and 2014 (Unaudited)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three months ended September 30, 2015 and 2014, together with the changes in those items in dollars and as a percentage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Dollar</w:t>
            </w:r>
          </w:p>
        </w:tc>
        <w:tc>
          <w:tcPr>
            <w:tcW w:w="74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for the three months ended September 30, 2015, was $7.1 million compared to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September 30, 2014, an increase of $4.2 million, or 142%. The increase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400"/>
        <w:spacing w:after="0" w:line="264" w:lineRule="auto"/>
        <w:rPr>
          <w:sz w:val="20"/>
          <w:szCs w:val="20"/>
          <w:color w:val="auto"/>
        </w:rPr>
      </w:pPr>
      <w:r>
        <w:rPr>
          <w:rFonts w:ascii="Arial" w:cs="Arial" w:eastAsia="Arial" w:hAnsi="Arial"/>
          <w:sz w:val="18"/>
          <w:szCs w:val="18"/>
          <w:color w:val="auto"/>
        </w:rPr>
        <w:t>was primarily attributable to an increase in costs associated with the CRLX101 program. The following table summarizes our research and development expense by program for the three months ended September 30, 2015 and 2014, together with the change in spending by program in dollars and as a percentage (in thousands, except percentages):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140" w:type="dxa"/>
            <w:vAlign w:val="bottom"/>
            <w:gridSpan w:val="4"/>
          </w:tcPr>
          <w:p>
            <w:pPr>
              <w:jc w:val="right"/>
              <w:ind w:right="12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CRLX101</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5,114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1,549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CRLX301</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1,075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Overhead</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7,092</w:t>
            </w:r>
          </w:p>
        </w:tc>
        <w:tc>
          <w:tcPr>
            <w:tcW w:w="22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2,928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For the three months ended September 30, 2015, CRLX101 program expenses increased by $3.6 million, or 230%, to $5.1 million compared to $1.5 million for the three months ended September 30, 2014. The increase in CRLX101 program expenses was primarily attributable to costs associated with our ongoing RCC Trial, which was initiated in mid-2014, together with costs associated with a company-sponsored dose escalation trial initiated during the quarter and ongoing ISTs. Clinical trial expenses increased $1.6 million reflecting an increase in CRO fees, investigator fees and costs associated with clinical sites and laboratories. Salary and benefits expenses increased $0.6 million reflecting increased headcount to support the CRLX101 program and the clinical trials. Chemistry, manufacturing, and controls, or CMC, costs increased $1.0 million reflecting increased activity to support current and future clinical development of CRLX101.</w:t>
      </w:r>
    </w:p>
    <w:p>
      <w:pPr>
        <w:spacing w:after="0" w:line="189"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For the three months ended September 30, 2015, CRLX301 program expenses increased $0.3 million, or 31%, to $1.1 million compared to $0.8 million for the three months ended September 30, 2014. The increase in CRLX301 program expense was primarily due to costs associated with the Phase 1 clinical trial that we initiated in December 2014. CRLX301 clinical trial expenses increased by $0.2 million for the three months ended September 30, 2015, compared to the prior year primarily due to CRO and laboratory costs. Salary and benefits expenses increased $0.1 million compared to the prior year reflecting increased headcount to support the CRLX301 program and the clinical trials.</w:t>
      </w:r>
    </w:p>
    <w:p>
      <w:pPr>
        <w:spacing w:after="0" w:line="173"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Expenses associated with our Dynamic Tumor Targeting platform were $0.6 million for the three months ended September 30, 2015, an increase of $0.3 million, or 82%, compared to $0.3 million for the three months ended September 30, 2014. The increase was primarily due to increased headcount in new discovery research combined with increases in consulting and lab costs.</w:t>
      </w:r>
    </w:p>
    <w:p>
      <w:pPr>
        <w:spacing w:after="0" w:line="18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 for the three months ended September 30, 2015, was $3.0 million compared to $2.4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2014, an increase of $0.6 million, or 21%. The increase in general and administrative costs was primarily due to the growth in our corporate infrastructure to support a larger public company. Salaries and benefits, including stock-based compensation, increased $0.7 million for the three months ended September 30, 2015, reflecting increases in finance and accounting, legal and corporate</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communications. Professional and consulting fees decreased $0.3 million for the period compared to the prior year primarily due to lower external legal fees and intellectual property costs. Other general and administrative expenses including facility and office expenses, dues and subscriptions, conferences, and travel increased for the three months ended September 30, 2015, compared to the prior year due to our overall growth.</w:t>
      </w:r>
    </w:p>
    <w:p>
      <w:pPr>
        <w:spacing w:after="0" w:line="1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three months ended September 30, 2015, was $0.5 million compared to $0.2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2014, an increase of $0.3 million, or 167%. The increase in other expense, net, was primarily due to a $0.3 million increase in interest expense to $0.5 million for the three months ended September 30, 2015, compared to $0.2 million for the three months ended September 30, 2014 due to a higher average debt balance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2015 and 2014 (Unaudited)</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nine months ended September 30, 2015 and 2014, together with the changes in those items in dollars and as a percentage (in thousands, except percentages):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Dollar</w:t>
            </w:r>
          </w:p>
        </w:tc>
        <w:tc>
          <w:tcPr>
            <w:tcW w:w="74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11,720</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gridSpan w:val="2"/>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(1,743)</w:t>
            </w:r>
          </w:p>
        </w:tc>
        <w:tc>
          <w:tcPr>
            <w:tcW w:w="3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540" w:firstLine="518"/>
        <w:spacing w:after="0" w:line="31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There was no revenue recorded for the nine months ended September 30, 2015. For the nine months ended September 30, 2014,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revenue of $80,000 from payments we received under two material transfer agreements. Pursuant to the agreements, we received payments in exchange for providing research services utilizing our proprietary technology. Work under the agreements terminated in 2014.</w:t>
      </w:r>
    </w:p>
    <w:p>
      <w:pPr>
        <w:spacing w:after="0" w:line="147"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for the nine months ended September 30, 2015, was $18.8 million compared to $7.1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2014, an increase of $11.7 million, or 166%. The increase was primarily attributable to an increase in costs associated with the CRLX101 program. The following table summarizes our research and development expense by program for the nine months ended September 30, 2015 and 2014, together with the change in spending by program in dollars and as a percentage (in thousands, except percentages):</w:t>
      </w:r>
    </w:p>
    <w:tbl>
      <w:tblPr>
        <w:tblLayout w:type="fixed"/>
        <w:tblInd w:w="0" w:type="dxa"/>
        <w:tblCellMar>
          <w:top w:w="0" w:type="dxa"/>
          <w:left w:w="0" w:type="dxa"/>
          <w:bottom w:w="0" w:type="dxa"/>
          <w:right w:w="0" w:type="dxa"/>
        </w:tblCellMar>
      </w:tblPr>
      <w:tr>
        <w:trPr>
          <w:trHeight w:val="141"/>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5"/>
          </w:tcPr>
          <w:p>
            <w:pPr>
              <w:ind w:left="400"/>
              <w:spacing w:after="0" w:line="141" w:lineRule="exact"/>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2"/>
                <w:szCs w:val="12"/>
                <w:color w:val="auto"/>
              </w:rPr>
            </w:pPr>
          </w:p>
        </w:tc>
        <w:tc>
          <w:tcPr>
            <w:tcW w:w="11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CRLX101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9,169</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CRLX301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1,447</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Overhead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11,720</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For the nine months ended September 30, 2015, CRLX101 program expenses increased by $9.2 million, or 212%, to $13.5 million compared to $4.3 million for the nine months ended September 30, 2014. The increase in CRLX101 program expense was primarily attributable to costs associated with our ongoing RCC Trial, which was initiated in mid-2014, together with costs associated with ongoing ISTs. Clinical trial expenses increased $5.0 million reflecting an increase in CRO fees, investigator fees and costs associated with clinical sites and laboratories. Salary and benefits expenses increased $1.7 million and consulting costs increased $0.3 million compared to the prior year to support the CRLX101 development program and the clinical trials. CMC costs increased $1.8 million compared to the prior year reflecting increased activity to support current and future clinical development of CRLX101.</w:t>
      </w:r>
    </w:p>
    <w:p>
      <w:pPr>
        <w:spacing w:after="0" w:line="165"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For the nine months ended September 30, 2015, CRLX301 program expenses increased $1.4 million, or 108%, to $2.8 million compared to $1.3 million for the nine months ended September 30, 2014. The increase in CRLX301 program expenses was primarily due to costs associated with the Phase 1 clinical trial that we initiated in December 2014. CRLX301 clinical trial expenses increased by $0.5 million for the nine months ended September 30, 2015, compared to the prior year primarily due to CRO fees, costs associated with clinical sites and laboratory costs. Salary and benefits expenses increased $0.5 million to support the CRLX301 development program and the clinical trials. CMC and development expenses increased $0.2 million reflecting increased activity to support current and future clinical development.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Expenses associated with our Dynamic Tumor Targeting platform were $1.5 million for the nine months ended September 30, 2015,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$0.7 million, or 82%, compared to $0.8 million for the nine months ended September 30, 2014. The increase is primarily due to increased headcount and lab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 in new discovery research.</w:t>
      </w:r>
    </w:p>
    <w:p>
      <w:pPr>
        <w:spacing w:after="0" w:line="21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 for the nine months ended September 30, 2015, was $8.2 million compared to $6.0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2014, an increase of $2.2 million, or 38%. The increase in general and administrative costs was attributable to the growth in our corporate infrastructure to support a larger public company. Salaries and benefits, including stock-based compensation, increased $1.5 million for the nine months ended September 30, 2015, compared to the prior year, reflecting increases in finance and accounting, legal and corporate communications. Other general and administrative expenses including facility and office expenses, dues and subscriptions, conferences, and travel increased $0.5 million for the nine months ended September 30, 2015, compared to the prior year due to our overall growth.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 w:name="page19"/>
    <w:bookmarkEnd w:id="18"/>
    <w:p>
      <w:pPr>
        <w:ind w:firstLine="518"/>
        <w:spacing w:after="0" w:line="289"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nine months ended September 30, 2015, was $1.7 million compared to $2.9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2014, a decrease of $1.2 million, or 40%. The decrease in other expense, net, was primarily due to a $2.5 million loss on the conversion of our 2014 convertible notes, which was recorded in April 2014. Interest expense was $1.7 million and $0.9 million for the nine months ended September 30, 2015 and 2014, respectively, an increase of $0.8 million, or 90%. For the nine months ended September 30, 2015, interest expense included $1.5 million associated with the Hercules Loan Agreement, including $0.4 million for the amortization of debt discount and deferred financing costs, and $0.2 million for the write off of debt discount and deferred financing costs associated with the repayment of the Lighthouse Loan Agreement. Interest expense for the nine months ended September 30, 2014 included $0.2 million of interest on our convertible notes and $0.3 million of interest and $0.2 million for the amortization of debt discount and deferred financing costs associated with the Lighthouse Loan Agreement. Other expense, net, for the nine months ended September 30, 2014 included a $0.5 million adjustment to the fair value of our outstanding preferred stock warrant liability which was recorded as other income.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From our incorporation through September 30, 2015, we raised an aggregate of $224.6 million to fund our operations, of which $84.2 million was from the sale of preferred stock, $59.9 million was from the IPO, $37.2 million was from the Secondary Offering, $17.3 million was from the sale of convertible promissory notes, $25.0 million was from borrowings under loan and security agreements and $1.0 million was from the private placement of our common stock to Hercules. As of September 30, 2015, we had cash and cash equivalents of approximately $77.6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On January 8, 2015, we entered into the Hercules Loan Agreement and borrowed $15.0 million from Hercules. We used a portion of those proceeds to repay our outstanding indebtedness under the Lighthouse Loan Agreement.</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Hercules Loan Agreement provides for up to three separate tranches of borrowings, the first of which was funded in the amount of $15.0 million on January 8, 2015. We may draw the second tranche of up to $5.0 million, subject to the satisfaction of customary funding conditions, on or prior to December 15, 2015, provided that we meet certain clinical milestones specified in the Hercules Loan Agreement. We may draw the third tranche of up to $6.0 million at no less than $3.0 million per draw and subject to the satisfaction of customary funding conditions, on or after September 30, 2015 but before December 15, 2015, provided that between January 8, 2015, and December 15, 2015, we have received net cash proceeds of at least $40.0 million from our issuance and sale of equity securities and/or upfront cash payments from one or more strategic corporate partnerships.</w:t>
      </w:r>
    </w:p>
    <w:p>
      <w:pPr>
        <w:spacing w:after="0" w:line="17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Our indebtedness under the Hercules Loan Agreement will mature on July 1, 2018. Each advance under the Hercules Loan Agreement accrues interest at a floating per annum rate equal to the greater of (i) 7.30% or (ii) the sum of 7.30% plus the prime rate minus 5.75%. The Hercules Loan Agreement provides for interest-only payments on a monthly basis until December 31, 2015. The interest-only period may be extended at our option for a three-month period if we attain certain clinical milestones specified in the Hercules Loan Agreement, and for an additional three-month period if we attain certain clinical milestones and receive net cash proceeds of at least $30.0 million from the issuance and sale of our equity securities and/or upfront cash payments from one or more strategic corporate partnerships. Thereafter, payments will be payable monthly in equal installments of principal and interest to fully amortize the outstanding principal over the remaining term of the loan, subject to recalculation upon a change in the prime rate. We may prepay the indebtedness under the Hercules Loan Agreement in whole or in part upon seven business days’ prior written notice to Hercules. Any such prepayment is subject to a prepayment charge of (i) 3.0% if such prepayment occurs on or before January 8, 2016, (ii) 2.0% if such prepayment occurs after January 8, 2016, but on or before January 8, 2017, and (iii) 1.0% if such prepayment occurs after January 8, 2017. Amounts outstanding during an event of default are payable upon Hercules’ demand and shall accrue interest at an additional rate of 5.0% per annum of the past due amount outstanding. At the end of the loan term (whether at maturity, by prepayment in full or otherwise), we shall pay a final end of term charge to Hercules in the amount of 6.7% of the aggregate original principal amount advanced by Hercules.</w:t>
      </w:r>
    </w:p>
    <w:p>
      <w:pPr>
        <w:spacing w:after="0" w:line="18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Hercules Loan Agreement is secured by substantially all of our assets other than our intellectual property. We have also granted Hercules a negative pledge with respect to our intellectual property, which, among other things, prohibits us from selling, transferring, assigning, mortgaging, pledging, leasing, granting a security interest in or otherwise encumbering our intellectual property. The Hercules Loan Agreement includes restrictive covenants that may restrict our ability to obtain further debt or equity financing.</w:t>
      </w:r>
    </w:p>
    <w:p>
      <w:pPr>
        <w:spacing w:after="0" w:line="187"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i w:val="1"/>
          <w:iCs w:val="1"/>
          <w:color w:val="auto"/>
        </w:rPr>
        <w:t xml:space="preserve">Lighthouse Loan Agreement. </w:t>
      </w:r>
      <w:r>
        <w:rPr>
          <w:rFonts w:ascii="Arial" w:cs="Arial" w:eastAsia="Arial" w:hAnsi="Arial"/>
          <w:sz w:val="18"/>
          <w:szCs w:val="18"/>
          <w:color w:val="auto"/>
        </w:rPr>
        <w:t>In 2011, we entered into the Lighthouse Loan Agreement which permitted us to borrow up to an aggregate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$10.0 million. We borrowed $5.0 million in March 2012 and an additional $5.0 million in August 2012. Interest accrued under the Lighthouse Loan Agreement at an annual rate of 8.25%. As of December 31, 2014, there was $3.3 million in aggregate principal amount outstanding under the Lighthouse Loan Agreement. We repaid in full our outstanding indebtedness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600"/>
        <w:spacing w:after="0" w:line="277" w:lineRule="auto"/>
        <w:rPr>
          <w:sz w:val="20"/>
          <w:szCs w:val="20"/>
          <w:color w:val="auto"/>
        </w:rPr>
      </w:pPr>
      <w:r>
        <w:rPr>
          <w:rFonts w:ascii="Arial" w:cs="Arial" w:eastAsia="Arial" w:hAnsi="Arial"/>
          <w:sz w:val="18"/>
          <w:szCs w:val="18"/>
          <w:color w:val="auto"/>
        </w:rPr>
        <w:t>under the Lighthouse Loan Agreement and terminated the agreement on January 8, 2015. There were no prepayment charges associated with the early repayment of the loan.</w:t>
      </w:r>
    </w:p>
    <w:p>
      <w:pPr>
        <w:spacing w:after="0" w:line="170"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In 2014, we issued and sold convertible promissory notes in an aggregate principal amount of $8.5 million, to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one additional purchaser. The 2014 convertible notes accrued interest at an annual rate of 7.0%. In connection with the completion of our IPO, all principal and accrued interest under our 2014 convertible notes converted into an aggregate of 1,582,931 shares of our common stock, at 77.5% of the IPO price, or $5.43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5"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clinical trial costs, contract manufacturing services, third-party clinical research and development services, laboratory and related supplies, legal and other regulatory expenses and general overhead costs.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believe that our cash and cash equivalents as of September 30, 2015, will enable us to fund our operating expenses, debt service and capital expenditure requirements into 2017. We have based this estimate on assumptions that may prove to be wrong, and we could use our capital resources sooner than we currently expect. Our future capital requirements will depend on many factors, including:</w:t>
      </w:r>
    </w:p>
    <w:p>
      <w:pPr>
        <w:spacing w:after="0" w:line="73" w:lineRule="exact"/>
        <w:rPr>
          <w:sz w:val="20"/>
          <w:szCs w:val="20"/>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development requirements of the NDCs we pursue;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progress, timing, results and costs of researching and developing our NDCs, and conducting preclinical studies and clinical trials;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NDCs;</w:t>
      </w:r>
    </w:p>
    <w:p>
      <w:pPr>
        <w:spacing w:after="0" w:line="117" w:lineRule="exact"/>
        <w:rPr>
          <w:rFonts w:ascii="Arial" w:cs="Arial" w:eastAsia="Arial" w:hAnsi="Arial"/>
          <w:sz w:val="18"/>
          <w:szCs w:val="18"/>
          <w:color w:val="auto"/>
        </w:rPr>
      </w:pPr>
    </w:p>
    <w:p>
      <w:pPr>
        <w:ind w:left="900" w:right="42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including product manufacturing, marketing, sales and distribution, for any of our NDCs for which we receive marketing approval;</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NDCs for which we receive marketing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costs and timing of the manufacture, supply and distribution of our drug candidates for preclinical and clinical trials;</w:t>
      </w:r>
    </w:p>
    <w:p>
      <w:pPr>
        <w:spacing w:after="0" w:line="117" w:lineRule="exact"/>
        <w:rPr>
          <w:rFonts w:ascii="Arial" w:cs="Arial" w:eastAsia="Arial" w:hAnsi="Arial"/>
          <w:sz w:val="18"/>
          <w:szCs w:val="18"/>
          <w:color w:val="auto"/>
        </w:rPr>
      </w:pPr>
    </w:p>
    <w:p>
      <w:pPr>
        <w:ind w:left="900" w:right="54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medicines and technology;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headcount growth and associated costs;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Identifying potential NDCs and conducting preclinical testing and clinical trials is a time-consuming, expensive and uncertain process that takes years to complete, and we may never generate the necessary data or results required to obtain regulatory approval and achieve product sales. In addition, our NDCs,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period set forth below (in thousands):</w:t>
      </w:r>
    </w:p>
    <w:p>
      <w:pPr>
        <w:spacing w:after="0" w:line="230"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Nine Months Ended</w:t>
      </w:r>
    </w:p>
    <w:p>
      <w:pPr>
        <w:jc w:val="center"/>
        <w:ind w:left="78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8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(23,705)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(13,453)</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50,533</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65,827</w:t>
            </w:r>
          </w:p>
        </w:tc>
        <w:tc>
          <w:tcPr>
            <w:tcW w:w="12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50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26,457</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52,298</w:t>
            </w:r>
          </w:p>
        </w:tc>
        <w:tc>
          <w:tcPr>
            <w:tcW w:w="12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net use of cash in each period resulted primarily from our net losses adjusted for non-cash charges and changes in components of working capital.</w:t>
      </w:r>
    </w:p>
    <w:p>
      <w:pPr>
        <w:spacing w:after="0" w:line="24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Net cash used in operating activities was $23.7 million for the nine months ended September 30, 2015, compared with $13.5 million for the nine months ended September 30, 2014, an increase of $10.2 million, or 76%. The increase in net cash used in operating activities resulted primarily from an increase in operating expenses of $13.8 million partially offset by an increase in stock compensation expense of $1.1 million and a change in components of working capital of $2.7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Net cash used in investing activities was $0.4 million for the nine months ended September 30, 2015, compared to net cash used in investing activities of $76,000 for the nine months ended September 30, 2014. For the nine months ended September 30, 2015, cash used in investing activities included a $0.2 million increase in restricted cash to collateralize a stand-by letter of credit issued as a security deposit on a new facility lease. Cash used in investing activities for the purchase of lab equipment and employee computers increased $25,000 to $141,000 for the nine months ended September 30, 2015, compared to $116,000 for the nine months ended September 30, 2014. Cash used in investing activities for the nine months ended September 30, 2014, included proceeds for the sale of property and equipment of $40,000.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Net cash provided by financing activities was $50.5 million for the nine months ended September 30, 2015, compared with $65.8 million for the nine months ended September 30, 2014. Net cash provided by financing activities for the nine months ended September 30, 2015, was primarily due to net proceeds of $37.2 million from our Secondary Offering, proceeds of $15.0 million from our initial borrowing under the Hercules Loan Agreement, proceeds of $1.0 million from the sale of our common stock in a private placement to Hercules and proceeds of $1.6 million from the exercise of stock options. Net cash provided by financing activities for the nine months ended September 30, 2015, was reduced by $3.9 million paid to repay in full the Lighthouse Loan Agreement and cash paid for debt issuance costs of $0.4 million. For the nine months ended September 30, 2014, net cash provided by financing activities was primarily due to net proceeds of $59.9 million from our IPO and proceeds of $8.5 million from the sale of convertible promissory notes. Net cash provided by financing activities for the nine months ended September 30, 2014, was reduced by payments of $2.5 million under the Lighthouse Loan Agreement and cash paid for debt issuance costs of $0.1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July 9, 2015, we entered into a lease agreement with AstraZeneca Pharmaceuticals Limited Partnership for approximately 22,992 square feet of laboratory and office space in Waltham, Massachusetts. The lease commences on December 28, 2015, and expires on February 28, 2021, subject to our three-year extension option. During each of the first two years of the term, our annual base rent will be $689,760. Thereafter, the annual base rent will increase annually for the remainder of the term. In addition to the base rent, we are also responsible for our share of the operating expenses, utility costs and real estate taxes. The base rent for the extension term, if any, will be the greater of the fair market rent or the base rent for the lease year immediately preceding the commencement of the extension year.</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January 8, 2015, we borrowed $15.0 million under the Hercules Loan Agreement and used a portion of those proceeds to repay our total outstanding indebtedness of $3.6 million under the Lighthouse Loan Agreement, which has been terminated. Borrowings under the Hercules Loan Agreement bear interest at 7.3%. The Hercules Loan Agreement provides for interest-only payments until December 31, 2015, subject to a potential extension of the interest-only period in accordance with the terms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ind w:right="20"/>
        <w:spacing w:after="0" w:line="286" w:lineRule="auto"/>
        <w:rPr>
          <w:sz w:val="20"/>
          <w:szCs w:val="20"/>
          <w:color w:val="auto"/>
        </w:rPr>
      </w:pPr>
      <w:r>
        <w:rPr>
          <w:rFonts w:ascii="Arial" w:cs="Arial" w:eastAsia="Arial" w:hAnsi="Arial"/>
          <w:sz w:val="17"/>
          <w:szCs w:val="17"/>
          <w:color w:val="auto"/>
        </w:rPr>
        <w:t>Hercules Loan Agreement. Thereafter, amortization payments will be payable in equal monthly installments of principal and interest to fully amortize the outstanding principal over the remaining term of the loan. At the end of the loan term (whether at maturity, by prepayment in full or otherwise), we will pay a final end of term charge to Hercules in the amount of 6.7% of the aggregate original principal amount advanced by Hercules.</w:t>
      </w:r>
    </w:p>
    <w:p>
      <w:pPr>
        <w:spacing w:after="0" w:line="166"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As of September 30, 2015, there were no material changes, outside of the ordinary course of business, in our outstanding contractual obligations from those disclosed in our Annual Report on Form 10-K for the fiscal year ended December 31, 2014, other than as described in the preceding paragraphs.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April 2015, the Financial Accounting Standards Board issued Accounting Standards Update 2015-03, “Interest – Imputation of Interest”, or ASU 2015-03. To simplify presentation of debt issuance costs, ASU 2015-03 requires that debt issuance costs related to a recognized debt liability be presented in the balance sheet as a direct deduction from the carrying amount of that debt liability, consistent with debt discounts. ASU 2015-03 is effective for annual and interim reporting periods beginning January 1, 2016 and is not expected to have a material impact on our consolidated financial statements.</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are exposed to market risk related to changes in interest rates. As of September 30, 2015, we had cash and cash equivalents, including restricted cash, of approximately $78.0 million, consisting primarily of investments in money market funds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 As of September 30, 2015, we were also subject to interest rate risk from our indebtedness under the Hercules Loan Agreement that accrues interest at a floating per annum rate equal to the greater of (i) 7.30% or (ii) the sum of 7.30% plus the prime rate minus 5.75%. A 10% increase in interest rates at September 30, 2015, would not have a material effect on our annual interest expense.</w:t>
      </w:r>
    </w:p>
    <w:p>
      <w:pPr>
        <w:spacing w:after="0" w:line="2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Our management, under the supervision and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w:t>
      </w:r>
    </w:p>
    <w:p>
      <w:pPr>
        <w:spacing w:after="0" w:line="5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September 30,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160" w:firstLine="51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nine months ended September 30,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advance the clinical development of CRLX101 and CRLX301 and continue research and development and initiate additional clinical trials of, and seek regulatory approval for, these and other future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additional randomized trials of CRLX101 or CRLX301. Accordingly, we will be required to obtain further funding through public or private equity offerings, debt financings, collaborations or licensing arrangements or other sources. Adequate and additional funding may not be available to us on acceptable terms or at all.</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January 8, 2015 we entered into a loan and security agreement, which we refer to as the Hercules Loan Agreement, with Hercules Technology Growth Capital, Inc., or Hercules, and drew the first tranche of $15.0 million under the Hercules Loan Agreement. Although the Hercules Loan Agreement provides for two additional tranches in an aggregate amount of up to $11.0 million that we may borrow if we meet certain clinical and financing milestones, we may fail to meet these conditions and be unable to obtain this funding.</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we elect to obtain any additional debt financing, our ability to do so may be limited by covenants we have made under the Hercules Loan Agreement and our pledge to Hercules of substantially all of our assets, other than our intellectual property, as collateral. We have also granted Hercules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April 10, 2015 we closed an underwritten public offering, or the Secondary Offering, of 6,716,000 shares of common stock, including 876,000 shares sold pursuant to the full exercise of the underwriters’ option to purchase additional shares, at a public offering price of $6.00 per share. The gross proceeds to us from the Secondary Offering were approximately $40.3 million, before deducting underwriting discounts and commissions and offering expenses payable by us.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believe that our cash and cash equivalents as of September 30, 2015 will enable us to fund our operating expenses, debt service and capital expenditure requirements into 2017. We have based this estimate on assumptions that may prove to be wrong, and we could use our capital resources sooner than we currently expect. Our future capital requirements will depend on many factors, including:</w:t>
      </w:r>
    </w:p>
    <w:p>
      <w:pPr>
        <w:spacing w:after="0" w:line="73" w:lineRule="exact"/>
        <w:rPr>
          <w:sz w:val="20"/>
          <w:szCs w:val="20"/>
          <w:color w:val="auto"/>
        </w:rPr>
      </w:pPr>
    </w:p>
    <w:p>
      <w:pPr>
        <w:ind w:left="5620" w:right="4840" w:hanging="5099"/>
        <w:spacing w:after="0" w:line="683" w:lineRule="auto"/>
        <w:tabs>
          <w:tab w:leader="none" w:pos="815"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the number and development requirements of the product candidates we pursue;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820" w:hanging="299"/>
        <w:spacing w:after="0"/>
        <w:tabs>
          <w:tab w:leader="none" w:pos="82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the scope, progress, timing, results and costs of researching and developing our product candidates, and conducting preclinical and clinical trials;</w:t>
      </w:r>
    </w:p>
    <w:p>
      <w:pPr>
        <w:spacing w:after="0" w:line="129" w:lineRule="exact"/>
        <w:rPr>
          <w:rFonts w:ascii="Arial" w:cs="Arial" w:eastAsia="Arial" w:hAnsi="Arial"/>
          <w:sz w:val="26"/>
          <w:szCs w:val="26"/>
          <w:color w:val="auto"/>
          <w:vertAlign w:val="superscript"/>
        </w:rPr>
      </w:pPr>
    </w:p>
    <w:p>
      <w:pPr>
        <w:ind w:left="820" w:hanging="299"/>
        <w:spacing w:after="0" w:line="181" w:lineRule="auto"/>
        <w:tabs>
          <w:tab w:leader="none" w:pos="820" w:val="left"/>
        </w:tabs>
        <w:numPr>
          <w:ilvl w:val="0"/>
          <w:numId w:val="17"/>
        </w:numPr>
        <w:rPr>
          <w:rFonts w:ascii="Arial" w:cs="Arial" w:eastAsia="Arial" w:hAnsi="Arial"/>
          <w:sz w:val="27"/>
          <w:szCs w:val="27"/>
          <w:color w:val="auto"/>
          <w:vertAlign w:val="superscript"/>
        </w:rPr>
      </w:pPr>
      <w:r>
        <w:rPr>
          <w:rFonts w:ascii="Arial" w:cs="Arial" w:eastAsia="Arial" w:hAnsi="Arial"/>
          <w:sz w:val="17"/>
          <w:szCs w:val="17"/>
          <w:color w:val="auto"/>
        </w:rPr>
        <w:t>the costs, timing and outcome of regulatory review of our product candidates;</w:t>
      </w:r>
    </w:p>
    <w:p>
      <w:pPr>
        <w:spacing w:after="0" w:line="140" w:lineRule="exact"/>
        <w:rPr>
          <w:rFonts w:ascii="Arial" w:cs="Arial" w:eastAsia="Arial" w:hAnsi="Arial"/>
          <w:sz w:val="27"/>
          <w:szCs w:val="27"/>
          <w:color w:val="auto"/>
          <w:vertAlign w:val="superscript"/>
        </w:rPr>
      </w:pPr>
    </w:p>
    <w:p>
      <w:pPr>
        <w:ind w:left="820" w:hanging="299"/>
        <w:spacing w:after="0" w:line="195" w:lineRule="auto"/>
        <w:tabs>
          <w:tab w:leader="none" w:pos="8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32"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revenue, if any, received from commercial sales of any product candidates for which we receive marketing approval;</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40" w:lineRule="exact"/>
        <w:rPr>
          <w:rFonts w:ascii="Arial" w:cs="Arial" w:eastAsia="Arial" w:hAnsi="Arial"/>
          <w:sz w:val="26"/>
          <w:szCs w:val="26"/>
          <w:color w:val="auto"/>
          <w:vertAlign w:val="superscript"/>
        </w:rPr>
      </w:pPr>
    </w:p>
    <w:p>
      <w:pPr>
        <w:ind w:left="820" w:hanging="299"/>
        <w:spacing w:after="0" w:line="195" w:lineRule="auto"/>
        <w:tabs>
          <w:tab w:leader="none" w:pos="8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32"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acquire or in-license other medicines and technology;</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our headcount growth and associated costs; and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the costs of operating as a public company.</w:t>
      </w:r>
    </w:p>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73"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public or private equity offerings, debt financings, license and development agreements with collaboration partners or other sources.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9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existing and any future indebtedness could adversely affect our ability to operate our business.</w:t>
      </w:r>
    </w:p>
    <w:p>
      <w:pPr>
        <w:spacing w:after="0" w:line="225"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On January 8, 2015, we entered into the Hercules Loan Agreement and drew the first tranche of $15.0 million. We used $3.6 million of the proceeds from our draw under the Hercules Loan Agreement to repay in full our outstanding indebtedness under our loan and security agreement with Lighthouse Capital Partners VI, L.P. As of September 30, 2015, we had approximately $16.1 million in outstanding indebtedness under the Hercules Loan Agreement.</w:t>
      </w:r>
    </w:p>
    <w:p>
      <w:pPr>
        <w:spacing w:after="0" w:line="14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outstanding indebtedness combined with current and future financial obligations and contractual commitments, including any additional indebtedness beyond our borrowings from Hercules, could have significant adverse consequences, including:</w:t>
      </w:r>
    </w:p>
    <w:p>
      <w:pPr>
        <w:spacing w:after="0" w:line="62" w:lineRule="exact"/>
        <w:rPr>
          <w:sz w:val="20"/>
          <w:szCs w:val="20"/>
          <w:color w:val="auto"/>
        </w:rPr>
      </w:pPr>
    </w:p>
    <w:p>
      <w:pPr>
        <w:ind w:left="820" w:hanging="299"/>
        <w:spacing w:after="0" w:line="221" w:lineRule="auto"/>
        <w:tabs>
          <w:tab w:leader="none" w:pos="82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32" w:lineRule="exact"/>
        <w:rPr>
          <w:rFonts w:ascii="Arial" w:cs="Arial" w:eastAsia="Arial" w:hAnsi="Arial"/>
          <w:sz w:val="26"/>
          <w:szCs w:val="26"/>
          <w:color w:val="auto"/>
          <w:vertAlign w:val="superscript"/>
        </w:rPr>
      </w:pPr>
    </w:p>
    <w:p>
      <w:pPr>
        <w:ind w:left="820" w:hanging="299"/>
        <w:spacing w:after="0"/>
        <w:tabs>
          <w:tab w:leader="none" w:pos="82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increasing our vulnerability to adverse changes in general economic, industry and market conditions;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 w:right="239" w:bottom="1440" w:gutter="0" w:footer="0" w:header="0"/>
        </w:sectPr>
      </w:pPr>
    </w:p>
    <w:bookmarkStart w:id="24" w:name="page25"/>
    <w:bookmarkEnd w:id="24"/>
    <w:p>
      <w:pPr>
        <w:ind w:left="820" w:hanging="299"/>
        <w:spacing w:after="0"/>
        <w:tabs>
          <w:tab w:leader="none" w:pos="82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subjecting us to restrictive covenants that may reduce our ability to take certain corporate actions or obtain further debt or equity financing;</w:t>
      </w:r>
    </w:p>
    <w:p>
      <w:pPr>
        <w:spacing w:after="0" w:line="129" w:lineRule="exact"/>
        <w:rPr>
          <w:rFonts w:ascii="Arial" w:cs="Arial" w:eastAsia="Arial" w:hAnsi="Arial"/>
          <w:sz w:val="28"/>
          <w:szCs w:val="28"/>
          <w:color w:val="auto"/>
          <w:vertAlign w:val="superscript"/>
        </w:rPr>
      </w:pPr>
    </w:p>
    <w:p>
      <w:pPr>
        <w:ind w:left="820" w:hanging="299"/>
        <w:spacing w:after="0" w:line="181" w:lineRule="auto"/>
        <w:tabs>
          <w:tab w:leader="none" w:pos="820" w:val="left"/>
        </w:tabs>
        <w:numPr>
          <w:ilvl w:val="0"/>
          <w:numId w:val="19"/>
        </w:numPr>
        <w:rPr>
          <w:rFonts w:ascii="Arial" w:cs="Arial" w:eastAsia="Arial" w:hAnsi="Arial"/>
          <w:sz w:val="27"/>
          <w:szCs w:val="27"/>
          <w:color w:val="auto"/>
          <w:vertAlign w:val="superscript"/>
        </w:rPr>
      </w:pPr>
      <w:r>
        <w:rPr>
          <w:rFonts w:ascii="Arial" w:cs="Arial" w:eastAsia="Arial" w:hAnsi="Arial"/>
          <w:sz w:val="17"/>
          <w:szCs w:val="17"/>
          <w:color w:val="auto"/>
        </w:rPr>
        <w:t>limiting our flexibility in planning for, or reacting to, changes in our business and the industry in which we compete; and</w:t>
      </w:r>
    </w:p>
    <w:p>
      <w:pPr>
        <w:spacing w:after="0" w:line="140" w:lineRule="exact"/>
        <w:rPr>
          <w:rFonts w:ascii="Arial" w:cs="Arial" w:eastAsia="Arial" w:hAnsi="Arial"/>
          <w:sz w:val="27"/>
          <w:szCs w:val="27"/>
          <w:color w:val="auto"/>
          <w:vertAlign w:val="superscript"/>
        </w:rPr>
      </w:pPr>
    </w:p>
    <w:p>
      <w:pPr>
        <w:ind w:left="820" w:hanging="299"/>
        <w:spacing w:after="0" w:line="180" w:lineRule="auto"/>
        <w:tabs>
          <w:tab w:leader="none" w:pos="82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placing us at a competitive disadvantage compared to our competitors that have less debt or better debt servicing options.</w:t>
      </w:r>
    </w:p>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instruments. Failure to make payments or comply with other covenants under our existing debt instruments could result in an event of default and acceleration of amounts due. If an event of default occurs and Hercules accelerates the amounts due, we may not be able to make accelerated payments, and Hercules could seek to enforce security interests in the collateral securing such indebtedness, which includes substantially all of our assets other than our intellectual property.</w:t>
      </w:r>
    </w:p>
    <w:p>
      <w:pPr>
        <w:spacing w:after="0" w:line="2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Since incorporation, we have incurred significant operating losses. As of September 30, 2015, we had an accumulated deficit of $150.7 million. We do not know whether or when we will become profitable. We have not generated any revenues to date from product sales and have financed our operations primarily through public offerings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59" w:lineRule="exact"/>
        <w:rPr>
          <w:sz w:val="20"/>
          <w:szCs w:val="20"/>
          <w:color w:val="auto"/>
        </w:rPr>
      </w:pPr>
    </w:p>
    <w:p>
      <w:pPr>
        <w:ind w:left="820" w:hanging="299"/>
        <w:spacing w:after="0" w:line="198" w:lineRule="auto"/>
        <w:tabs>
          <w:tab w:leader="none" w:pos="82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initiate and continue company-sponsored clinical trials of CRLX101, our most advanced product candidate, including single-arm trials and randomized controlled trials, alone or in combination with other agents;</w:t>
      </w:r>
    </w:p>
    <w:p>
      <w:pPr>
        <w:spacing w:after="0" w:line="31"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support ongoing and any new investigator-sponsored clinical trials, or ISTs, of CRLX101;</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continue our Phase 1 clinical trial of CRLX301, our second most advanced product candidate, as well as subsequent studies of CRLX301;</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elect to expand, amend or redesign any current trial of CRLX101 or CRLX301;</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continue our research and preclinical development of additional product candidates utilizing our Dynamic Tumor Targeting Platform;</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seek regulatory approvals for any product candidates that successfully complete clinical trials;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in the future, establish a sales, marketing and distribution infrastructure in the United States;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scale up external manufacturing capabilities to commercialize any products for which we may obtain regulatory approval;</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maintain, expand and protect our intellectual property portfolio;</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add equipment and physical infrastructure to support our research and development; and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hire additional personnel and/or incur severance costs associated with the termination of employment of any existing personnel.</w:t>
      </w:r>
    </w:p>
    <w:p>
      <w:pPr>
        <w:spacing w:after="0" w:line="20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 w:right="239" w:bottom="1440" w:gutter="0" w:footer="0" w:header="0"/>
        </w:sectPr>
      </w:pPr>
    </w:p>
    <w:bookmarkStart w:id="25" w:name="page26"/>
    <w:bookmarkEnd w:id="25"/>
    <w:p>
      <w:pPr>
        <w:jc w:val="both"/>
        <w:ind w:firstLine="518"/>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Given our planned expenditures for the next several years, including, without limitation, expenditures in connection with our clinical trials of CRLX101 and CRLX301, our independent registered public accounting firm may conclude that there is substantial doubt regarding our ability to continue as a going concern.</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70"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therapies.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9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we have never had a product candidate receive approval or clearance from the FDA or a non-U.S. regulatory authority. While the FDA has approved nanoparticles such as Doxil® (doxorubicin hydrochloride liposome injection) and Abraxane®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165"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b w:val="1"/>
          <w:bCs w:val="1"/>
          <w:i w:val="1"/>
          <w:iCs w:val="1"/>
          <w:color w:val="auto"/>
        </w:rPr>
        <w:t>We are particularly dependent on the success of our lead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CRLX101 will depend, among other things, on our ability to successfully complete clinical trials of CRLX101. The clinical trial process is uncertain, and failure of one or more clinical trials can occur at any stage of testing. For example, in 2011, we initiated an open-label, randomized Phase 2 clinical trial of CRLX101 as monotherapy in patients with advanced NSCLC who had progressed through one or two prior regimens of chemotherapy. In this Phase 2 clinical trial, CRLX101 failed to meet its primary endpoint of improvement in overall survival of the CRLX101-treated group as compared to the control arm of the study, which was best supportive care.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to the successful completion of clinical trials, the success of CRLX101 will also depend on several other factors, including the following:</w:t>
      </w:r>
    </w:p>
    <w:p>
      <w:pPr>
        <w:spacing w:after="0" w:line="37" w:lineRule="exact"/>
        <w:rPr>
          <w:sz w:val="20"/>
          <w:szCs w:val="20"/>
          <w:color w:val="auto"/>
        </w:rPr>
      </w:pPr>
    </w:p>
    <w:p>
      <w:pPr>
        <w:ind w:left="820" w:hanging="299"/>
        <w:spacing w:after="0"/>
        <w:tabs>
          <w:tab w:leader="none" w:pos="82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receipt of marketing approvals from the FDA or other applicable regulatory authorities;</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the performance of our future collaborators for CRLX101, if any;</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the extent of any required post-marketing approval commitments to applicable regulatory authorities;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establishment and management of supply arrangements with third party raw materials suppliers and manufacturers;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establishment and management of supply arrangements for the delivery of our product candidates in the United States and internationally;</w:t>
      </w:r>
    </w:p>
    <w:p>
      <w:pPr>
        <w:spacing w:after="0" w:line="140" w:lineRule="exact"/>
        <w:rPr>
          <w:rFonts w:ascii="Arial" w:cs="Arial" w:eastAsia="Arial" w:hAnsi="Arial"/>
          <w:sz w:val="26"/>
          <w:szCs w:val="26"/>
          <w:color w:val="auto"/>
          <w:vertAlign w:val="superscript"/>
        </w:rPr>
      </w:pPr>
    </w:p>
    <w:p>
      <w:pPr>
        <w:ind w:left="820" w:hanging="299"/>
        <w:spacing w:after="0" w:line="195" w:lineRule="auto"/>
        <w:tabs>
          <w:tab w:leader="none" w:pos="82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establishment and coordination of supply arrangements for the delivery of combination agents and/or standard of care drugs internationally, depending on the jurisdiction;</w:t>
      </w:r>
    </w:p>
    <w:p>
      <w:pPr>
        <w:spacing w:after="0" w:line="32"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protection of our rights in our intellectual property portfolio;</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launch of commercial sales if and when approved;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a continued acceptable safety profile of CRLX101 following any marketing approval;</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commercial acceptance, if and when approved, by patients, the medical community and third party payors;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establishment of arrangements with third party manufacturers to obtain finished drug products that are appropriately packaged for sale;</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establishing and maintaining pricing sufficient to realize a meaningful return on our investment; and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competition with other therapies.</w:t>
      </w:r>
    </w:p>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ind w:left="820" w:hanging="299"/>
        <w:spacing w:after="0" w:line="218" w:lineRule="auto"/>
        <w:tabs>
          <w:tab w:leader="none" w:pos="82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the size and nature of the patient population;</w:t>
      </w:r>
    </w:p>
    <w:p>
      <w:pPr>
        <w:spacing w:after="0" w:line="140"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the severity of the disease under investigation;</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unexpected or serious adverse events that occur in the trials;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the proximity of patients to sites;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the eligibility criteria for the trial;</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the design of the trial;</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efforts to facilitate timely enrollment;</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investigators’ engagement with, or enthusiasm about, the trial;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820" w:hanging="299"/>
        <w:spacing w:after="0"/>
        <w:tabs>
          <w:tab w:leader="none" w:pos="82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complexity of initiating or expanding trials with sites outside the United States;</w:t>
      </w:r>
    </w:p>
    <w:p>
      <w:pPr>
        <w:spacing w:after="0" w:line="129" w:lineRule="exact"/>
        <w:rPr>
          <w:rFonts w:ascii="Arial" w:cs="Arial" w:eastAsia="Arial" w:hAnsi="Arial"/>
          <w:sz w:val="29"/>
          <w:szCs w:val="29"/>
          <w:color w:val="auto"/>
          <w:vertAlign w:val="superscript"/>
        </w:rPr>
      </w:pPr>
    </w:p>
    <w:p>
      <w:pPr>
        <w:ind w:left="820" w:hanging="299"/>
        <w:spacing w:after="0" w:line="181" w:lineRule="auto"/>
        <w:tabs>
          <w:tab w:leader="none" w:pos="820" w:val="left"/>
        </w:tabs>
        <w:numPr>
          <w:ilvl w:val="0"/>
          <w:numId w:val="23"/>
        </w:numPr>
        <w:rPr>
          <w:rFonts w:ascii="Arial" w:cs="Arial" w:eastAsia="Arial" w:hAnsi="Arial"/>
          <w:sz w:val="27"/>
          <w:szCs w:val="27"/>
          <w:color w:val="auto"/>
          <w:vertAlign w:val="superscript"/>
        </w:rPr>
      </w:pPr>
      <w:r>
        <w:rPr>
          <w:rFonts w:ascii="Arial" w:cs="Arial" w:eastAsia="Arial" w:hAnsi="Arial"/>
          <w:sz w:val="17"/>
          <w:szCs w:val="17"/>
          <w:color w:val="auto"/>
        </w:rPr>
        <w:t>competing trials; and</w:t>
      </w:r>
    </w:p>
    <w:p>
      <w:pPr>
        <w:spacing w:after="0" w:line="140" w:lineRule="exact"/>
        <w:rPr>
          <w:rFonts w:ascii="Arial" w:cs="Arial" w:eastAsia="Arial" w:hAnsi="Arial"/>
          <w:sz w:val="27"/>
          <w:szCs w:val="27"/>
          <w:color w:val="auto"/>
          <w:vertAlign w:val="superscript"/>
        </w:rPr>
      </w:pPr>
    </w:p>
    <w:p>
      <w:pPr>
        <w:ind w:left="820" w:hanging="299"/>
        <w:spacing w:after="0" w:line="195" w:lineRule="auto"/>
        <w:tabs>
          <w:tab w:leader="none" w:pos="82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20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b w:val="1"/>
          <w:bCs w:val="1"/>
          <w:i w:val="1"/>
          <w:iCs w:val="1"/>
          <w:color w:val="auto"/>
        </w:rPr>
        <w:t>We are currently pursuing the clinical development of CRLX101 in combinations with Avastin in relapsed renal cell carcinoma and relapsed ovarian cancer, with paclitaxel in relapsed ovarian cancer, and with capecitabine and radiotherapy in locally advanced rectal cancer and may focus on additional combinations in the future. If the FDA revokes its approval of, or if safety, efficacy, manufacturing or supply issues arise with, Avastin or any other therapeutic that we use in combination with CRLX101 in the future, we may be unable to market CRLX101 or may experience significant regulatory delays or supply shortages, and our business could be materially harmed.</w:t>
      </w:r>
    </w:p>
    <w:p>
      <w:pPr>
        <w:spacing w:after="0" w:line="1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There are ongoing ISTs evaluating CRLX101 (1) in combination with Avastin in patients with renal cell carcinoma, or RCC, that has relapsed, (2) in combination with Avastin in patients with relapsed ovarian cancer and (3) in combination with capecitabine and radiotherapy in patients with locally advanced rectal cancer. We also initiated a company-sponsored Phase 1b trial with the GOG Foundation, Inc. in which we will evaluate the combination of CRLX101 with weekly paclitaxel in patients with relapsed ovarian cancer. In addition, we commenced the RCC Trial, which is a company-sponsored Phase 2 trial, and we expect to commence additional company-sponsored trials of CRLX101 in the future. Most recently, we initiated a company-sponsored Phase 1 trial to explore a dose-intensive schedule with CRLX101. Avastin and paclitaxel are currently approved to treat various cancers, and the combination of capecitabine and radiotherapy is currently the standard of care in locally advanced rectal cancer in the United States. However, we did not develop or obtain regulatory approval for, and we do not manufacture or sell, Avastin, capecitabine or paclitaxel. We may also seek to develop our product candidates in combination with other therapeutics in the future.</w:t>
      </w:r>
    </w:p>
    <w:p>
      <w:pPr>
        <w:spacing w:after="0" w:line="19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If the FDA revokes its approval of Avastin,, we will not be able to market CRLX101 in combination with such revoked therapeutic. If safety or efficacy issues arise with Avastin, capecitabine or paclitaxel or any other therapeutics that we seek to combine with our product candidates in the future, we may experience significant regulatory delays, and the FDA may require us to redesign or terminate the applicable clinical trials. Moreover, if Avastin, capecitabine or paclitaxel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Avastin, capecitabine or paclitaxel, as applicable. If capecitabine and radiotherapy is replaced as the standard of care for treatment of locally advanced rectal cancer, the results, if any, of the ongoing IST in locally advanced rectal cancer may be less meaningful, and the FDA may require us to conduct additional clinical trials of CRLX101 prior to any regulatory approval in this indication. In addition, if manufacturing, cost or other issues result in a supply shortage of Avastin, capecitabine, paclitaxel or any other combination therapeutics, we may not be able to complete clinical development of CRLX101 on our current timeline or at all.</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Even if CRLX101 were to receive regulatory approval and be commercialized for use in combination with Avastin, capecitabine, paclitaxel or another therapeutic, we would continue to be subject to the risk that the FDA could revoke its approval of Avastin, that safety, efficacy, manufacturing, cost or supply issues could arise with one of these therapeutic agents, or that capecitabine and radiotherapy may be replaced as the standard of care in patients with locally advanced rectal cancer. This could result in CRLX101 being removed from the market or being less successful commercially.</w:t>
      </w:r>
    </w:p>
    <w:p>
      <w:pPr>
        <w:spacing w:after="0" w:line="17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On November 19, 2014, the FDA approved Genentech, Inc.’s supplemental Biologics License Application for Avastin plus chemotherapy for the treatment of women with recurrent platinum-resistant ovarian cancer. This approval appears to be altering the commercial landscape of late-stage ovarian cancer drug development. Based on the data generated by the IST of CRLX101 plus Avastin and our clinical trial with the GOG Foundation, Inc. of CRLX101 plus weekly paclitaxel, in each case in patients with relapsed ovarian cancer, we will further evaluate the regulatory requirements and the commercial opportunity for CRLX101 in relapsed ovarian cancer. It is possible that we will determine that the threshold for regulatory approval is too high or that the commercial opportunity is too narrow and, for either reason, we might abandon our efforts to develop CRLX101 in relapsed ovarian cancer.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28" w:name="page29"/>
    <w:bookmarkEnd w:id="28"/>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If our hypothesis regarding the role of hypoxia inducible factor, or HIF, in cancer cells proves incorrect, it may adversely affect our ability to commercialize and market CRLX101.</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believe that the anti-cancer activity shown by CRLX101 in preclinical tumor models is due in part to its inhibition of HIF, and we have prioritized the clinical development of CRLX101, among other criteria, on HIF-driven tumor types. We have shown preclinically that CRLX101 inhibits both HIF-1α and HIF-2α. While HIF-1α has become a target of increasing interest in cancer research and recent research suggests that HIF-1α is a master regulator for many cancer cell survival pathways, the science underlying HIF-1α is based on recent discoveries and not fully understood. Moreover, the exact role of HIF-2α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89"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Two of our product candidates are in clinical development, all of our other potential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have a sufficient quantity of our product candidate available when needed,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dose, dosing schedule,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or intolerability caused by our product candidates, or mistakenly believe that our product candidates are toxic or not well tolerated when that is not in fact the case.</w:t>
      </w:r>
    </w:p>
    <w:p>
      <w:pPr>
        <w:spacing w:after="0" w:line="17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NSCLC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Moreover, there are currently multiple open-label ISTs of CRLX101 ongoing, including: a Phase 1b/2 open-label IST of CRLX101 in combination with Avastin in patients with relapsed RCC; a Phase 2 open-label IST in patients with relapsed ovarian cancer, consisting of a single-arm trial of CRLX101 as monotherapy and a single-arm combination trial of CRLX101 and Avastin; and a Phase 1b/2 open-label IST of CRLX101 in combination with chemoradiotherapy in patients with locally advanced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6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design of a clinical trial can determine whether its results will support approval of a product, and flaws in the design of a clinical trial may not become apparent until the clinical trial is well advanced or completed and protocol amendments, if any, to address such flaws may not be sufficiently timely or corrective. We have limited experience in designing clinical trials and may be unable to design and execute a clinical trial to support marketing approval. For example, we believe that a significant increase in pathologic complete response is a clinically meaningful endpoint for the treatment of locally advanced rectal cancer, but there can be no assurance that the FDA will agree. Moreover, no drug has yet been approved in this setting.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ind w:firstLine="518"/>
        <w:spacing w:after="0" w:line="257"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type and disease progression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marketing approval of our product candidates, including:</w:t>
      </w:r>
    </w:p>
    <w:p>
      <w:pPr>
        <w:spacing w:after="0" w:line="62" w:lineRule="exact"/>
        <w:rPr>
          <w:sz w:val="20"/>
          <w:szCs w:val="20"/>
          <w:color w:val="auto"/>
        </w:rPr>
      </w:pPr>
    </w:p>
    <w:p>
      <w:pPr>
        <w:ind w:left="820" w:hanging="299"/>
        <w:spacing w:after="0" w:line="207" w:lineRule="auto"/>
        <w:tabs>
          <w:tab w:leader="none" w:pos="82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clinical trials of our product candidates may produce unfavorable, incomplete or inconclusive results, such as with our Phase 2 clinical trial of CRLX101 as monotherapy for patients with advanced NSCLC who had progressed through one or two prior regimens of chemotherapy;</w:t>
      </w:r>
    </w:p>
    <w:p>
      <w:pPr>
        <w:spacing w:after="0" w:line="31" w:lineRule="exact"/>
        <w:rPr>
          <w:rFonts w:ascii="Arial" w:cs="Arial" w:eastAsia="Arial" w:hAnsi="Arial"/>
          <w:sz w:val="28"/>
          <w:szCs w:val="28"/>
          <w:color w:val="auto"/>
          <w:vertAlign w:val="superscript"/>
        </w:rPr>
      </w:pPr>
    </w:p>
    <w:p>
      <w:pPr>
        <w:ind w:left="820" w:hanging="299"/>
        <w:spacing w:after="0"/>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we may decide to change a dosing schedule for any given clinical trial based on relevant data;</w:t>
      </w:r>
    </w:p>
    <w:p>
      <w:pPr>
        <w:spacing w:after="0" w:line="140" w:lineRule="exact"/>
        <w:rPr>
          <w:rFonts w:ascii="Arial" w:cs="Arial" w:eastAsia="Arial" w:hAnsi="Arial"/>
          <w:sz w:val="26"/>
          <w:szCs w:val="26"/>
          <w:color w:val="auto"/>
          <w:vertAlign w:val="superscript"/>
        </w:rPr>
      </w:pPr>
    </w:p>
    <w:p>
      <w:pPr>
        <w:ind w:left="820" w:hanging="299"/>
        <w:spacing w:after="0" w:line="204" w:lineRule="auto"/>
        <w:tabs>
          <w:tab w:leader="none" w:pos="82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135" w:lineRule="exact"/>
        <w:rPr>
          <w:rFonts w:ascii="Arial" w:cs="Arial" w:eastAsia="Arial" w:hAnsi="Arial"/>
          <w:sz w:val="28"/>
          <w:szCs w:val="28"/>
          <w:color w:val="auto"/>
          <w:vertAlign w:val="superscript"/>
        </w:rPr>
      </w:pPr>
    </w:p>
    <w:p>
      <w:pPr>
        <w:ind w:left="820" w:hanging="299"/>
        <w:spacing w:after="0" w:line="198" w:lineRule="auto"/>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our supply of product candidates may be insufficient to complete our clinical trials as planned due to a batch failure, lack of funds, planning errors or other reasons;</w:t>
      </w:r>
    </w:p>
    <w:p>
      <w:pPr>
        <w:spacing w:after="0" w:line="134" w:lineRule="exact"/>
        <w:rPr>
          <w:rFonts w:ascii="Arial" w:cs="Arial" w:eastAsia="Arial" w:hAnsi="Arial"/>
          <w:sz w:val="29"/>
          <w:szCs w:val="29"/>
          <w:color w:val="auto"/>
          <w:vertAlign w:val="superscript"/>
        </w:rPr>
      </w:pPr>
    </w:p>
    <w:p>
      <w:pPr>
        <w:ind w:left="820" w:hanging="299"/>
        <w:spacing w:after="0" w:line="207" w:lineRule="auto"/>
        <w:tabs>
          <w:tab w:leader="none" w:pos="82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our third party contractors, including those manufacturing our product candidates or components or ingredients thereof or conducting clinical trials on our behalf, may fail to comply with regulatory requirements or meet their contractual obligations to us in a timely manner or at all;</w:t>
      </w:r>
    </w:p>
    <w:p>
      <w:pPr>
        <w:spacing w:after="0" w:line="134" w:lineRule="exact"/>
        <w:rPr>
          <w:rFonts w:ascii="Arial" w:cs="Arial" w:eastAsia="Arial" w:hAnsi="Arial"/>
          <w:sz w:val="28"/>
          <w:szCs w:val="28"/>
          <w:color w:val="auto"/>
          <w:vertAlign w:val="superscript"/>
        </w:rPr>
      </w:pPr>
    </w:p>
    <w:p>
      <w:pPr>
        <w:ind w:left="820" w:right="20" w:hanging="299"/>
        <w:spacing w:after="0" w:line="198" w:lineRule="auto"/>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43"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investigators may deviate from the trial protocol, fail to conduct the trial in accordance with regulatory requirements or misreport study data;</w:t>
      </w:r>
    </w:p>
    <w:p>
      <w:pPr>
        <w:spacing w:after="0" w:line="139" w:lineRule="exact"/>
        <w:rPr>
          <w:rFonts w:ascii="Arial" w:cs="Arial" w:eastAsia="Arial" w:hAnsi="Arial"/>
          <w:sz w:val="28"/>
          <w:szCs w:val="28"/>
          <w:color w:val="auto"/>
          <w:vertAlign w:val="superscript"/>
        </w:rPr>
      </w:pPr>
    </w:p>
    <w:p>
      <w:pPr>
        <w:ind w:left="820" w:hanging="299"/>
        <w:spacing w:after="0" w:line="195" w:lineRule="auto"/>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35" w:lineRule="exact"/>
        <w:rPr>
          <w:rFonts w:ascii="Arial" w:cs="Arial" w:eastAsia="Arial" w:hAnsi="Arial"/>
          <w:sz w:val="29"/>
          <w:szCs w:val="29"/>
          <w:color w:val="auto"/>
          <w:vertAlign w:val="superscript"/>
        </w:rPr>
      </w:pPr>
    </w:p>
    <w:p>
      <w:pPr>
        <w:ind w:left="820" w:right="20" w:hanging="299"/>
        <w:spacing w:after="0" w:line="198" w:lineRule="auto"/>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134" w:lineRule="exact"/>
        <w:rPr>
          <w:rFonts w:ascii="Arial" w:cs="Arial" w:eastAsia="Arial" w:hAnsi="Arial"/>
          <w:sz w:val="29"/>
          <w:szCs w:val="29"/>
          <w:color w:val="auto"/>
          <w:vertAlign w:val="superscript"/>
        </w:rPr>
      </w:pPr>
    </w:p>
    <w:p>
      <w:pPr>
        <w:jc w:val="both"/>
        <w:ind w:left="820" w:hanging="299"/>
        <w:spacing w:after="0" w:line="212" w:lineRule="auto"/>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enrollment size for the clinical trial or extend the clinical trial’s duration;</w:t>
      </w:r>
    </w:p>
    <w:p>
      <w:pPr>
        <w:spacing w:after="0" w:line="33"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for any given trial we may find it necessary to open more clinical trial sites than originally planned;</w:t>
      </w:r>
    </w:p>
    <w:p>
      <w:pPr>
        <w:spacing w:after="0" w:line="139" w:lineRule="exact"/>
        <w:rPr>
          <w:rFonts w:ascii="Arial" w:cs="Arial" w:eastAsia="Arial" w:hAnsi="Arial"/>
          <w:sz w:val="29"/>
          <w:szCs w:val="29"/>
          <w:color w:val="auto"/>
          <w:vertAlign w:val="superscript"/>
        </w:rPr>
      </w:pPr>
    </w:p>
    <w:p>
      <w:pPr>
        <w:jc w:val="both"/>
        <w:ind w:left="820" w:hanging="299"/>
        <w:spacing w:after="0" w:line="219" w:lineRule="auto"/>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have to suspend or terminate one or more clinical trials of our product candidates for various reasons, including unfavorable, incomplete or inconclusive data, a determination that the path to commercialization is too difficult or uncertain, changes in the competitive or regulatory landscape, a finding that the participants are being exposed to unacceptable health risks, unexpected or serious adverse events or other unexpected characteristics of a product candidate;</w:t>
      </w:r>
    </w:p>
    <w:p>
      <w:pPr>
        <w:spacing w:after="0" w:line="136" w:lineRule="exact"/>
        <w:rPr>
          <w:rFonts w:ascii="Arial" w:cs="Arial" w:eastAsia="Arial" w:hAnsi="Arial"/>
          <w:sz w:val="29"/>
          <w:szCs w:val="29"/>
          <w:color w:val="auto"/>
          <w:vertAlign w:val="superscript"/>
        </w:rPr>
      </w:pPr>
    </w:p>
    <w:p>
      <w:pPr>
        <w:jc w:val="both"/>
        <w:ind w:left="820" w:hanging="299"/>
        <w:spacing w:after="0" w:line="249" w:lineRule="auto"/>
        <w:tabs>
          <w:tab w:leader="none" w:pos="8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130" w:lineRule="exact"/>
        <w:rPr>
          <w:rFonts w:ascii="Arial" w:cs="Arial" w:eastAsia="Arial" w:hAnsi="Arial"/>
          <w:sz w:val="26"/>
          <w:szCs w:val="26"/>
          <w:color w:val="auto"/>
          <w:vertAlign w:val="superscript"/>
        </w:rPr>
      </w:pPr>
    </w:p>
    <w:p>
      <w:pPr>
        <w:jc w:val="both"/>
        <w:ind w:left="820" w:hanging="299"/>
        <w:spacing w:after="0" w:line="212" w:lineRule="auto"/>
        <w:tabs>
          <w:tab w:leader="none" w:pos="8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FDA or comparable non-U.S.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left="820" w:right="20" w:hanging="299"/>
        <w:spacing w:after="0" w:line="198" w:lineRule="auto"/>
        <w:tabs>
          <w:tab w:leader="none" w:pos="82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134" w:lineRule="exact"/>
        <w:rPr>
          <w:rFonts w:ascii="Arial" w:cs="Arial" w:eastAsia="Arial" w:hAnsi="Arial"/>
          <w:sz w:val="29"/>
          <w:szCs w:val="29"/>
          <w:color w:val="auto"/>
          <w:vertAlign w:val="superscript"/>
        </w:rPr>
      </w:pPr>
    </w:p>
    <w:p>
      <w:pPr>
        <w:jc w:val="both"/>
        <w:ind w:left="820" w:hanging="299"/>
        <w:spacing w:after="0" w:line="212" w:lineRule="auto"/>
        <w:tabs>
          <w:tab w:leader="none" w:pos="82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the supply or quality of raw materials or manufactured product candidates or drugs (whether provided by us or third parties) or other materials necessary to conduct clinical trials of our product candidates may be insufficient, inadequate or not available at an acceptable cost, or we may experience interruptions in supply; and</w:t>
      </w:r>
    </w:p>
    <w:p>
      <w:pPr>
        <w:spacing w:after="0" w:line="136" w:lineRule="exact"/>
        <w:rPr>
          <w:rFonts w:ascii="Arial" w:cs="Arial" w:eastAsia="Arial" w:hAnsi="Arial"/>
          <w:sz w:val="29"/>
          <w:szCs w:val="29"/>
          <w:color w:val="auto"/>
          <w:vertAlign w:val="superscript"/>
        </w:rPr>
      </w:pPr>
    </w:p>
    <w:p>
      <w:pPr>
        <w:ind w:left="820" w:right="20" w:hanging="299"/>
        <w:spacing w:after="0" w:line="198" w:lineRule="auto"/>
        <w:tabs>
          <w:tab w:leader="none" w:pos="82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20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We have conducted and intend to conduct additional clinical trials for certain of our product candidates at sites outside the United States, and the FDA may not accept data from trials conducted in such locations.</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conducted, currently are conducting and intend in the future to conduct, clinical trials outside the United States. Opening trial sites outside the United States may involve additional regulatory, administrative and financial burdens, including compliance with foreign and local requirements relating to regulatory submission and clinical trial practices. For example, in late 2014, we commenced in Australia the Phase 1 portion of a Phase 1/2a clinical trial of CRLX301 in patients with advanced solid tumor malignancies. In addition, in the first half of 2015 we expanded the RCC Trial to South Korea where we opened five additional clinical sites. While the investigational new drug application, or IND, in the United States for CRLX301 became effective on March 27, 2015, enabling us to conduct clinical trials for CRLX301 in the U.S., we also expect to continue to conduct clinical trials of CRLX301 at sites outside the U.S.</w:t>
      </w:r>
    </w:p>
    <w:p>
      <w:pPr>
        <w:spacing w:after="0" w:line="18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our Phase 1/2a clinical trial of CRLX301 in Australia, for example, or any other trial that we conduct outside the United States, it would likely result in the need for additional clinical trials, which would be costly and time-consuming and delay or permanently halt our development of CRLX101, CRLX301 or any future product candidates.</w:t>
      </w:r>
    </w:p>
    <w:p>
      <w:pPr>
        <w:spacing w:after="0" w:line="16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ind w:left="820" w:hanging="299"/>
        <w:spacing w:after="0" w:line="210" w:lineRule="auto"/>
        <w:tabs>
          <w:tab w:leader="none" w:pos="82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foreign regulatory requirements that could burden or limit our ability to conduct our clinical trials;</w:t>
      </w:r>
    </w:p>
    <w:p>
      <w:pPr>
        <w:spacing w:after="0" w:line="110" w:lineRule="exact"/>
        <w:rPr>
          <w:rFonts w:ascii="Arial" w:cs="Arial" w:eastAsia="Arial" w:hAnsi="Arial"/>
          <w:sz w:val="29"/>
          <w:szCs w:val="29"/>
          <w:color w:val="auto"/>
          <w:vertAlign w:val="superscript"/>
        </w:rPr>
      </w:pPr>
    </w:p>
    <w:p>
      <w:pPr>
        <w:ind w:left="820" w:hanging="299"/>
        <w:spacing w:after="0" w:line="191" w:lineRule="auto"/>
        <w:tabs>
          <w:tab w:leader="none" w:pos="82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31"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administrative burdens of conducting clinical trials under multiple foreign regulatory schema;</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foreign exchange fluctuations;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more burdensome manufacturing, customs, shipment and storage requirements;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cultural differences in medical practice and clinical research;</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lack of consistency in standard of care from country to country; and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diminished protection of intellectual property in some countries.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clinical trials or other testing of our product candidates beyond the trials and testing that we contemplate, (2) we are unable to successfully complete clinical trials of our product candidates or other testing, (3) the results of these trials or tests are unfavorable, uncertain or are only modestly favorable, or (4) there are unacceptable safety concerns associated with our product candidates, we, in addition to incurring additional costs, may:</w:t>
      </w:r>
    </w:p>
    <w:p>
      <w:pPr>
        <w:spacing w:after="0" w:line="2" w:lineRule="exact"/>
        <w:rPr>
          <w:sz w:val="20"/>
          <w:szCs w:val="20"/>
          <w:color w:val="auto"/>
        </w:rPr>
      </w:pPr>
    </w:p>
    <w:p>
      <w:pPr>
        <w:ind w:left="820" w:hanging="299"/>
        <w:spacing w:after="0"/>
        <w:tabs>
          <w:tab w:leader="none" w:pos="82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be delayed in obtaining marketing approval for our product candidates;</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not obtain marketing approval at all;</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obtain approval for indications or patient populations that are not as broad as we intended or desired;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obtain approval with labeling that includes significant use or distribution restrictions or significant safety warnings, including boxed warnings;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be subject to additional post-marketing testing or other requirements; or</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be required to remove the product from the market after obtaining marketing approval.</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2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On April 27, 2015 we were notified that we received fast track designation for CRLX101 for the treatment of metastatic RCC following progression through two or three prior lines of therapy. We may seek fast track designation for other indications or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the FDA may still decide not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qualifies as a breakthrough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therapy, the FDA may later decide that the product no longer meets the conditions for qualification or decide that the time period for FDA review or approval will not be shortened.</w:t>
      </w:r>
    </w:p>
    <w:p>
      <w:pPr>
        <w:spacing w:after="0" w:line="170"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b w:val="1"/>
          <w:bCs w:val="1"/>
          <w:i w:val="1"/>
          <w:iCs w:val="1"/>
          <w:color w:val="auto"/>
        </w:rPr>
        <w:t>If we fail to obtain or maintain orphan drug exclusivity for some of our product candidates, we will miss out on certain valuable incentives including a period of marketing exclusivity as well as federal grants, tax credits and a waiver of Prescription Drug User Fee Act filing fees.</w:t>
      </w:r>
    </w:p>
    <w:p>
      <w:pPr>
        <w:spacing w:after="0" w:line="1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intend to develop some product candidates that may be eligible for orphan drug designation from the FDA. Under the Orphan Drug Act, the FDA has discretion to designate a product as an orphan drug if it is designed to treat a rare disease or condition, which is defined as a patient population of less than 200,000 in the United States. The applicant that first obtains FDA approval for a designated orphan drug receives marketing exclusivity for use of that drug for the stated condition or disease for a period of seven years and becomes eligible for certain federal grants, tax credits and a waiver of Prescription Drug User Fee Act filing fees.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For our product candidates that are eligible, we plan to rely on the exclusivity period under the Orphan Drug Act to attain a competitive position. If we do not obtain orphan drug exclusivity for our drug products that do not have broad patent protection, our competitors may then sell the same drug to treat the same condition and our revenues will be reduced. On May 26, 2015, the FDA granted orphan drug designation to CRLX101 for the treatment of ovarian cancer.</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Even though we have obtained orphan drug designation for CRLX101 for the treatment of ovarian cancer, we still may not be the first to obtain marketing approval for any particular orphan indication. Further, even if we obtain orphan drug exclusivity for a product candidate, that exclusivity may not effectively protect it from competition because different drugs can be approved for the same condition. Even after an orphan drug is approved and granted orphan drug exclusivity, the FDA can subsequently approve the same drug for the same condition. Orphan drug designation neither shortens the development time or regulatory review time of a drug, nor gives the drug any advantage in the regulatory review or approval process.</w:t>
      </w:r>
    </w:p>
    <w:p>
      <w:pPr>
        <w:spacing w:after="0" w:line="173"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b w:val="1"/>
          <w:bCs w:val="1"/>
          <w:i w:val="1"/>
          <w:iCs w:val="1"/>
          <w:color w:val="auto"/>
        </w:rPr>
        <w:t>We may request Priority Review for one or more of our product candidates at the time of the submission of the NDA to the FDA. The FDA may not grant Priority Review for any of our product candidates. Moreover, even if the FDA designated Priority Review for one of our product candidates, that designation may not lead to a faster regulatory review or approval process and, in any event, would not assure FDA approval.</w:t>
      </w:r>
    </w:p>
    <w:p>
      <w:pPr>
        <w:spacing w:after="0" w:line="14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A ten-month standard NDA review clock will begin at the conclusion of the 60 calendar day filing review period that starts on the date the FDA receives the original submission. This means the FDA has a total of twelve months from its receipt of the original submission to take regulatory action. We may be eligible for Priority Review designation for our NDA submission if the FDA determines that our product candidate treats a serious condition and, if approved, would provide a significant improvement in safety or effectiveness. The six-month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standard total of twelve months. We may request Priority Review for CRLX101 if and when we submit an NDA for CRLX101. Our current clinical development timeline assumes CRLX101 will receive Priority Review. The FDA has broad discretion whether or not to grant Priority Review to a product candidate, so even if we believe a particular product candidate is eligible for such designation or status, the FDA may decide not to grant it. Thus, while the FDA has granted Priority Review to other oncology product candidates, CRLX101 may not receive similar designation. Moreover, even if CRLX101 or one of our other product candidates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 cycle or thereafter.</w:t>
      </w:r>
    </w:p>
    <w:p>
      <w:pPr>
        <w:spacing w:after="0" w:line="169"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b w:val="1"/>
          <w:bCs w:val="1"/>
          <w:i w:val="1"/>
          <w:iCs w:val="1"/>
          <w:color w:val="auto"/>
        </w:rPr>
        <w:t>We believe we may in some instances be able to secure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4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anticipate that we may seek an Accelerated Approval development pathway for certain of our product candidates and indications.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Traditional Approval. If such post-approval studies fail to confirm the drug’s clinical profile or risks and benefits, the FDA may withdraw its approval of the drug.</w:t>
      </w:r>
    </w:p>
    <w:p>
      <w:pPr>
        <w:spacing w:after="0" w:line="18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6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 failure to obtain Accelerated Approval or any other form of expedited development, review or approval for our product candidates would result in a longer time period to commercialization of such product candidate, could increase the cost of development of such product candidate and could harm our competitive position in the marketplace.</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66"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 clinical trials we conduct in the future, whether due to the inclusion of camptothecin or docetaxel or another therapeutic as the anti-cancer payload in our NDCs or otherwise, we may not receive approval to market, or achieve commercial success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ind w:left="820" w:hanging="299"/>
        <w:spacing w:after="0" w:line="230" w:lineRule="auto"/>
        <w:tabs>
          <w:tab w:leader="none" w:pos="82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newly designed NDCs may not demonstrate satisfactory efficacy or other benefits, either alone or in combination with other therapeutics; or</w:t>
      </w:r>
    </w:p>
    <w:p>
      <w:pPr>
        <w:spacing w:after="0" w:line="140" w:lineRule="exact"/>
        <w:rPr>
          <w:rFonts w:ascii="Arial" w:cs="Arial" w:eastAsia="Arial" w:hAnsi="Arial"/>
          <w:sz w:val="28"/>
          <w:szCs w:val="28"/>
          <w:color w:val="auto"/>
          <w:vertAlign w:val="superscript"/>
        </w:rPr>
      </w:pPr>
    </w:p>
    <w:p>
      <w:pPr>
        <w:ind w:left="820" w:hanging="299"/>
        <w:spacing w:after="0" w:line="195" w:lineRule="auto"/>
        <w:tabs>
          <w:tab w:leader="none" w:pos="82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20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research programs to identify new product candidates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and the market opportunity for the product candidate may be smaller than we estimate.</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may not become profitable. The degree of market acceptance of CRLX101 or any of our other product candidates, if approved for commercial sale, will depend on a number of factors, including:</w:t>
      </w:r>
    </w:p>
    <w:p>
      <w:pPr>
        <w:spacing w:after="0" w:line="16" w:lineRule="exact"/>
        <w:rPr>
          <w:sz w:val="20"/>
          <w:szCs w:val="20"/>
          <w:color w:val="auto"/>
        </w:rPr>
      </w:pPr>
    </w:p>
    <w:p>
      <w:pPr>
        <w:ind w:left="820" w:hanging="299"/>
        <w:spacing w:after="0"/>
        <w:tabs>
          <w:tab w:leader="none" w:pos="82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the efficacy and safety of the product;</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the potential advantages of the product compared to alternative treatments;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the prevalence and severity of any side effects;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the clinical indications for which the product is approved;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whether the product is designated under physician treatment guidelines as a first-line therapy or as a second- or third-line therapy;</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limitations or warnings, including distribution or use restrictions, contained in the product’s approved labeling;</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our ability to offer the product for sale at competitive prices;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our ability to establish and maintain pricing sufficient to realize a meaningful return on our investment;</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the product’s convenience and ease of administration compared to alternative treatments;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the willingness of the target patient population to try, and of physicians to prescribe, the product;</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the strength of sales, marketing and distribution support;</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the availability of alternative treatments already approved or approval of other new products for the same indications;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changes in the standard of care for the targeted indications for the product;</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the timing of market introduction of our approved products as well as competitive products and other therapies;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availability and amount of reimbursement from government payors, managed care plans and other third party payors;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820" w:hanging="299"/>
        <w:spacing w:after="0"/>
        <w:tabs>
          <w:tab w:leader="none" w:pos="82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strength and efficacy of our marketing and distribution efforts;</w:t>
      </w:r>
    </w:p>
    <w:p>
      <w:pPr>
        <w:spacing w:after="0" w:line="129" w:lineRule="exact"/>
        <w:rPr>
          <w:rFonts w:ascii="Arial" w:cs="Arial" w:eastAsia="Arial" w:hAnsi="Arial"/>
          <w:sz w:val="29"/>
          <w:szCs w:val="29"/>
          <w:color w:val="auto"/>
          <w:vertAlign w:val="superscript"/>
        </w:rPr>
      </w:pPr>
    </w:p>
    <w:p>
      <w:pPr>
        <w:ind w:left="820" w:hanging="299"/>
        <w:spacing w:after="0" w:line="181" w:lineRule="auto"/>
        <w:tabs>
          <w:tab w:leader="none" w:pos="820" w:val="left"/>
        </w:tabs>
        <w:numPr>
          <w:ilvl w:val="0"/>
          <w:numId w:val="30"/>
        </w:numPr>
        <w:rPr>
          <w:rFonts w:ascii="Arial" w:cs="Arial" w:eastAsia="Arial" w:hAnsi="Arial"/>
          <w:sz w:val="27"/>
          <w:szCs w:val="27"/>
          <w:color w:val="auto"/>
          <w:vertAlign w:val="superscript"/>
        </w:rPr>
      </w:pPr>
      <w:r>
        <w:rPr>
          <w:rFonts w:ascii="Arial" w:cs="Arial" w:eastAsia="Arial" w:hAnsi="Arial"/>
          <w:sz w:val="17"/>
          <w:szCs w:val="17"/>
          <w:color w:val="auto"/>
        </w:rPr>
        <w:t>adverse publicity about the product or favorable publicity about competitive products; and</w:t>
      </w:r>
    </w:p>
    <w:p>
      <w:pPr>
        <w:spacing w:after="0" w:line="140" w:lineRule="exact"/>
        <w:rPr>
          <w:rFonts w:ascii="Arial" w:cs="Arial" w:eastAsia="Arial" w:hAnsi="Arial"/>
          <w:sz w:val="27"/>
          <w:szCs w:val="27"/>
          <w:color w:val="auto"/>
          <w:vertAlign w:val="superscript"/>
        </w:rPr>
      </w:pPr>
    </w:p>
    <w:p>
      <w:pPr>
        <w:ind w:left="820" w:hanging="299"/>
        <w:spacing w:after="0" w:line="180" w:lineRule="auto"/>
        <w:tabs>
          <w:tab w:leader="none" w:pos="82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potential product liability claims.</w:t>
      </w:r>
    </w:p>
    <w:p>
      <w:pPr>
        <w:spacing w:after="0" w:line="20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58"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24"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ind w:left="820" w:hanging="299"/>
        <w:spacing w:after="0" w:line="228" w:lineRule="auto"/>
        <w:tabs>
          <w:tab w:leader="none" w:pos="82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withdraw their approval of the drug or seize the drug;</w:t>
      </w:r>
    </w:p>
    <w:p>
      <w:pPr>
        <w:spacing w:after="0" w:line="140"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we may be required to recall the drug or change the way the drug is administered;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additional restrictions may be imposed on the marketing of, or the manufacturing processes for, the particular drug;</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we may be subject to fines, injunctions or the imposition of civil or criminal penalties;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regulatory authorities may require the addition of labeling statements, such as a “black box” warning or a contraindication;</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we may be required to create a Medication Guide outlining the risks of the previously unidentified side effects for distribution to patients;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we could be sued and held liable for harm caused to patients;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the drug may become less competitive; and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our reputation may suffer.</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events could have a material and adverse effect on our operations and business and could adversely impact our stock price.</w:t>
      </w:r>
    </w:p>
    <w:p>
      <w:pPr>
        <w:spacing w:after="0" w:line="23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8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36" w:name="page37"/>
    <w:bookmarkEnd w:id="36"/>
    <w:p>
      <w:pPr>
        <w:jc w:val="both"/>
        <w:ind w:firstLine="518"/>
        <w:spacing w:after="0" w:line="297" w:lineRule="auto"/>
        <w:rPr>
          <w:sz w:val="20"/>
          <w:szCs w:val="20"/>
          <w:color w:val="auto"/>
        </w:rPr>
      </w:pPr>
      <w:r>
        <w:rPr>
          <w:rFonts w:ascii="Arial" w:cs="Arial" w:eastAsia="Arial" w:hAnsi="Arial"/>
          <w:sz w:val="16"/>
          <w:szCs w:val="16"/>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9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Several companies are marketing and developing oncology products. Companies with marketed nanoparticle oncology products include Celgene Corporation (Abraxane indicated for breast cancer, NSCLC and pancreatic cancer), Janssen Products, LP (Doxil indicated for ovarian cancer and, in combination with bortezomib, for multiple myeloma), Spectrum Pharmaceuticals, Inc. (Marqibo ® (vincristine sulfate liposome injection) indicated for relapsed Philadelphia chromosome-negative acute lymphoblastic leukemia) and Merrimack Pharmaceuticals (Onivyde™ (irinotecan liposomal injection) indicated for pancreatic and colorectal cancer). Companies with nanoparticle oncology product candidates in clinical development include BIND Therapeutics, Inc. (BIND 014 for NSCLC and metastatic castration-resistant prostate cancer), Nippon Kayku Seizo Co., Ltd. (NK105 in breast cancer), Celator Pharmaceuticals, Inc. (CPX-351 for acute myeloid leukemia), Celsion Corporation (ThermoDox ® (lyso-thermosensitive liposomal doxorubicin) for solid tumors), Cytimmune Sciences, Inc. (CYT-6091 for oncology and autoimmune diseases), Starpharma Holdings Ltd. (DEP® docetaxel for oncology), Cristal Delivery B.V. d/b/a Cristal Therapeutics (CriPec® docetaxel for oncology), Supratek Pharma Inc. (SP1049C for solid tumors) and Nektar Therapeutics (NKTR102 for breast cancer).</w:t>
      </w:r>
    </w:p>
    <w:p>
      <w:pPr>
        <w:spacing w:after="0" w:line="19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 candidates before we are able to obtain approval for our product candidates, which could result in our competitors establishing a strong market position before we are able to enter the market. The competition for CRLX101 in our targeted indications includes the following:</w:t>
      </w:r>
    </w:p>
    <w:p>
      <w:pPr>
        <w:spacing w:after="0" w:line="15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Renal Cell Carcinoma</w:t>
      </w:r>
      <w:r>
        <w:rPr>
          <w:rFonts w:ascii="Arial" w:cs="Arial" w:eastAsia="Arial" w:hAnsi="Arial"/>
          <w:sz w:val="18"/>
          <w:szCs w:val="18"/>
          <w:color w:val="auto"/>
        </w:rPr>
        <w:t>. In advanced RCC, several drugs in development have the potential to obtain FDA marketing approval and change the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of care. If this occurs, currently available treatments could be replaced or altered and our commercial opportunity could be reduced. For example, Bristol-Myers Squibb is developing nivolumab; Merck is developing pembrolizumab; Eisai Co., Ltd. is developing lenvantinib in combination with everolimus; Acceleron Pharma Inc. is developing dalantercept in combination with axitinib; TRACON Pharmaceuticals, Inc. is developing TRC105, also in combination with axitinib; and AVEO Pharmaceuticals, Inc. is developing tivozanib.</w:t>
      </w:r>
    </w:p>
    <w:p>
      <w:pPr>
        <w:spacing w:after="0" w:line="18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Although most of these product candidates are being tested for earlier lines of therapy, they also have the potential to change the standard of care in later lines of therapy in advanced RCC, which could create questions about the optimal sequence of agents and, among other things, could result in existing first-line therapies being prescribed instead of later lines of therapy. Determining the optimal sequence of agents could be further complicated if their approval and/or availability is different in the U.S. and Europe. If this occurs, it would potentially reduce the commercial opportunity for CRLX101 in relapsed RCC.</w:t>
      </w:r>
    </w:p>
    <w:p>
      <w:pPr>
        <w:spacing w:after="0" w:line="15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Relapsed Ovarian Cancer</w:t>
      </w:r>
      <w:r>
        <w:rPr>
          <w:rFonts w:ascii="Arial" w:cs="Arial" w:eastAsia="Arial" w:hAnsi="Arial"/>
          <w:sz w:val="18"/>
          <w:szCs w:val="18"/>
          <w:color w:val="auto"/>
        </w:rPr>
        <w:t>. In relapsed ovarian cancer, the recent FDA approvals of Avastin with chemotherapy and Lynparza® in BRCA mutated</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has changed the standard of care, which could reduce the commercial opportunity for CRLX101 in this indication. In addition, other companies are developing candidates for the treatment of relapsed ovarian cancer. For example, AstraZeneca is testing the Wee-1 inhibitor, AZD-1775, in p53 mutated patients and Immuogen, Inc. is testing IMGN853 in ovarian cancer patients with folate receptor positive tumors. Recent and upcoming approvals have the potential to reduce our commercial opportunity.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both"/>
        <w:ind w:firstLine="518"/>
        <w:spacing w:after="0" w:line="273" w:lineRule="auto"/>
        <w:rPr>
          <w:sz w:val="20"/>
          <w:szCs w:val="20"/>
          <w:color w:val="auto"/>
        </w:rPr>
      </w:pPr>
      <w:r>
        <w:rPr>
          <w:rFonts w:ascii="Arial" w:cs="Arial" w:eastAsia="Arial" w:hAnsi="Arial"/>
          <w:sz w:val="17"/>
          <w:szCs w:val="17"/>
          <w:i w:val="1"/>
          <w:iCs w:val="1"/>
          <w:color w:val="auto"/>
        </w:rPr>
        <w:t>Locally Advanced Rectal Cancer</w:t>
      </w:r>
      <w:r>
        <w:rPr>
          <w:rFonts w:ascii="Arial" w:cs="Arial" w:eastAsia="Arial" w:hAnsi="Arial"/>
          <w:sz w:val="17"/>
          <w:szCs w:val="17"/>
          <w:color w:val="auto"/>
        </w:rPr>
        <w:t>. In locally advanced rectal cancer, a number of companies are developing potentially competitive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instance, Isofol Medical AB is developing a molecule that is currently labeled [6R] 5,10-methylenetetrahydrofolate; Karyopharm Therapeutics Inc. is developing Selinexor in combination with chemoradiotherapy; Merck KGaA is developing tecemotide with chemoradiotherapy; Genentech, Inc. is testing Avastin in combination with capecitabine; Kadmon Corporation, LLC is developing KD018 in combination with capecitabine and radiation and AbbVie Inc. has completed an early stage clinical trial of the PARP inhibitor veliparib in combination with chemotherapy and radiation. If any of these product candidates receives marketing approval, our commercial opportunity in locally advanced rectal cancer could be reduced.</w:t>
      </w:r>
    </w:p>
    <w:p>
      <w:pPr>
        <w:spacing w:after="0" w:line="17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7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and certain of our other NDCs would be treated as new chemical entities by the FDA and, therefore, if approved, should be afforded five years of data exclusivity,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7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4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70"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5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6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face an inherent risk of product liability claims as a result of the clinical testing of our product candidates despite obtaining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19" w:lineRule="exact"/>
        <w:rPr>
          <w:sz w:val="20"/>
          <w:szCs w:val="20"/>
          <w:color w:val="auto"/>
        </w:rPr>
      </w:pPr>
    </w:p>
    <w:p>
      <w:pPr>
        <w:ind w:left="820" w:hanging="299"/>
        <w:spacing w:after="0"/>
        <w:tabs>
          <w:tab w:leader="none" w:pos="82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decreased demand for our product candidates or products that we may develop;</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injury to our reputation and significant negative media attention;</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withdrawal of clinical trial participants;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significant costs to defend resulting litigation;</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substantial monetary awards to trial participants or patients;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loss of revenue;</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reduced resources of our management to pursue our business strategy; and</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the inability to commercialize any products that we may develop.</w:t>
      </w:r>
    </w:p>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rely on academic institutions to conduct and sponsor some of our clinical trials relating to some of our product candidates. We do not control the design or administration of ISTs, and our reliance on third parties to conduct the ISTs could, depending on the actions of such third parties, jeopardize the validity or timeliness of the clinical data generated and adversely affect our ability to obtain marketing approval from the FDA or other applicable regulatory authorities.</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Such arrangements provide us with certain information rights with respect to the ISTs, including access to and the ability to use and reference the data, including for our own regulatory filings, resulting from the investigator-sponsored trials. However, we do not control patient enrollment in, or the timing and reporting of the data from, ISTs, nor do we own the data from the ISTs. Moreover, if we are unable to confirm or replicate the results from the ISTs or if negative results are obtained in the ISTs, we would likely be further delayed or prevented from advancing further clinical development of our drug candidates. Further, if investigators or institutions breach their obligations with respect to the clinical development of our drug candidates, or if the data proves to be unfavorable, incomplete or inconclusive, then our ability to design and conduct any future clinical trials ourselves may be adversely affected.</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Moreover, there will be no independent review of the results of the ISTs. Therefore, the investigators may interpret the results of the ISTs more favorably than an independent review would.</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currently rely on third party clinical research organizations, or CROs, to conduct our clinical trials. We also rely on third parties including CROs to collect and monitor adverse event data for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also expect to rely on other third parties to manufacture,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jc w:val="both"/>
        <w:ind w:firstLine="518"/>
        <w:spacing w:after="0" w:line="381" w:lineRule="auto"/>
        <w:rPr>
          <w:sz w:val="20"/>
          <w:szCs w:val="20"/>
          <w:color w:val="auto"/>
        </w:rPr>
      </w:pPr>
      <w:r>
        <w:rPr>
          <w:rFonts w:ascii="Arial" w:cs="Arial" w:eastAsia="Arial" w:hAnsi="Arial"/>
          <w:sz w:val="15"/>
          <w:szCs w:val="15"/>
          <w:b w:val="1"/>
          <w:bCs w:val="1"/>
          <w:i w:val="1"/>
          <w:iCs w:val="1"/>
          <w:color w:val="auto"/>
        </w:rPr>
        <w:t>We may seek to enter into collaborations with third parties for the development and commercialization of our product candidates. If we fail to enter into such collaborations, or such collaborations are not successful, we may not be able to capitalize on the market potential of our product candidates.</w:t>
      </w:r>
    </w:p>
    <w:p>
      <w:pPr>
        <w:spacing w:after="0" w:line="10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may seek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biotechnology companies and certain governmental agencies.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4" w:lineRule="exact"/>
        <w:rPr>
          <w:sz w:val="20"/>
          <w:szCs w:val="20"/>
          <w:color w:val="auto"/>
        </w:rPr>
      </w:pPr>
    </w:p>
    <w:p>
      <w:pPr>
        <w:ind w:left="820" w:hanging="299"/>
        <w:spacing w:after="0"/>
        <w:tabs>
          <w:tab w:leader="none" w:pos="82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9" w:lineRule="exact"/>
        <w:rPr>
          <w:rFonts w:ascii="Arial" w:cs="Arial" w:eastAsia="Arial" w:hAnsi="Arial"/>
          <w:sz w:val="29"/>
          <w:szCs w:val="29"/>
          <w:color w:val="auto"/>
          <w:vertAlign w:val="superscript"/>
        </w:rPr>
      </w:pPr>
    </w:p>
    <w:p>
      <w:pPr>
        <w:jc w:val="both"/>
        <w:ind w:left="820" w:hanging="299"/>
        <w:spacing w:after="0" w:line="210" w:lineRule="auto"/>
        <w:tabs>
          <w:tab w:leader="none" w:pos="82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left="820" w:hanging="299"/>
        <w:spacing w:after="0" w:line="198" w:lineRule="auto"/>
        <w:tabs>
          <w:tab w:leader="none" w:pos="82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4" w:lineRule="exact"/>
        <w:rPr>
          <w:rFonts w:ascii="Arial" w:cs="Arial" w:eastAsia="Arial" w:hAnsi="Arial"/>
          <w:sz w:val="29"/>
          <w:szCs w:val="29"/>
          <w:color w:val="auto"/>
          <w:vertAlign w:val="superscript"/>
        </w:rPr>
      </w:pPr>
    </w:p>
    <w:p>
      <w:pPr>
        <w:jc w:val="both"/>
        <w:ind w:left="820" w:hanging="299"/>
        <w:spacing w:after="0" w:line="212" w:lineRule="auto"/>
        <w:tabs>
          <w:tab w:leader="none" w:pos="82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36" w:lineRule="exact"/>
        <w:rPr>
          <w:rFonts w:ascii="Arial" w:cs="Arial" w:eastAsia="Arial" w:hAnsi="Arial"/>
          <w:sz w:val="29"/>
          <w:szCs w:val="29"/>
          <w:color w:val="auto"/>
          <w:vertAlign w:val="superscript"/>
        </w:rPr>
      </w:pPr>
    </w:p>
    <w:p>
      <w:pPr>
        <w:ind w:left="820" w:hanging="299"/>
        <w:spacing w:after="0" w:line="198" w:lineRule="auto"/>
        <w:tabs>
          <w:tab w:leader="none" w:pos="82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34" w:lineRule="exact"/>
        <w:rPr>
          <w:rFonts w:ascii="Arial" w:cs="Arial" w:eastAsia="Arial" w:hAnsi="Arial"/>
          <w:sz w:val="29"/>
          <w:szCs w:val="29"/>
          <w:color w:val="auto"/>
          <w:vertAlign w:val="superscript"/>
        </w:rPr>
      </w:pPr>
    </w:p>
    <w:p>
      <w:pPr>
        <w:ind w:left="820" w:hanging="299"/>
        <w:spacing w:after="0" w:line="207" w:lineRule="auto"/>
        <w:tabs>
          <w:tab w:leader="none" w:pos="8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34" w:lineRule="exact"/>
        <w:rPr>
          <w:rFonts w:ascii="Arial" w:cs="Arial" w:eastAsia="Arial" w:hAnsi="Arial"/>
          <w:sz w:val="28"/>
          <w:szCs w:val="28"/>
          <w:color w:val="auto"/>
          <w:vertAlign w:val="superscript"/>
        </w:rPr>
      </w:pPr>
    </w:p>
    <w:p>
      <w:pPr>
        <w:ind w:left="820" w:hanging="299"/>
        <w:spacing w:after="0" w:line="198" w:lineRule="auto"/>
        <w:tabs>
          <w:tab w:leader="none" w:pos="82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collaborators may infringe our intellectual property rights or the intellectual property rights of third parties, which may expose us to litigation and potential liability;</w:t>
      </w:r>
    </w:p>
    <w:p>
      <w:pPr>
        <w:spacing w:after="0" w:line="134" w:lineRule="exact"/>
        <w:rPr>
          <w:rFonts w:ascii="Arial" w:cs="Arial" w:eastAsia="Arial" w:hAnsi="Arial"/>
          <w:sz w:val="29"/>
          <w:szCs w:val="29"/>
          <w:color w:val="auto"/>
          <w:vertAlign w:val="superscript"/>
        </w:rPr>
      </w:pPr>
    </w:p>
    <w:p>
      <w:pPr>
        <w:ind w:left="820" w:right="20" w:hanging="299"/>
        <w:spacing w:after="0" w:line="221" w:lineRule="auto"/>
        <w:tabs>
          <w:tab w:leader="none" w:pos="820"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135" w:lineRule="exact"/>
        <w:rPr>
          <w:rFonts w:ascii="Arial" w:cs="Arial" w:eastAsia="Arial" w:hAnsi="Arial"/>
          <w:sz w:val="26"/>
          <w:szCs w:val="26"/>
          <w:color w:val="auto"/>
          <w:vertAlign w:val="superscript"/>
        </w:rPr>
      </w:pPr>
    </w:p>
    <w:p>
      <w:pPr>
        <w:ind w:left="820" w:hanging="299"/>
        <w:spacing w:after="0" w:line="198" w:lineRule="auto"/>
        <w:tabs>
          <w:tab w:leader="none" w:pos="82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collaborator of ours were to be involved in a business combination or divestiture, the continued pursuit and emphasis on our product development or commercialization program could be delayed, diminished or terminated.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not able to establish collaborations, we may have to alter our development and commercialization plans.</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both"/>
        <w:ind w:firstLine="518"/>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6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For example, in 2013 we experienced a batch contamination issue with the manufacture of a batch of CRLX301 drug substance, and the process of obtaining a new batch required several months to complete. Any additional batch failures, whether on the part of our existing or future manufacturers or as a result of our failure to make timely and effective improvements in our manufacturing processes, could materially delay clinical development or marketing approval of our product candidates or result in our inability to generate sufficient supplies to meet clinical or commercial demands. 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8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Even if we are able to establish such arrangements with third party manufacturers, reliance on third party manufacturers entails additional risks, including:</w:t>
      </w:r>
    </w:p>
    <w:p>
      <w:pPr>
        <w:ind w:left="820" w:hanging="299"/>
        <w:spacing w:after="0" w:line="210" w:lineRule="auto"/>
        <w:tabs>
          <w:tab w:leader="none" w:pos="82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reliance on the third party for regulatory compliance and quality assurance;</w:t>
      </w:r>
    </w:p>
    <w:p>
      <w:pPr>
        <w:spacing w:after="0" w:line="140"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the ability of manufacturers to consistently produce intermediates, drug substance or drug product that meet required quality specifications;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the possible breach of the manufacturing agreement by the third party;</w:t>
      </w:r>
    </w:p>
    <w:p>
      <w:pPr>
        <w:spacing w:after="0" w:line="110" w:lineRule="exact"/>
        <w:rPr>
          <w:rFonts w:ascii="Arial" w:cs="Arial" w:eastAsia="Arial" w:hAnsi="Arial"/>
          <w:sz w:val="26"/>
          <w:szCs w:val="26"/>
          <w:color w:val="auto"/>
          <w:vertAlign w:val="superscript"/>
        </w:rPr>
      </w:pPr>
    </w:p>
    <w:p>
      <w:pPr>
        <w:ind w:left="820" w:hanging="299"/>
        <w:spacing w:after="0" w:line="186" w:lineRule="auto"/>
        <w:tabs>
          <w:tab w:leader="none" w:pos="82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the possible misappropriation of our proprietary information, including our trade secrets and know-how; and</w:t>
      </w:r>
    </w:p>
    <w:p>
      <w:pPr>
        <w:spacing w:after="0" w:line="140" w:lineRule="exact"/>
        <w:rPr>
          <w:rFonts w:ascii="Arial" w:cs="Arial" w:eastAsia="Arial" w:hAnsi="Arial"/>
          <w:sz w:val="24"/>
          <w:szCs w:val="24"/>
          <w:color w:val="auto"/>
          <w:vertAlign w:val="superscript"/>
        </w:rPr>
      </w:pPr>
    </w:p>
    <w:p>
      <w:pPr>
        <w:ind w:left="820" w:hanging="299"/>
        <w:spacing w:after="0" w:line="180" w:lineRule="auto"/>
        <w:tabs>
          <w:tab w:leader="none" w:pos="820"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the possible termination or nonrenewal of the agreement by the third party at a time that is costly or inconvenient for us.</w:t>
      </w:r>
    </w:p>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our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CRLX101, CRLX301 and 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we generally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Any significant delay in the supply of a product candidate or the raw material components thereof for an ongoing clinical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73"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6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ind w:firstLine="518"/>
        <w:spacing w:after="0" w:line="28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6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65"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b w:val="1"/>
          <w:bCs w:val="1"/>
          <w:i w:val="1"/>
          <w:iCs w:val="1"/>
          <w:color w:val="auto"/>
        </w:rPr>
        <w:t>CRLX101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4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are a party to several license agreements and certain aspects of our business depend on patents and/or patent applications owned by other companies or institutions. In particular, we hold exclusive licenses from Calando Pharmaceuticals, Inc., or Calando, and California Institute of Technology, or Caltech and have been assigned certain patents from Calando for CRLX101, CRLX301 and cyclodextrine polymer-based, or CDP-based, product candidates. We also hold an exclusive license from the State University of New York, or SUNY, related to taxane-containing NDCs, such as CRLX301.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8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On March 27, 2015, the bankruptcy court granted Calando’s bankruptcy trustee’s application to retain a broker to help sell Calando’s rights in certain assets including its rights in the license agreements with Cerulean. We reserved our rights with respect to any such sale.</w:t>
      </w:r>
    </w:p>
    <w:p>
      <w:pPr>
        <w:spacing w:after="0" w:line="16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CDP</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t>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3" w:lineRule="exact"/>
        <w:rPr>
          <w:sz w:val="20"/>
          <w:szCs w:val="20"/>
          <w:color w:val="auto"/>
        </w:rPr>
      </w:pPr>
    </w:p>
    <w:p>
      <w:pPr>
        <w:jc w:val="both"/>
        <w:ind w:firstLine="8"/>
        <w:spacing w:after="0" w:line="286" w:lineRule="auto"/>
        <w:tabs>
          <w:tab w:leader="none" w:pos="277" w:val="left"/>
        </w:tabs>
        <w:numPr>
          <w:ilvl w:val="0"/>
          <w:numId w:val="36"/>
        </w:numPr>
        <w:rPr>
          <w:rFonts w:ascii="Arial" w:cs="Arial" w:eastAsia="Arial" w:hAnsi="Arial"/>
          <w:sz w:val="16"/>
          <w:szCs w:val="16"/>
          <w:color w:val="auto"/>
        </w:rPr>
      </w:pPr>
      <w:r>
        <w:rPr>
          <w:rFonts w:ascii="Arial" w:cs="Arial" w:eastAsia="Arial" w:hAnsi="Arial"/>
          <w:sz w:val="16"/>
          <w:szCs w:val="16"/>
          <w:color w:val="auto"/>
        </w:rPr>
        <w:t>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70"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14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both"/>
        <w:ind w:firstLine="518"/>
        <w:spacing w:after="0" w:line="291"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4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In addition, we face the risk of cybercrime. For instance, someone could hack our information networks and gain illicit access to our proprietary information including our trade secrets.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both"/>
        <w:ind w:firstLine="518"/>
        <w:spacing w:after="0" w:line="259" w:lineRule="auto"/>
        <w:rPr>
          <w:sz w:val="20"/>
          <w:szCs w:val="20"/>
          <w:color w:val="auto"/>
        </w:rPr>
      </w:pPr>
      <w:r>
        <w:rPr>
          <w:rFonts w:ascii="Arial" w:cs="Arial" w:eastAsia="Arial" w:hAnsi="Arial"/>
          <w:sz w:val="18"/>
          <w:szCs w:val="18"/>
          <w:color w:val="auto"/>
        </w:rPr>
        <w:t>We must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2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8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9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ind w:left="820" w:hanging="299"/>
        <w:spacing w:after="0" w:line="210" w:lineRule="auto"/>
        <w:tabs>
          <w:tab w:leader="none" w:pos="82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litigation involving patients taking our products;</w:t>
      </w:r>
    </w:p>
    <w:p>
      <w:pPr>
        <w:spacing w:after="0" w:line="140"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restrictions on such products, manufacturers or manufacturing processes;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restrictions on the labeling or marketing of a product;</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restrictions on product distribution or use;</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requirements to conduct post-marketing studies or clinical trials;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warning or untitled letters;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withdrawal of the products from the market;</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suspension of any ongoing clinical trials;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refusal to approve pending applications or supplements to approved applications that we submit;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left="820" w:hanging="299"/>
        <w:spacing w:after="0"/>
        <w:tabs>
          <w:tab w:leader="none" w:pos="82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recall of products;</w:t>
      </w:r>
    </w:p>
    <w:p>
      <w:pPr>
        <w:spacing w:after="0" w:line="129" w:lineRule="exact"/>
        <w:rPr>
          <w:rFonts w:ascii="Arial" w:cs="Arial" w:eastAsia="Arial" w:hAnsi="Arial"/>
          <w:sz w:val="29"/>
          <w:szCs w:val="29"/>
          <w:color w:val="auto"/>
          <w:vertAlign w:val="superscript"/>
        </w:rPr>
      </w:pPr>
    </w:p>
    <w:p>
      <w:pPr>
        <w:ind w:left="820" w:hanging="299"/>
        <w:spacing w:after="0" w:line="181" w:lineRule="auto"/>
        <w:tabs>
          <w:tab w:leader="none" w:pos="820" w:val="left"/>
        </w:tabs>
        <w:numPr>
          <w:ilvl w:val="0"/>
          <w:numId w:val="38"/>
        </w:numPr>
        <w:rPr>
          <w:rFonts w:ascii="Arial" w:cs="Arial" w:eastAsia="Arial" w:hAnsi="Arial"/>
          <w:sz w:val="27"/>
          <w:szCs w:val="27"/>
          <w:color w:val="auto"/>
          <w:vertAlign w:val="superscript"/>
        </w:rPr>
      </w:pPr>
      <w:r>
        <w:rPr>
          <w:rFonts w:ascii="Arial" w:cs="Arial" w:eastAsia="Arial" w:hAnsi="Arial"/>
          <w:sz w:val="17"/>
          <w:szCs w:val="17"/>
          <w:color w:val="auto"/>
        </w:rPr>
        <w:t>fines, restitution or disgorgement of profits or revenues;</w:t>
      </w:r>
    </w:p>
    <w:p>
      <w:pPr>
        <w:spacing w:after="0" w:line="140" w:lineRule="exact"/>
        <w:rPr>
          <w:rFonts w:ascii="Arial" w:cs="Arial" w:eastAsia="Arial" w:hAnsi="Arial"/>
          <w:sz w:val="27"/>
          <w:szCs w:val="27"/>
          <w:color w:val="auto"/>
          <w:vertAlign w:val="superscript"/>
        </w:rPr>
      </w:pPr>
    </w:p>
    <w:p>
      <w:pPr>
        <w:ind w:left="820" w:hanging="299"/>
        <w:spacing w:after="0" w:line="180" w:lineRule="auto"/>
        <w:tabs>
          <w:tab w:leader="none" w:pos="82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suspension or withdrawal of marketing approvals;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damage to relationships with any potential collaborators;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unfavorable press coverage and damage to our reputation;</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refusal to permit the import or export of our products;</w:t>
      </w:r>
    </w:p>
    <w:p>
      <w:pPr>
        <w:spacing w:after="0" w:line="110" w:lineRule="exact"/>
        <w:rPr>
          <w:rFonts w:ascii="Arial" w:cs="Arial" w:eastAsia="Arial" w:hAnsi="Arial"/>
          <w:sz w:val="26"/>
          <w:szCs w:val="26"/>
          <w:color w:val="auto"/>
          <w:vertAlign w:val="superscript"/>
        </w:rPr>
      </w:pPr>
    </w:p>
    <w:p>
      <w:pPr>
        <w:ind w:left="820" w:hanging="299"/>
        <w:spacing w:after="0" w:line="186" w:lineRule="auto"/>
        <w:tabs>
          <w:tab w:leader="none" w:pos="82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product seizure; or</w:t>
      </w:r>
    </w:p>
    <w:p>
      <w:pPr>
        <w:spacing w:after="0" w:line="140" w:lineRule="exact"/>
        <w:rPr>
          <w:rFonts w:ascii="Arial" w:cs="Arial" w:eastAsia="Arial" w:hAnsi="Arial"/>
          <w:sz w:val="24"/>
          <w:szCs w:val="24"/>
          <w:color w:val="auto"/>
          <w:vertAlign w:val="superscript"/>
        </w:rPr>
      </w:pPr>
    </w:p>
    <w:p>
      <w:pPr>
        <w:ind w:left="820" w:hanging="299"/>
        <w:spacing w:after="0" w:line="180" w:lineRule="auto"/>
        <w:tabs>
          <w:tab w:leader="none" w:pos="82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injunctions or the imposition of civil or criminal penalties.</w:t>
      </w:r>
    </w:p>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 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Healthcare providers, physicians and third party payors will play a primary role in the recommendation and prescription of any product candidates for which we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jc w:val="both"/>
        <w:ind w:left="820" w:hanging="299"/>
        <w:spacing w:after="0" w:line="220" w:lineRule="auto"/>
        <w:tabs>
          <w:tab w:leader="none" w:pos="82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37" w:lineRule="exact"/>
        <w:rPr>
          <w:rFonts w:ascii="Arial" w:cs="Arial" w:eastAsia="Arial" w:hAnsi="Arial"/>
          <w:sz w:val="29"/>
          <w:szCs w:val="29"/>
          <w:color w:val="auto"/>
          <w:vertAlign w:val="superscript"/>
        </w:rPr>
      </w:pPr>
    </w:p>
    <w:p>
      <w:pPr>
        <w:jc w:val="both"/>
        <w:ind w:left="820" w:hanging="299"/>
        <w:spacing w:after="0" w:line="220" w:lineRule="auto"/>
        <w:tabs>
          <w:tab w:leader="none" w:pos="82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 federal False Claims Act imposes criminal and civil penalties, including civil whistleblower or qui tam actions, against individuals or entities for,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137" w:lineRule="exact"/>
        <w:rPr>
          <w:rFonts w:ascii="Arial" w:cs="Arial" w:eastAsia="Arial" w:hAnsi="Arial"/>
          <w:sz w:val="29"/>
          <w:szCs w:val="29"/>
          <w:color w:val="auto"/>
          <w:vertAlign w:val="superscript"/>
        </w:rPr>
      </w:pPr>
    </w:p>
    <w:p>
      <w:pPr>
        <w:jc w:val="both"/>
        <w:ind w:left="820" w:hanging="299"/>
        <w:spacing w:after="0" w:line="220" w:lineRule="auto"/>
        <w:tabs>
          <w:tab w:leader="none" w:pos="82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37" w:lineRule="exact"/>
        <w:rPr>
          <w:rFonts w:ascii="Arial" w:cs="Arial" w:eastAsia="Arial" w:hAnsi="Arial"/>
          <w:sz w:val="29"/>
          <w:szCs w:val="29"/>
          <w:color w:val="auto"/>
          <w:vertAlign w:val="superscript"/>
        </w:rPr>
      </w:pPr>
    </w:p>
    <w:p>
      <w:pPr>
        <w:jc w:val="both"/>
        <w:ind w:left="820" w:hanging="299"/>
        <w:spacing w:after="0" w:line="212" w:lineRule="auto"/>
        <w:tabs>
          <w:tab w:leader="none" w:pos="82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36" w:lineRule="exact"/>
        <w:rPr>
          <w:rFonts w:ascii="Arial" w:cs="Arial" w:eastAsia="Arial" w:hAnsi="Arial"/>
          <w:sz w:val="29"/>
          <w:szCs w:val="29"/>
          <w:color w:val="auto"/>
          <w:vertAlign w:val="superscript"/>
        </w:rPr>
      </w:pPr>
    </w:p>
    <w:p>
      <w:pPr>
        <w:ind w:left="820" w:hanging="299"/>
        <w:spacing w:after="0" w:line="198" w:lineRule="auto"/>
        <w:tabs>
          <w:tab w:leader="none" w:pos="82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4" w:lineRule="exact"/>
        <w:rPr>
          <w:rFonts w:ascii="Arial" w:cs="Arial" w:eastAsia="Arial" w:hAnsi="Arial"/>
          <w:sz w:val="29"/>
          <w:szCs w:val="29"/>
          <w:color w:val="auto"/>
          <w:vertAlign w:val="superscript"/>
        </w:rPr>
      </w:pPr>
    </w:p>
    <w:p>
      <w:pPr>
        <w:ind w:left="820" w:right="20" w:hanging="299"/>
        <w:spacing w:after="0" w:line="198" w:lineRule="auto"/>
        <w:tabs>
          <w:tab w:leader="none" w:pos="82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federal law requires applicable manufacturers of covered drugs to report payments and other transfers of value to physicians and teaching hospitals;</w:t>
      </w:r>
    </w:p>
    <w:p>
      <w:pPr>
        <w:spacing w:after="0" w:line="134" w:lineRule="exact"/>
        <w:rPr>
          <w:rFonts w:ascii="Arial" w:cs="Arial" w:eastAsia="Arial" w:hAnsi="Arial"/>
          <w:sz w:val="29"/>
          <w:szCs w:val="29"/>
          <w:color w:val="auto"/>
          <w:vertAlign w:val="superscript"/>
        </w:rPr>
      </w:pPr>
    </w:p>
    <w:p>
      <w:pPr>
        <w:jc w:val="both"/>
        <w:ind w:left="820" w:hanging="299"/>
        <w:spacing w:after="0" w:line="220" w:lineRule="auto"/>
        <w:tabs>
          <w:tab w:leader="none" w:pos="82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 federal transparency requirements under the Patient Protection and Affordable Care Act, as amended by the Health Care and Education Affordability Reconciliation Act, or collectively the PPACA,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37" w:lineRule="exact"/>
        <w:rPr>
          <w:rFonts w:ascii="Arial" w:cs="Arial" w:eastAsia="Arial" w:hAnsi="Arial"/>
          <w:sz w:val="29"/>
          <w:szCs w:val="29"/>
          <w:color w:val="auto"/>
          <w:vertAlign w:val="superscript"/>
        </w:rPr>
      </w:pPr>
    </w:p>
    <w:p>
      <w:pPr>
        <w:jc w:val="both"/>
        <w:ind w:left="820" w:hanging="299"/>
        <w:spacing w:after="0" w:line="220" w:lineRule="auto"/>
        <w:tabs>
          <w:tab w:leader="none" w:pos="82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50" w:name="page51"/>
    <w:bookmarkEnd w:id="50"/>
    <w:p>
      <w:pPr>
        <w:ind w:left="820"/>
        <w:spacing w:after="0" w:line="277" w:lineRule="auto"/>
        <w:rPr>
          <w:sz w:val="20"/>
          <w:szCs w:val="20"/>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 care providers or marketing expenditures.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non-U.S.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both"/>
        <w:ind w:firstLine="518"/>
        <w:spacing w:after="0" w:line="286" w:lineRule="auto"/>
        <w:rPr>
          <w:sz w:val="20"/>
          <w:szCs w:val="20"/>
          <w:color w:val="auto"/>
        </w:rPr>
      </w:pPr>
      <w:r>
        <w:rPr>
          <w:rFonts w:ascii="Arial" w:cs="Arial" w:eastAsia="Arial" w:hAnsi="Arial"/>
          <w:sz w:val="17"/>
          <w:szCs w:val="17"/>
          <w:color w:val="auto"/>
        </w:rPr>
        <w:t>More recently, in March 2010, President Obama signed into law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PPACA of importance to our potential product candidates are the following:</w:t>
      </w:r>
    </w:p>
    <w:p>
      <w:pPr>
        <w:spacing w:after="0" w:line="14" w:lineRule="exact"/>
        <w:rPr>
          <w:sz w:val="20"/>
          <w:szCs w:val="20"/>
          <w:color w:val="auto"/>
        </w:rPr>
      </w:pPr>
    </w:p>
    <w:p>
      <w:pPr>
        <w:ind w:left="820" w:hanging="299"/>
        <w:spacing w:after="0"/>
        <w:tabs>
          <w:tab w:leader="none" w:pos="82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9" w:lineRule="exact"/>
        <w:rPr>
          <w:rFonts w:ascii="Arial" w:cs="Arial" w:eastAsia="Arial" w:hAnsi="Arial"/>
          <w:sz w:val="29"/>
          <w:szCs w:val="29"/>
          <w:color w:val="auto"/>
          <w:vertAlign w:val="superscript"/>
        </w:rPr>
      </w:pPr>
    </w:p>
    <w:p>
      <w:pPr>
        <w:ind w:left="820" w:right="20" w:hanging="299"/>
        <w:spacing w:after="0" w:line="195" w:lineRule="auto"/>
        <w:tabs>
          <w:tab w:leader="none" w:pos="82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35" w:lineRule="exact"/>
        <w:rPr>
          <w:rFonts w:ascii="Arial" w:cs="Arial" w:eastAsia="Arial" w:hAnsi="Arial"/>
          <w:sz w:val="29"/>
          <w:szCs w:val="29"/>
          <w:color w:val="auto"/>
          <w:vertAlign w:val="superscript"/>
        </w:rPr>
      </w:pPr>
    </w:p>
    <w:p>
      <w:pPr>
        <w:ind w:left="820" w:hanging="299"/>
        <w:spacing w:after="0" w:line="198" w:lineRule="auto"/>
        <w:tabs>
          <w:tab w:leader="none" w:pos="82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31"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extension of manufacturers’ Medicaid rebate liability;</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expansion of eligibility criteria for Medicaid programs;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expansion of the entities eligible for discounts under the Public Health Service pharmaceutical pricing program;</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new requirements to report financial arrangements with physicians and teaching hospitals;</w:t>
      </w:r>
    </w:p>
    <w:p>
      <w:pPr>
        <w:spacing w:after="0" w:line="110" w:lineRule="exact"/>
        <w:rPr>
          <w:rFonts w:ascii="Arial" w:cs="Arial" w:eastAsia="Arial" w:hAnsi="Arial"/>
          <w:sz w:val="26"/>
          <w:szCs w:val="26"/>
          <w:color w:val="auto"/>
          <w:vertAlign w:val="superscript"/>
        </w:rPr>
      </w:pPr>
    </w:p>
    <w:p>
      <w:pPr>
        <w:ind w:left="820" w:hanging="299"/>
        <w:spacing w:after="0" w:line="186" w:lineRule="auto"/>
        <w:tabs>
          <w:tab w:leader="none" w:pos="82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a new requirement to annually report drug samples that manufacturers and distributors provide to physicians; and</w:t>
      </w:r>
    </w:p>
    <w:p>
      <w:pPr>
        <w:spacing w:after="0" w:line="140" w:lineRule="exact"/>
        <w:rPr>
          <w:rFonts w:ascii="Arial" w:cs="Arial" w:eastAsia="Arial" w:hAnsi="Arial"/>
          <w:sz w:val="24"/>
          <w:szCs w:val="24"/>
          <w:color w:val="auto"/>
          <w:vertAlign w:val="superscript"/>
        </w:rPr>
      </w:pPr>
    </w:p>
    <w:p>
      <w:pPr>
        <w:ind w:left="820" w:hanging="299"/>
        <w:spacing w:after="0" w:line="195" w:lineRule="auto"/>
        <w:tabs>
          <w:tab w:leader="none" w:pos="82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from the sales of our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w:t>
      </w:r>
    </w:p>
    <w:p>
      <w:pPr>
        <w:spacing w:after="0" w:line="21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exposed to the risk of employee fraud or other misconduct, including intentional failures to comply with FDA regulations or similar regulations of comparable non-U.S. regulatory authorities, provide accurate information to the FDA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both"/>
        <w:spacing w:after="0" w:line="290" w:lineRule="auto"/>
        <w:rPr>
          <w:sz w:val="20"/>
          <w:szCs w:val="20"/>
          <w:color w:val="auto"/>
        </w:rPr>
      </w:pPr>
      <w:r>
        <w:rPr>
          <w:rFonts w:ascii="Arial" w:cs="Arial" w:eastAsia="Arial" w:hAnsi="Arial"/>
          <w:sz w:val="16"/>
          <w:szCs w:val="16"/>
          <w:color w:val="auto"/>
        </w:rPr>
        <w:t>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in a period of transition following the appointment of our new president and chief executive officer.</w:t>
      </w:r>
    </w:p>
    <w:p>
      <w:pPr>
        <w:spacing w:after="0" w:line="225"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On March 20, 2015, our board of directors appointed Christopher D.T. Guiffre as our President and Chief Executive Officer and elected him as a director, effective immediately. We anticipate that we will experience a transitional period as Mr. Guiffre becomes fully integrated into his new role.</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Mr. Guiffre unexpectedly ceases to fulfill his responsibilities, our business, financial condition, and results of operations could be materially and adversely affected. Moreover, we cannot provide any assurance that this transitional period will not result in a disruption that adversely impacts our business and employee morale.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Paul A. Friedman, M.D., a member of our board of directors, was appointed Executive Chairman of our board effective October 29, 2014 and we anticipate that he will continue in that role for a temporary period.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highly dependent on our executive team, most of whom have been employed by the company for two years or less. The loss of any member of the executive team could impede the achievement of our goals. Any of our employees may terminate their employment with us at any time. We do not maintain “key person” insurance for any of our executives or other employees.</w:t>
      </w:r>
    </w:p>
    <w:p>
      <w:pPr>
        <w:spacing w:after="0" w:line="18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Recruiting and retaining qualified scientific, clinical, manufacturing finance and sales and marketing personnel will also be critical to our success. The loss of the services of key employees could impede the achievement of our research, development and commercialization objectives and seriously harm our ability to successfully implement our business strategy. Furthermore, replacing executive officers and key employees, including finance and clinical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7"/>
          <w:szCs w:val="17"/>
          <w:color w:val="auto"/>
        </w:rPr>
        <w:t>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We entered into a new lease dated as of July 9, 2015 and are relocating our operations to Waltham, Massachusetts. The process of relocating our facilities could disrupt our operations, adversely affect our business and damage employee morale. In addition, the new location may adversely affect employee retention and recruiting.</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entered into a new lease dated as of July 9, 2015 with AstraZeneca Pharmaceuticals Limited Partnership for approximately 22,992 square feet at the BioHub at 35 Gatehouse Drive in Waltham, Massachusetts. The term of the new lease commences on December 28, 2015 and expires on February 28, 2021. The lease for our laboratory and office space in Cambridge, Massachusetts expires on February 29, 2016. We expect to complete our relocation to Waltham by January 2016. The relocation process is underway, and it could disrupt our operations, adversely affect our business and damage employee morale. In addition, our new location in Waltham may adversely affect employee retention or recruitment.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has been and may in the future be volatile and fluctuate substantially.</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stock price has been and may in the future be volatile. From April 10, 2014 to September 30, 2015, the closing price of our common stock as reported by the NASDAQ Global Market ranged from a high of $10.87 per share to a low of $3.34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jc w:val="both"/>
        <w:ind w:left="820" w:right="20" w:hanging="299"/>
        <w:spacing w:after="0" w:line="212" w:lineRule="auto"/>
        <w:tabs>
          <w:tab w:leader="none" w:pos="8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actual or anticipated results from, and any delays in, our clinical trials, including the ongoing and any new ISTs of CRLX101, our ongoing and planned Phase 2 and Phase 3 clinical trials of CRLX101 or our Phase 1 clinical trial of CRLX301, as well as results of regulatory reviews relating to the approval of our product candidates;</w:t>
      </w:r>
    </w:p>
    <w:p>
      <w:pPr>
        <w:spacing w:after="0" w:line="33"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the results of our efforts to discover, develop, acquire or in-license additional product candidates or products;</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failure or discontinuation of any of our development programs;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the level of expenses related to any of our product candidates or clinical development programs;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commencement or termination of any collaboration or licensing arrangement;</w:t>
      </w:r>
    </w:p>
    <w:p>
      <w:pPr>
        <w:spacing w:after="0" w:line="140" w:lineRule="exact"/>
        <w:rPr>
          <w:rFonts w:ascii="Arial" w:cs="Arial" w:eastAsia="Arial" w:hAnsi="Arial"/>
          <w:sz w:val="26"/>
          <w:szCs w:val="26"/>
          <w:color w:val="auto"/>
          <w:vertAlign w:val="superscript"/>
        </w:rPr>
      </w:pPr>
    </w:p>
    <w:p>
      <w:pPr>
        <w:ind w:left="820" w:hanging="299"/>
        <w:spacing w:after="0" w:line="195" w:lineRule="auto"/>
        <w:tabs>
          <w:tab w:leader="none" w:pos="8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32"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announcements by us or our competitors of significant acquisitions, strategic partnerships, joint ventures and capital commitments;</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additions or departures of key scientific or management personnel;</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variations in our financial results or those of companies that are perceived to be similar to us;</w:t>
      </w:r>
    </w:p>
    <w:p>
      <w:pPr>
        <w:spacing w:after="0" w:line="140" w:lineRule="exact"/>
        <w:rPr>
          <w:rFonts w:ascii="Arial" w:cs="Arial" w:eastAsia="Arial" w:hAnsi="Arial"/>
          <w:sz w:val="26"/>
          <w:szCs w:val="26"/>
          <w:color w:val="auto"/>
          <w:vertAlign w:val="superscript"/>
        </w:rPr>
      </w:pPr>
    </w:p>
    <w:p>
      <w:pPr>
        <w:ind w:left="820" w:hanging="299"/>
        <w:spacing w:after="0" w:line="195" w:lineRule="auto"/>
        <w:tabs>
          <w:tab w:leader="none" w:pos="8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new products, product candidates or new uses for existing products introduced or announced by our competitors, and the timing of these introductions or announcements;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left="820" w:hanging="299"/>
        <w:spacing w:after="0"/>
        <w:tabs>
          <w:tab w:leader="none" w:pos="82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results of clinical trials of product candidates of our competitors;</w:t>
      </w:r>
    </w:p>
    <w:p>
      <w:pPr>
        <w:spacing w:after="0" w:line="134" w:lineRule="exact"/>
        <w:rPr>
          <w:rFonts w:ascii="Arial" w:cs="Arial" w:eastAsia="Arial" w:hAnsi="Arial"/>
          <w:sz w:val="29"/>
          <w:szCs w:val="29"/>
          <w:color w:val="auto"/>
          <w:vertAlign w:val="superscript"/>
        </w:rPr>
      </w:pPr>
    </w:p>
    <w:p>
      <w:pPr>
        <w:ind w:left="820" w:hanging="299"/>
        <w:spacing w:after="0" w:line="198" w:lineRule="auto"/>
        <w:tabs>
          <w:tab w:leader="none" w:pos="82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31"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regulatory or legal developments in the United States and other countries;</w:t>
      </w:r>
    </w:p>
    <w:p>
      <w:pPr>
        <w:spacing w:after="0" w:line="139"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changes in the structure of healthcare payment systems;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conditions or trends in the biotechnology and biopharmaceutical industries;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actual or anticipated changes in earnings estimates, development timelines or recommendations by securities analysts;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announcement or expectation of additional financing efforts;</w:t>
      </w:r>
    </w:p>
    <w:p>
      <w:pPr>
        <w:spacing w:after="0" w:line="110" w:lineRule="exact"/>
        <w:rPr>
          <w:rFonts w:ascii="Arial" w:cs="Arial" w:eastAsia="Arial" w:hAnsi="Arial"/>
          <w:sz w:val="26"/>
          <w:szCs w:val="26"/>
          <w:color w:val="auto"/>
          <w:vertAlign w:val="superscript"/>
        </w:rPr>
      </w:pPr>
    </w:p>
    <w:p>
      <w:pPr>
        <w:ind w:left="820" w:hanging="299"/>
        <w:spacing w:after="0" w:line="186" w:lineRule="auto"/>
        <w:tabs>
          <w:tab w:leader="none" w:pos="82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sales of common stock by us or our stockholders in the future, as well as the overall trading volume of our common stock; and</w:t>
      </w:r>
    </w:p>
    <w:p>
      <w:pPr>
        <w:spacing w:after="0" w:line="140" w:lineRule="exact"/>
        <w:rPr>
          <w:rFonts w:ascii="Arial" w:cs="Arial" w:eastAsia="Arial" w:hAnsi="Arial"/>
          <w:sz w:val="24"/>
          <w:szCs w:val="24"/>
          <w:color w:val="auto"/>
          <w:vertAlign w:val="superscript"/>
        </w:rPr>
      </w:pPr>
    </w:p>
    <w:p>
      <w:pPr>
        <w:ind w:left="820" w:hanging="299"/>
        <w:spacing w:after="0" w:line="180" w:lineRule="auto"/>
        <w:tabs>
          <w:tab w:leader="none" w:pos="820"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the other factors described in this “Risk Factors” section.</w:t>
      </w:r>
    </w:p>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believe that as of September 15, 2015, our executive officers and directors and their affiliates beneficially owned 27.5% of our outstanding common stock. As a result, if these stockholders were to choose to act together, they would be able to exert a significant degree of influence over matters submitted to our stockholders for approval, as well as our management and affairs. For example, these persons, if they choose to act together, would substantially influence the election of directors and approval of any merger, consolidation or sale of all or substantially all of our assets.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could:</w:t>
      </w:r>
    </w:p>
    <w:p>
      <w:pPr>
        <w:spacing w:after="0" w:line="14" w:lineRule="exact"/>
        <w:rPr>
          <w:sz w:val="20"/>
          <w:szCs w:val="20"/>
          <w:color w:val="auto"/>
        </w:rPr>
      </w:pPr>
    </w:p>
    <w:p>
      <w:pPr>
        <w:ind w:left="820" w:hanging="299"/>
        <w:spacing w:after="0"/>
        <w:tabs>
          <w:tab w:leader="none" w:pos="82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delay, defer or prevent a change in control;</w:t>
      </w:r>
    </w:p>
    <w:p>
      <w:pPr>
        <w:spacing w:after="0" w:line="109" w:lineRule="exact"/>
        <w:rPr>
          <w:rFonts w:ascii="Arial" w:cs="Arial" w:eastAsia="Arial" w:hAnsi="Arial"/>
          <w:sz w:val="29"/>
          <w:szCs w:val="29"/>
          <w:color w:val="auto"/>
          <w:vertAlign w:val="superscript"/>
        </w:rPr>
      </w:pPr>
    </w:p>
    <w:p>
      <w:pPr>
        <w:ind w:left="820" w:hanging="299"/>
        <w:spacing w:after="0" w:line="186" w:lineRule="auto"/>
        <w:tabs>
          <w:tab w:leader="none" w:pos="820" w:val="left"/>
        </w:tabs>
        <w:numPr>
          <w:ilvl w:val="0"/>
          <w:numId w:val="43"/>
        </w:numPr>
        <w:rPr>
          <w:rFonts w:ascii="Arial" w:cs="Arial" w:eastAsia="Arial" w:hAnsi="Arial"/>
          <w:sz w:val="24"/>
          <w:szCs w:val="24"/>
          <w:color w:val="auto"/>
          <w:vertAlign w:val="superscript"/>
        </w:rPr>
      </w:pPr>
      <w:r>
        <w:rPr>
          <w:rFonts w:ascii="Arial" w:cs="Arial" w:eastAsia="Arial" w:hAnsi="Arial"/>
          <w:sz w:val="15"/>
          <w:szCs w:val="15"/>
          <w:color w:val="auto"/>
        </w:rPr>
        <w:t>entrench our management or board of directors; or</w:t>
      </w:r>
    </w:p>
    <w:p>
      <w:pPr>
        <w:spacing w:after="0" w:line="140" w:lineRule="exact"/>
        <w:rPr>
          <w:rFonts w:ascii="Arial" w:cs="Arial" w:eastAsia="Arial" w:hAnsi="Arial"/>
          <w:sz w:val="24"/>
          <w:szCs w:val="24"/>
          <w:color w:val="auto"/>
          <w:vertAlign w:val="superscript"/>
        </w:rPr>
      </w:pPr>
    </w:p>
    <w:p>
      <w:pPr>
        <w:ind w:left="820" w:hanging="299"/>
        <w:spacing w:after="0" w:line="180" w:lineRule="auto"/>
        <w:tabs>
          <w:tab w:leader="none" w:pos="820" w:val="left"/>
        </w:tabs>
        <w:numPr>
          <w:ilvl w:val="0"/>
          <w:numId w:val="43"/>
        </w:numPr>
        <w:rPr>
          <w:rFonts w:ascii="Arial" w:cs="Arial" w:eastAsia="Arial" w:hAnsi="Arial"/>
          <w:sz w:val="26"/>
          <w:szCs w:val="26"/>
          <w:color w:val="auto"/>
          <w:vertAlign w:val="superscript"/>
        </w:rPr>
      </w:pPr>
      <w:r>
        <w:rPr>
          <w:rFonts w:ascii="Arial" w:cs="Arial" w:eastAsia="Arial" w:hAnsi="Arial"/>
          <w:sz w:val="16"/>
          <w:szCs w:val="16"/>
          <w:color w:val="auto"/>
        </w:rPr>
        <w:t>impede a merger, consolidation, takeover or other business combination involving us that other stockholders may desire.</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7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September 15, 2015, there were 2,521,772 shares subject to outstanding options. In August 2014, we registered all of these shares under the Securities Act on a registration statement on Form S-8. These shares can be freely sold in the public market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8"/>
          <w:szCs w:val="18"/>
          <w:color w:val="auto"/>
        </w:rPr>
        <w:t>upon exercise, as permitted by any applicable vesting requirements, except to the extent they are held by our affiliates, in which case such shares will become eligible for sale in the public market as permitted by Rule 144 under the Securities Act. Furthermore, as of September 15, 2015, there were 300,564 shares subject to outstanding warrants to purchase common stock. These shares will become eligible for sale in the public market, to the extent such warrants are exercised, as permitted by Rule 144 under the Securities Act. Moreover, holders of approximately 6.3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broad discretion in the use of our cash reserves and may not use them effectively.</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7" w:lineRule="exact"/>
        <w:rPr>
          <w:sz w:val="20"/>
          <w:szCs w:val="20"/>
          <w:color w:val="auto"/>
        </w:rPr>
      </w:pPr>
    </w:p>
    <w:p>
      <w:pPr>
        <w:ind w:left="820" w:hanging="299"/>
        <w:spacing w:after="0" w:line="198" w:lineRule="auto"/>
        <w:tabs>
          <w:tab w:leader="none" w:pos="82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providing only two years of audited financial statements, in addition to any required unaudited interim financial statements, with correspondingly reduced “Management’s Discussion and Analysis of Financial Condition and Results of Operations” disclosure;</w:t>
      </w:r>
    </w:p>
    <w:p>
      <w:pPr>
        <w:spacing w:after="0" w:line="43" w:lineRule="exact"/>
        <w:rPr>
          <w:rFonts w:ascii="Arial" w:cs="Arial" w:eastAsia="Arial" w:hAnsi="Arial"/>
          <w:sz w:val="29"/>
          <w:szCs w:val="29"/>
          <w:color w:val="auto"/>
          <w:vertAlign w:val="superscript"/>
        </w:rPr>
      </w:pPr>
    </w:p>
    <w:p>
      <w:pPr>
        <w:ind w:left="820" w:hanging="299"/>
        <w:spacing w:after="0"/>
        <w:tabs>
          <w:tab w:leader="none" w:pos="82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39" w:lineRule="exact"/>
        <w:rPr>
          <w:rFonts w:ascii="Arial" w:cs="Arial" w:eastAsia="Arial" w:hAnsi="Arial"/>
          <w:sz w:val="28"/>
          <w:szCs w:val="28"/>
          <w:color w:val="auto"/>
          <w:vertAlign w:val="superscript"/>
        </w:rPr>
      </w:pPr>
    </w:p>
    <w:p>
      <w:pPr>
        <w:ind w:left="820" w:hanging="299"/>
        <w:spacing w:after="0" w:line="219" w:lineRule="auto"/>
        <w:tabs>
          <w:tab w:leader="none" w:pos="82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1" w:lineRule="exact"/>
        <w:rPr>
          <w:rFonts w:ascii="Arial" w:cs="Arial" w:eastAsia="Arial" w:hAnsi="Arial"/>
          <w:sz w:val="26"/>
          <w:szCs w:val="26"/>
          <w:color w:val="auto"/>
          <w:vertAlign w:val="superscript"/>
        </w:rPr>
      </w:pPr>
    </w:p>
    <w:p>
      <w:pPr>
        <w:ind w:left="820" w:hanging="299"/>
        <w:spacing w:after="0"/>
        <w:tabs>
          <w:tab w:leader="none" w:pos="82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reduced disclosure obligations regarding executive compensation; and</w:t>
      </w:r>
    </w:p>
    <w:p>
      <w:pPr>
        <w:spacing w:after="0" w:line="139" w:lineRule="exact"/>
        <w:rPr>
          <w:rFonts w:ascii="Arial" w:cs="Arial" w:eastAsia="Arial" w:hAnsi="Arial"/>
          <w:sz w:val="29"/>
          <w:szCs w:val="29"/>
          <w:color w:val="auto"/>
          <w:vertAlign w:val="superscript"/>
        </w:rPr>
      </w:pPr>
    </w:p>
    <w:p>
      <w:pPr>
        <w:ind w:left="820" w:hanging="299"/>
        <w:spacing w:after="0" w:line="195" w:lineRule="auto"/>
        <w:tabs>
          <w:tab w:leader="none" w:pos="82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20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these compliance initiatives. Moreover, these rules and regulations will increase our legal and financial compliance costs and will make some activities more time-consuming and costly.</w:t>
      </w:r>
    </w:p>
    <w:p>
      <w:pPr>
        <w:spacing w:after="0" w:line="170"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plan to retain all of our future earnings, if any, to finance the growth and development of our business. Furthermore, the terms of the Hercules Loan Agreement prohibit us from paying any dividends without the prior written consent of Hercules, and any future debt agreements may also preclude us from paying dividends. Accordingly, capital appreciation, if any, of our common stock will be the sole source of gain for our stockholders for the foreseeable future.</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ind w:left="820" w:hanging="299"/>
        <w:spacing w:after="0" w:line="216" w:lineRule="auto"/>
        <w:tabs>
          <w:tab w:leader="none" w:pos="82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establish a classified board of directors such that all members of the board are not elected at one time;</w:t>
      </w:r>
    </w:p>
    <w:p>
      <w:pPr>
        <w:spacing w:after="0" w:line="140" w:lineRule="exact"/>
        <w:rPr>
          <w:rFonts w:ascii="Arial" w:cs="Arial" w:eastAsia="Arial" w:hAnsi="Arial"/>
          <w:sz w:val="29"/>
          <w:szCs w:val="29"/>
          <w:color w:val="auto"/>
          <w:vertAlign w:val="superscript"/>
        </w:rPr>
      </w:pPr>
    </w:p>
    <w:p>
      <w:pPr>
        <w:ind w:left="820" w:hanging="299"/>
        <w:spacing w:after="0" w:line="180" w:lineRule="auto"/>
        <w:tabs>
          <w:tab w:leader="none" w:pos="820" w:val="left"/>
        </w:tabs>
        <w:numPr>
          <w:ilvl w:val="0"/>
          <w:numId w:val="45"/>
        </w:numPr>
        <w:rPr>
          <w:rFonts w:ascii="Arial" w:cs="Arial" w:eastAsia="Arial" w:hAnsi="Arial"/>
          <w:sz w:val="26"/>
          <w:szCs w:val="26"/>
          <w:color w:val="auto"/>
          <w:vertAlign w:val="superscript"/>
        </w:rPr>
      </w:pPr>
      <w:r>
        <w:rPr>
          <w:rFonts w:ascii="Arial" w:cs="Arial" w:eastAsia="Arial" w:hAnsi="Arial"/>
          <w:sz w:val="16"/>
          <w:szCs w:val="16"/>
          <w:color w:val="auto"/>
        </w:rPr>
        <w:t>allow the authorized number of our directors to be changed only by resolution of our board of directors;</w:t>
      </w:r>
    </w:p>
    <w:p>
      <w:pPr>
        <w:spacing w:after="0" w:line="140" w:lineRule="exact"/>
        <w:rPr>
          <w:rFonts w:ascii="Arial" w:cs="Arial" w:eastAsia="Arial" w:hAnsi="Arial"/>
          <w:sz w:val="26"/>
          <w:szCs w:val="26"/>
          <w:color w:val="auto"/>
          <w:vertAlign w:val="superscript"/>
        </w:rPr>
      </w:pPr>
    </w:p>
    <w:p>
      <w:pPr>
        <w:ind w:left="820" w:hanging="299"/>
        <w:spacing w:after="0" w:line="180" w:lineRule="auto"/>
        <w:tabs>
          <w:tab w:leader="none" w:pos="820" w:val="left"/>
        </w:tabs>
        <w:numPr>
          <w:ilvl w:val="0"/>
          <w:numId w:val="45"/>
        </w:numPr>
        <w:rPr>
          <w:rFonts w:ascii="Arial" w:cs="Arial" w:eastAsia="Arial" w:hAnsi="Arial"/>
          <w:sz w:val="26"/>
          <w:szCs w:val="26"/>
          <w:color w:val="auto"/>
          <w:vertAlign w:val="superscript"/>
        </w:rPr>
      </w:pPr>
      <w:r>
        <w:rPr>
          <w:rFonts w:ascii="Arial" w:cs="Arial" w:eastAsia="Arial" w:hAnsi="Arial"/>
          <w:sz w:val="16"/>
          <w:szCs w:val="16"/>
          <w:color w:val="auto"/>
        </w:rPr>
        <w:t>limit the manner in which stockholders can remove directors from the board;</w:t>
      </w:r>
    </w:p>
    <w:p>
      <w:pPr>
        <w:spacing w:after="0" w:line="140" w:lineRule="exact"/>
        <w:rPr>
          <w:rFonts w:ascii="Arial" w:cs="Arial" w:eastAsia="Arial" w:hAnsi="Arial"/>
          <w:sz w:val="26"/>
          <w:szCs w:val="26"/>
          <w:color w:val="auto"/>
          <w:vertAlign w:val="superscript"/>
        </w:rPr>
      </w:pPr>
    </w:p>
    <w:p>
      <w:pPr>
        <w:ind w:left="820" w:right="20" w:hanging="299"/>
        <w:spacing w:after="0" w:line="195" w:lineRule="auto"/>
        <w:tabs>
          <w:tab w:leader="none" w:pos="82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establish advance notice requirements for nominations for election to the board or for proposing matters that can be acted on at stockholder meetings;</w:t>
      </w:r>
    </w:p>
    <w:p>
      <w:pPr>
        <w:spacing w:after="0" w:line="63" w:lineRule="exact"/>
        <w:rPr>
          <w:sz w:val="20"/>
          <w:szCs w:val="20"/>
          <w:color w:val="auto"/>
        </w:rPr>
      </w:pPr>
    </w:p>
    <w:p>
      <w:pPr>
        <w:ind w:left="520"/>
        <w:spacing w:after="0"/>
        <w:tabs>
          <w:tab w:leader="none" w:pos="800" w:val="left"/>
        </w:tabs>
        <w:rPr>
          <w:sz w:val="20"/>
          <w:szCs w:val="20"/>
          <w:color w:val="auto"/>
        </w:rPr>
      </w:pPr>
      <w:r>
        <w:rPr>
          <w:rFonts w:ascii="Arial" w:cs="Arial" w:eastAsia="Arial" w:hAnsi="Arial"/>
          <w:sz w:val="26"/>
          <w:szCs w:val="26"/>
          <w:color w:val="auto"/>
          <w:vertAlign w:val="superscript"/>
        </w:rPr>
        <w:t>·</w:t>
      </w:r>
      <w:r>
        <w:rPr>
          <w:sz w:val="20"/>
          <w:szCs w:val="20"/>
          <w:color w:val="auto"/>
        </w:rPr>
        <w:tab/>
      </w: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36" w:lineRule="exact"/>
        <w:rPr>
          <w:sz w:val="20"/>
          <w:szCs w:val="20"/>
          <w:color w:val="auto"/>
        </w:rPr>
      </w:pPr>
    </w:p>
    <w:p>
      <w:pPr>
        <w:ind w:left="820" w:hanging="299"/>
        <w:spacing w:after="0"/>
        <w:tabs>
          <w:tab w:leader="none" w:pos="82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limit who may call a special meeting of stockholders;</w:t>
      </w:r>
    </w:p>
    <w:p>
      <w:pPr>
        <w:spacing w:after="0" w:line="139" w:lineRule="exact"/>
        <w:rPr>
          <w:rFonts w:ascii="Arial" w:cs="Arial" w:eastAsia="Arial" w:hAnsi="Arial"/>
          <w:sz w:val="29"/>
          <w:szCs w:val="29"/>
          <w:color w:val="auto"/>
          <w:vertAlign w:val="superscript"/>
        </w:rPr>
      </w:pPr>
    </w:p>
    <w:p>
      <w:pPr>
        <w:ind w:left="820" w:hanging="299"/>
        <w:spacing w:after="0" w:line="204" w:lineRule="auto"/>
        <w:tabs>
          <w:tab w:leader="none" w:pos="820" w:val="left"/>
        </w:tabs>
        <w:numPr>
          <w:ilvl w:val="0"/>
          <w:numId w:val="46"/>
        </w:numPr>
        <w:rPr>
          <w:rFonts w:ascii="Arial" w:cs="Arial" w:eastAsia="Arial" w:hAnsi="Arial"/>
          <w:sz w:val="28"/>
          <w:szCs w:val="28"/>
          <w:color w:val="auto"/>
          <w:vertAlign w:val="superscript"/>
        </w:rPr>
      </w:pPr>
      <w:r>
        <w:rPr>
          <w:rFonts w:ascii="Arial" w:cs="Arial" w:eastAsia="Arial" w:hAnsi="Arial"/>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135" w:lineRule="exact"/>
        <w:rPr>
          <w:rFonts w:ascii="Arial" w:cs="Arial" w:eastAsia="Arial" w:hAnsi="Arial"/>
          <w:sz w:val="28"/>
          <w:szCs w:val="28"/>
          <w:color w:val="auto"/>
          <w:vertAlign w:val="superscript"/>
        </w:rPr>
      </w:pPr>
    </w:p>
    <w:p>
      <w:pPr>
        <w:ind w:left="820" w:right="20" w:hanging="299"/>
        <w:spacing w:after="0" w:line="198" w:lineRule="auto"/>
        <w:tabs>
          <w:tab w:leader="none" w:pos="82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completed the initial public offering of our common stock pursuant to a Registration Statement on Form S-1 (File No. 333-194442), which was declared effective by the SEC on April 10, 2014. The net offering proceeds to us, after deducting underwriting discounts and commissions and offering expenses, were approximately $59.9 million.</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As of September 30, 2015, we have used approximately $33.2 million of the net proceeds from our IPO, primarily to fund the clinical development of CRLX101, to fund research and development of CRLX301 and for working capital and other general corporate purposes. We have invested the balance of the net proceeds from the offering in a variety of capital preservation investments, including short-term, investment grade, interest bearing instruments and U.S. government securities in accordance with our investment policy. There has been no material change in our planned use of the net proceeds from our IPO as described in our final prospectus filed with the SEC pursuant to Rule 424(b)(4) under the Securities Act.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to this Quarterly Report on Form 10-Q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20" w:type="dxa"/>
            <w:vAlign w:val="bottom"/>
            <w:gridSpan w:val="2"/>
          </w:tcPr>
          <w:p>
            <w:pPr>
              <w:ind w:left="2120"/>
              <w:spacing w:after="0"/>
              <w:rPr>
                <w:sz w:val="20"/>
                <w:szCs w:val="20"/>
                <w:color w:val="auto"/>
              </w:rPr>
            </w:pPr>
            <w:r>
              <w:rPr>
                <w:rFonts w:ascii="Arial" w:cs="Arial" w:eastAsia="Arial" w:hAnsi="Arial"/>
                <w:sz w:val="18"/>
                <w:szCs w:val="18"/>
                <w:b w:val="1"/>
                <w:bCs w:val="1"/>
                <w:color w:val="auto"/>
              </w:rPr>
              <w:t>CERULEAN PHARMA INC.</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Date: November 16, 2015</w:t>
            </w:r>
          </w:p>
        </w:tc>
        <w:tc>
          <w:tcPr>
            <w:tcW w:w="2660" w:type="dxa"/>
            <w:vAlign w:val="bottom"/>
          </w:tcPr>
          <w:p>
            <w:pPr>
              <w:ind w:left="212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jc w:val="center"/>
              <w:ind w:right="305"/>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   Christopher D.T. Guiffre</w:t>
            </w:r>
          </w:p>
        </w:tc>
      </w:tr>
      <w:tr>
        <w:trPr>
          <w:trHeight w:val="119"/>
        </w:trPr>
        <w:tc>
          <w:tcPr>
            <w:tcW w:w="40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Christopher D.T. Guiffre</w:t>
            </w:r>
          </w:p>
        </w:tc>
      </w:tr>
      <w:tr>
        <w:trPr>
          <w:trHeight w:val="149"/>
        </w:trPr>
        <w:tc>
          <w:tcPr>
            <w:tcW w:w="4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President and Chief Executive Officer</w:t>
            </w:r>
          </w:p>
        </w:tc>
      </w:tr>
      <w:tr>
        <w:trPr>
          <w:trHeight w:val="186"/>
        </w:trPr>
        <w:tc>
          <w:tcPr>
            <w:tcW w:w="4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executive officer)</w:t>
            </w:r>
          </w:p>
        </w:tc>
      </w:tr>
      <w:tr>
        <w:trPr>
          <w:trHeight w:val="417"/>
        </w:trPr>
        <w:tc>
          <w:tcPr>
            <w:tcW w:w="4000" w:type="dxa"/>
            <w:vAlign w:val="bottom"/>
          </w:tcPr>
          <w:p>
            <w:pPr>
              <w:spacing w:after="0"/>
              <w:rPr>
                <w:sz w:val="20"/>
                <w:szCs w:val="20"/>
                <w:color w:val="auto"/>
              </w:rPr>
            </w:pPr>
            <w:r>
              <w:rPr>
                <w:rFonts w:ascii="Arial" w:cs="Arial" w:eastAsia="Arial" w:hAnsi="Arial"/>
                <w:sz w:val="18"/>
                <w:szCs w:val="18"/>
                <w:color w:val="auto"/>
              </w:rPr>
              <w:t>Date: November 16, 2015</w:t>
            </w:r>
          </w:p>
        </w:tc>
        <w:tc>
          <w:tcPr>
            <w:tcW w:w="2660" w:type="dxa"/>
            <w:vAlign w:val="bottom"/>
          </w:tcPr>
          <w:p>
            <w:pPr>
              <w:ind w:left="212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jc w:val="center"/>
              <w:ind w:right="345"/>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Gregg Beloff</w:t>
            </w:r>
          </w:p>
        </w:tc>
      </w:tr>
      <w:tr>
        <w:trPr>
          <w:trHeight w:val="119"/>
        </w:trPr>
        <w:tc>
          <w:tcPr>
            <w:tcW w:w="40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Gregg Beloff</w:t>
            </w:r>
          </w:p>
        </w:tc>
      </w:tr>
      <w:tr>
        <w:trPr>
          <w:trHeight w:val="149"/>
        </w:trPr>
        <w:tc>
          <w:tcPr>
            <w:tcW w:w="4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Interim Chief Financial Officer</w:t>
            </w:r>
          </w:p>
        </w:tc>
      </w:tr>
      <w:tr>
        <w:trPr>
          <w:trHeight w:val="186"/>
        </w:trPr>
        <w:tc>
          <w:tcPr>
            <w:tcW w:w="4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ind w:right="-151"/>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132" w:type="dxa"/>
        <w:tblCellMar>
          <w:top w:w="0" w:type="dxa"/>
          <w:left w:w="0" w:type="dxa"/>
          <w:bottom w:w="0" w:type="dxa"/>
          <w:right w:w="0" w:type="dxa"/>
        </w:tblCellMar>
      </w:tblPr>
      <w:tr>
        <w:trPr>
          <w:trHeight w:val="186"/>
        </w:trPr>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Exhibit</w:t>
            </w:r>
          </w:p>
        </w:tc>
        <w:tc>
          <w:tcPr>
            <w:tcW w:w="4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1"/>
        </w:trPr>
        <w:tc>
          <w:tcPr>
            <w:tcW w:w="920" w:type="dxa"/>
            <w:vAlign w:val="bottom"/>
            <w:vMerge w:val="continue"/>
          </w:tcPr>
          <w:p>
            <w:pPr>
              <w:spacing w:after="0"/>
              <w:rPr>
                <w:sz w:val="9"/>
                <w:szCs w:val="9"/>
                <w:color w:val="auto"/>
              </w:rPr>
            </w:pPr>
          </w:p>
        </w:tc>
        <w:tc>
          <w:tcPr>
            <w:tcW w:w="478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Description of Exhibit</w:t>
            </w:r>
          </w:p>
        </w:tc>
        <w:tc>
          <w:tcPr>
            <w:tcW w:w="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4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Number</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Date of Filing</w:t>
            </w: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Number</w:t>
            </w:r>
          </w:p>
        </w:tc>
        <w:tc>
          <w:tcPr>
            <w:tcW w:w="47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Pr>
          <w:p>
            <w:pPr>
              <w:ind w:left="32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511"/>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4780" w:type="dxa"/>
            <w:vAlign w:val="bottom"/>
          </w:tcPr>
          <w:p>
            <w:pPr>
              <w:ind w:left="260"/>
              <w:spacing w:after="0"/>
              <w:rPr>
                <w:sz w:val="20"/>
                <w:szCs w:val="20"/>
                <w:color w:val="auto"/>
              </w:rPr>
            </w:pPr>
            <w:r>
              <w:rPr>
                <w:rFonts w:ascii="Arial" w:cs="Arial" w:eastAsia="Arial" w:hAnsi="Arial"/>
                <w:sz w:val="18"/>
                <w:szCs w:val="18"/>
                <w:color w:val="auto"/>
                <w:w w:val="96"/>
              </w:rPr>
              <w:t>Transition and Separation Agreement, dated September 4,</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w w:val="99"/>
              </w:rPr>
              <w:t>2015, between the Registrant and Edward Garmey, M.D.</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10.2</w:t>
            </w:r>
          </w:p>
        </w:tc>
        <w:tc>
          <w:tcPr>
            <w:tcW w:w="4780" w:type="dxa"/>
            <w:vAlign w:val="bottom"/>
          </w:tcPr>
          <w:p>
            <w:pPr>
              <w:ind w:left="260"/>
              <w:spacing w:after="0"/>
              <w:rPr>
                <w:sz w:val="20"/>
                <w:szCs w:val="20"/>
                <w:color w:val="auto"/>
              </w:rPr>
            </w:pPr>
            <w:r>
              <w:rPr>
                <w:rFonts w:ascii="Arial" w:cs="Arial" w:eastAsia="Arial" w:hAnsi="Arial"/>
                <w:sz w:val="18"/>
                <w:szCs w:val="18"/>
                <w:color w:val="auto"/>
                <w:w w:val="95"/>
              </w:rPr>
              <w:t>Consulting Agreement, dated September 4, 2015, between</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the Registrant and Edward Garmey, M.D.</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10.3</w:t>
            </w:r>
          </w:p>
        </w:tc>
        <w:tc>
          <w:tcPr>
            <w:tcW w:w="4780" w:type="dxa"/>
            <w:vAlign w:val="bottom"/>
          </w:tcPr>
          <w:p>
            <w:pPr>
              <w:ind w:left="260"/>
              <w:spacing w:after="0"/>
              <w:rPr>
                <w:sz w:val="20"/>
                <w:szCs w:val="20"/>
                <w:color w:val="auto"/>
              </w:rPr>
            </w:pPr>
            <w:r>
              <w:rPr>
                <w:rFonts w:ascii="Arial" w:cs="Arial" w:eastAsia="Arial" w:hAnsi="Arial"/>
                <w:sz w:val="18"/>
                <w:szCs w:val="18"/>
                <w:color w:val="auto"/>
              </w:rPr>
              <w:t>Employment Agreement, dated September 4, 2015,</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between the Registrant and Adrian Senderowicz, M.D.</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10.4</w:t>
            </w:r>
          </w:p>
        </w:tc>
        <w:tc>
          <w:tcPr>
            <w:tcW w:w="4780" w:type="dxa"/>
            <w:vAlign w:val="bottom"/>
          </w:tcPr>
          <w:p>
            <w:pPr>
              <w:ind w:left="260"/>
              <w:spacing w:after="0"/>
              <w:rPr>
                <w:sz w:val="20"/>
                <w:szCs w:val="20"/>
                <w:color w:val="auto"/>
              </w:rPr>
            </w:pPr>
            <w:r>
              <w:rPr>
                <w:rFonts w:ascii="Arial" w:cs="Arial" w:eastAsia="Arial" w:hAnsi="Arial"/>
                <w:sz w:val="18"/>
                <w:szCs w:val="18"/>
                <w:color w:val="auto"/>
              </w:rPr>
              <w:t>Lease, dated July 9, 2015, between the Registrant and</w:t>
            </w:r>
          </w:p>
        </w:tc>
        <w:tc>
          <w:tcPr>
            <w:tcW w:w="620" w:type="dxa"/>
            <w:vAlign w:val="bottom"/>
          </w:tcPr>
          <w:p>
            <w:pPr>
              <w:ind w:left="200"/>
              <w:spacing w:after="0"/>
              <w:rPr>
                <w:sz w:val="20"/>
                <w:szCs w:val="20"/>
                <w:color w:val="auto"/>
              </w:rPr>
            </w:pPr>
            <w:r>
              <w:rPr>
                <w:rFonts w:ascii="Arial" w:cs="Arial" w:eastAsia="Arial" w:hAnsi="Arial"/>
                <w:sz w:val="18"/>
                <w:szCs w:val="18"/>
                <w:color w:val="auto"/>
                <w:w w:val="99"/>
              </w:rPr>
              <w:t>10-Q</w:t>
            </w:r>
          </w:p>
        </w:tc>
        <w:tc>
          <w:tcPr>
            <w:tcW w:w="1440" w:type="dxa"/>
            <w:vAlign w:val="bottom"/>
          </w:tcPr>
          <w:p>
            <w:pPr>
              <w:ind w:left="440"/>
              <w:spacing w:after="0"/>
              <w:rPr>
                <w:sz w:val="20"/>
                <w:szCs w:val="20"/>
                <w:color w:val="auto"/>
              </w:rPr>
            </w:pPr>
            <w:r>
              <w:rPr>
                <w:rFonts w:ascii="Arial" w:cs="Arial" w:eastAsia="Arial" w:hAnsi="Arial"/>
                <w:sz w:val="18"/>
                <w:szCs w:val="18"/>
                <w:color w:val="auto"/>
              </w:rPr>
              <w:t>001-36395</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August 6,</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AstraZeneca Pharmaceuticals Limited Partnership</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47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w w:val="95"/>
              </w:rPr>
              <w:t>Rule 13a 14(a)/15d 14(a) of the Securities Exchange Act of</w:t>
            </w: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1934, as amended</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47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w w:val="95"/>
              </w:rPr>
              <w:t>Rule 13a-14(a)/15d-14(a) of the Securities Exchange Act of</w:t>
            </w: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1934, as amended</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47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w w:val="94"/>
              </w:rPr>
              <w:t>18 U.S.C. §1350, as adopted pursuant to Section 906 of the</w:t>
            </w: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47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w w:val="94"/>
              </w:rPr>
              <w:t>18 U.S.C. §1350, as adopted pursuant to Section 906 of the</w:t>
            </w: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260"/>
              <w:spacing w:after="0"/>
              <w:rPr>
                <w:sz w:val="20"/>
                <w:szCs w:val="20"/>
                <w:color w:val="auto"/>
              </w:rPr>
            </w:pPr>
            <w:r>
              <w:rPr>
                <w:rFonts w:ascii="Arial" w:cs="Arial" w:eastAsia="Arial" w:hAnsi="Arial"/>
                <w:sz w:val="18"/>
                <w:szCs w:val="18"/>
                <w:color w:val="auto"/>
              </w:rPr>
              <w:t>XBRL Instance Document*</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Calculation Linkbase Document*</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Label Linkbase Document*</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260"/>
              <w:spacing w:after="0"/>
              <w:rPr>
                <w:sz w:val="20"/>
                <w:szCs w:val="20"/>
                <w:color w:val="auto"/>
              </w:rPr>
            </w:pPr>
            <w:r>
              <w:rPr>
                <w:rFonts w:ascii="Arial" w:cs="Arial" w:eastAsia="Arial" w:hAnsi="Arial"/>
                <w:sz w:val="18"/>
                <w:szCs w:val="18"/>
                <w:color w:val="auto"/>
              </w:rPr>
              <w:t>XBRL Taxonomy Presentation Linkbase Document*</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12" w:hanging="512"/>
        <w:spacing w:after="0"/>
        <w:tabs>
          <w:tab w:leader="none" w:pos="5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ectPr>
          <w:pgSz w:w="11900" w:h="16838" w:orient="portrait"/>
          <w:cols w:equalWidth="0" w:num="1">
            <w:col w:w="11252"/>
          </w:cols>
          <w:pgMar w:left="248" w:top="121" w:right="39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SEPARATION AGREEMENT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Separation Agreement (the “Agreement”) is made as of September 4, 2015 by and between Cerulean Pharma Inc.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Edward Garmey, M.D. (“Dr. Garmey”) (collectively, the “Parties”).</w:t>
      </w:r>
    </w:p>
    <w:p>
      <w:pPr>
        <w:spacing w:after="0" w:line="188" w:lineRule="exact"/>
        <w:rPr>
          <w:sz w:val="20"/>
          <w:szCs w:val="20"/>
          <w:color w:val="auto"/>
        </w:rPr>
      </w:pPr>
    </w:p>
    <w:p>
      <w:pPr>
        <w:ind w:right="340" w:firstLine="877"/>
        <w:spacing w:after="0"/>
        <w:rPr>
          <w:sz w:val="20"/>
          <w:szCs w:val="20"/>
          <w:color w:val="auto"/>
        </w:rPr>
      </w:pPr>
      <w:r>
        <w:rPr>
          <w:rFonts w:ascii="Arial" w:cs="Arial" w:eastAsia="Arial" w:hAnsi="Arial"/>
          <w:sz w:val="22"/>
          <w:szCs w:val="22"/>
          <w:color w:val="auto"/>
        </w:rPr>
        <w:t>WHEREAS, the Company and Dr. Garmey are parties to the Employment Agreement dated as of July 21, 2014 (the “Employment Agreement”) under which Dr. Garmey currently serves as Chief Medical Officer and Senior Vice President of the Company;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Dr. Garmey desires to resign from the Company; and</w:t>
      </w:r>
    </w:p>
    <w:p>
      <w:pPr>
        <w:spacing w:after="0" w:line="206" w:lineRule="exact"/>
        <w:rPr>
          <w:sz w:val="20"/>
          <w:szCs w:val="20"/>
          <w:color w:val="auto"/>
        </w:rPr>
      </w:pPr>
    </w:p>
    <w:p>
      <w:pPr>
        <w:ind w:right="780" w:firstLine="877"/>
        <w:spacing w:after="0" w:line="328" w:lineRule="auto"/>
        <w:rPr>
          <w:sz w:val="20"/>
          <w:szCs w:val="20"/>
          <w:color w:val="auto"/>
        </w:rPr>
      </w:pPr>
      <w:r>
        <w:rPr>
          <w:rFonts w:ascii="Arial" w:cs="Arial" w:eastAsia="Arial" w:hAnsi="Arial"/>
          <w:sz w:val="19"/>
          <w:szCs w:val="19"/>
          <w:color w:val="auto"/>
        </w:rPr>
        <w:t>WHEREAS, the Parties agree that the Employment Agreement shall be null and void on the date this Agreement becomes effective and enforceable and wish to establish the terms of Dr. Garmey’s separation from the Company;</w:t>
      </w:r>
    </w:p>
    <w:p>
      <w:pPr>
        <w:spacing w:after="0" w:line="105" w:lineRule="exact"/>
        <w:rPr>
          <w:sz w:val="20"/>
          <w:szCs w:val="20"/>
          <w:color w:val="auto"/>
        </w:rPr>
      </w:pPr>
    </w:p>
    <w:p>
      <w:pPr>
        <w:ind w:right="280" w:firstLine="877"/>
        <w:spacing w:after="0" w:line="274" w:lineRule="auto"/>
        <w:rPr>
          <w:sz w:val="20"/>
          <w:szCs w:val="20"/>
          <w:color w:val="auto"/>
        </w:rPr>
      </w:pPr>
      <w:r>
        <w:rPr>
          <w:rFonts w:ascii="Arial" w:cs="Arial" w:eastAsia="Arial" w:hAnsi="Arial"/>
          <w:sz w:val="21"/>
          <w:szCs w:val="21"/>
          <w:color w:val="auto"/>
        </w:rPr>
        <w:t>NOW, THEREFORE, in consideration of the promises and conditions set forth below, and for other good and valuable consideration, the receipt and sufficiency of which is hereby acknowledged, the Parties agree as follows:</w:t>
      </w:r>
    </w:p>
    <w:p>
      <w:pPr>
        <w:spacing w:after="0" w:line="151" w:lineRule="exact"/>
        <w:rPr>
          <w:sz w:val="20"/>
          <w:szCs w:val="20"/>
          <w:color w:val="auto"/>
        </w:rPr>
      </w:pPr>
    </w:p>
    <w:p>
      <w:pPr>
        <w:ind w:left="1300" w:hanging="860"/>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Resignation from Employment and Officer Positions.</w:t>
      </w:r>
    </w:p>
    <w:p>
      <w:pPr>
        <w:spacing w:after="0" w:line="233" w:lineRule="exact"/>
        <w:rPr>
          <w:rFonts w:ascii="Arial" w:cs="Arial" w:eastAsia="Arial" w:hAnsi="Arial"/>
          <w:sz w:val="22"/>
          <w:szCs w:val="22"/>
          <w:color w:val="auto"/>
        </w:rPr>
      </w:pPr>
    </w:p>
    <w:p>
      <w:pPr>
        <w:ind w:left="1300" w:right="40" w:firstLine="5"/>
        <w:spacing w:after="0" w:line="273" w:lineRule="auto"/>
        <w:tabs>
          <w:tab w:leader="none" w:pos="1594"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Resignation from Employment and Officer Positions</w:t>
      </w:r>
      <w:r>
        <w:rPr>
          <w:rFonts w:ascii="Arial" w:cs="Arial" w:eastAsia="Arial" w:hAnsi="Arial"/>
          <w:sz w:val="19"/>
          <w:szCs w:val="19"/>
          <w:color w:val="auto"/>
        </w:rPr>
        <w:t xml:space="preserve"> – As of the date this Agreement becomes effective and enforceable (the “Separation Date”), Dr. Garmey shall resign from any positions that he holds as an officer of the Company. As of the Separation Date, Dr. Garmey shall resign from employment with the Company. Dr. Garmey will execute and deliver any documents reasonably necessary to effectuate such resignations, provided that nothing in any such document is inconsistent with any terms set forth in this Agreement. Dr. Garmey hereby irrevocably appoints the Company to be his attorney-in-fact to execute any documents and do anything in his name to effect such resignations in the event that Dr. Garmey fails to promptly submit them in accordance with the terms hereof or execute any documents requested by the Company to effectuate such resignations. A written notification signed by a director or duly authorized officer of the Company that any instrument, document or act falls within the authority conferred by this subsection will be conclusive evidence that it does so. The Company will prepare any documents, pay any filing fees, and bear any other expenses related to the above.</w:t>
      </w:r>
    </w:p>
    <w:p>
      <w:pPr>
        <w:spacing w:after="0" w:line="156" w:lineRule="exact"/>
        <w:rPr>
          <w:rFonts w:ascii="Arial" w:cs="Arial" w:eastAsia="Arial" w:hAnsi="Arial"/>
          <w:sz w:val="19"/>
          <w:szCs w:val="19"/>
          <w:color w:val="auto"/>
        </w:rPr>
      </w:pPr>
    </w:p>
    <w:p>
      <w:pPr>
        <w:ind w:left="1300" w:right="120" w:hanging="860"/>
        <w:spacing w:after="0" w:line="297" w:lineRule="auto"/>
        <w:tabs>
          <w:tab w:leader="none" w:pos="130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xml:space="preserve"> – In return for Dr. Garmey’s execution and non-revocation of this Agreement and compliance with the terms hereof, the Company will provide Dr. Garmey with the following severance benefits (the benefits set forth in Sections 2(a) through 2(c) below are referred to herein collectively as the “Severance Benefits”):</w:t>
      </w:r>
    </w:p>
    <w:p>
      <w:pPr>
        <w:spacing w:after="0" w:line="161" w:lineRule="exact"/>
        <w:rPr>
          <w:rFonts w:ascii="Arial" w:cs="Arial" w:eastAsia="Arial" w:hAnsi="Arial"/>
          <w:sz w:val="19"/>
          <w:szCs w:val="19"/>
          <w:color w:val="auto"/>
        </w:rPr>
      </w:pPr>
    </w:p>
    <w:p>
      <w:pPr>
        <w:ind w:left="1300" w:right="140" w:firstLine="5"/>
        <w:spacing w:after="0" w:line="297" w:lineRule="auto"/>
        <w:tabs>
          <w:tab w:leader="none" w:pos="1594"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 The Company will provide Dr. Garmey with severance in an amount equal to six (6) months of pay at Dr. Garmey’s current base salary rate, less all applicable taxes and withholdings. The severance will be paid to Dr. Garmey in equal installments in accordance with the Company’s regular payroll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p>
      <w:pPr>
        <w:ind w:left="100" w:right="860"/>
        <w:spacing w:after="0" w:line="251" w:lineRule="auto"/>
        <w:rPr>
          <w:sz w:val="20"/>
          <w:szCs w:val="20"/>
          <w:color w:val="auto"/>
        </w:rPr>
      </w:pPr>
      <w:r>
        <w:rPr>
          <w:rFonts w:ascii="Arial" w:cs="Arial" w:eastAsia="Arial" w:hAnsi="Arial"/>
          <w:sz w:val="22"/>
          <w:szCs w:val="22"/>
          <w:color w:val="auto"/>
        </w:rPr>
        <w:t>provided, however, that the first payment shall not be made until the first regular payroll date following the Separation Date.</w:t>
      </w:r>
    </w:p>
    <w:p>
      <w:pPr>
        <w:spacing w:after="0" w:line="173" w:lineRule="exact"/>
        <w:rPr>
          <w:sz w:val="20"/>
          <w:szCs w:val="20"/>
          <w:color w:val="auto"/>
        </w:rPr>
      </w:pPr>
    </w:p>
    <w:p>
      <w:pPr>
        <w:ind w:left="120" w:right="100" w:firstLine="5"/>
        <w:spacing w:after="0" w:line="276" w:lineRule="auto"/>
        <w:tabs>
          <w:tab w:leader="none" w:pos="42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Group Health Insurance</w:t>
      </w:r>
      <w:r>
        <w:rPr>
          <w:rFonts w:ascii="Arial" w:cs="Arial" w:eastAsia="Arial" w:hAnsi="Arial"/>
          <w:sz w:val="19"/>
          <w:szCs w:val="19"/>
          <w:color w:val="auto"/>
        </w:rPr>
        <w:t xml:space="preserve"> – Should Dr. Garmey be eligible for and timely elect to continue receiving group health insurance coverage under the law known as COBRA, the Company shall, until the earlier of (x) the date that is six</w:t>
      </w:r>
    </w:p>
    <w:p>
      <w:pPr>
        <w:spacing w:after="0" w:line="1" w:lineRule="exact"/>
        <w:rPr>
          <w:rFonts w:ascii="Arial" w:cs="Arial" w:eastAsia="Arial" w:hAnsi="Arial"/>
          <w:sz w:val="19"/>
          <w:szCs w:val="19"/>
          <w:color w:val="auto"/>
        </w:rPr>
      </w:pPr>
    </w:p>
    <w:p>
      <w:pPr>
        <w:ind w:left="120" w:right="140"/>
        <w:spacing w:after="0" w:line="243" w:lineRule="auto"/>
        <w:rPr>
          <w:rFonts w:ascii="Arial" w:cs="Arial" w:eastAsia="Arial" w:hAnsi="Arial"/>
          <w:sz w:val="19"/>
          <w:szCs w:val="19"/>
          <w:color w:val="auto"/>
        </w:rPr>
      </w:pPr>
      <w:r>
        <w:rPr>
          <w:rFonts w:ascii="Arial" w:cs="Arial" w:eastAsia="Arial" w:hAnsi="Arial"/>
          <w:sz w:val="21"/>
          <w:szCs w:val="21"/>
          <w:color w:val="auto"/>
        </w:rPr>
        <w:t>(6) months following the Separation Date, or (y) the date that Dr. Garmey becomes eligible for group health coverage through a new employer (as applicable, the “COBRA Contribution Period”), pay on Dr. Garmey’s behalf the share of the premium for such coverage that it currently pays on behalf of active and similarly situated employees with the same type of coverage. The remaining balance of any premium costs, and all premium costs after the COBRA Contribution Period, shall be paid by Dr. Garmey on a monthly basis during the elected period of health insurance coverage under COBRA for as long as, and to the extent that, he remains eligible for COBRA continuation. Dr. Garmey will notify the Company in writing at least five (5) days prior to the date on which he becomes eligible to receive group health insurance coverage through another employer, if that date is prior to the date that is six (6) months following the Separation Date.</w:t>
      </w:r>
    </w:p>
    <w:p>
      <w:pPr>
        <w:spacing w:after="0" w:line="185" w:lineRule="exact"/>
        <w:rPr>
          <w:rFonts w:ascii="Arial" w:cs="Arial" w:eastAsia="Arial" w:hAnsi="Arial"/>
          <w:sz w:val="19"/>
          <w:szCs w:val="19"/>
          <w:color w:val="auto"/>
        </w:rPr>
      </w:pPr>
    </w:p>
    <w:p>
      <w:pPr>
        <w:ind w:left="120" w:right="40" w:firstLine="5"/>
        <w:spacing w:after="0" w:line="273" w:lineRule="auto"/>
        <w:tabs>
          <w:tab w:leader="none" w:pos="41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Extension of Option Exercise Date</w:t>
      </w:r>
      <w:r>
        <w:rPr>
          <w:rFonts w:ascii="Arial" w:cs="Arial" w:eastAsia="Arial" w:hAnsi="Arial"/>
          <w:sz w:val="19"/>
          <w:szCs w:val="19"/>
          <w:color w:val="auto"/>
        </w:rPr>
        <w:t xml:space="preserve"> – Effective as of the Separation Date, the Company will extend until the date that is twelve (12) months following the Separation Date the period during which Dr. Garmey may exercise any vested stock options that he holds pursuant to any stock option agreement evidencing the grant of such options (each, an “Option Agreement”), pursuant to the terms of such Option Agreement(s) and the Company’s 2007 Stock Incentive Plan and 2014 Stock Incentive Plan, as applicable, provided that in no event shall Dr. Garmey be able to exercise any option beyond the Final Exercise Date for such option, as set forth in the applicable Option Agreement. Dr. Garmey understands that the stock options subject to this extended exercise period shall cease to be treated for tax purposes as incentive stock options as of the date hereof. Dr. Garmey further understands that, as a result of the loss of incentive stock option status of the affected options, the Company will be required to withhold applicable income and employment taxes at the time of exercise of such options.</w:t>
      </w:r>
    </w:p>
    <w:p>
      <w:pPr>
        <w:spacing w:after="0" w:line="162" w:lineRule="exact"/>
        <w:rPr>
          <w:sz w:val="20"/>
          <w:szCs w:val="20"/>
          <w:color w:val="auto"/>
        </w:rPr>
      </w:pPr>
    </w:p>
    <w:p>
      <w:pPr>
        <w:ind w:left="120" w:right="160"/>
        <w:spacing w:after="0" w:line="236" w:lineRule="auto"/>
        <w:rPr>
          <w:sz w:val="20"/>
          <w:szCs w:val="20"/>
          <w:color w:val="auto"/>
        </w:rPr>
      </w:pPr>
      <w:r>
        <w:rPr>
          <w:rFonts w:ascii="Arial" w:cs="Arial" w:eastAsia="Arial" w:hAnsi="Arial"/>
          <w:sz w:val="22"/>
          <w:szCs w:val="22"/>
          <w:color w:val="auto"/>
        </w:rPr>
        <w:t>Notwithstanding any term of any outstanding stock option held by Dr. Garmey or in any other agreement between the Company and Dr. Garmey, any and all such stock options shall cease vesting as of the Separation Date and will remain exercisable for a period of one year following the Separation Date, but not for any period thereafter (and in no event may the exercise period for any stock option be extended beyond the Final Exercise Date for such stock option).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Other than the Severance Benefits, and fees payable to Dr. Garmey pursuant to that certain Consulting Agreement of even date herewith, Dr. Garmey will not be eligible for, nor shall he have a right to receive, any payments or benefits from the Company following the Separation Date.</w:t>
      </w:r>
    </w:p>
    <w:p>
      <w:pPr>
        <w:spacing w:after="0" w:line="18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62" w:name="page63"/>
    <w:bookmarkEnd w:id="62"/>
    <w:p>
      <w:pPr>
        <w:ind w:left="880" w:hanging="880"/>
        <w:spacing w:after="0" w:line="268" w:lineRule="auto"/>
        <w:tabs>
          <w:tab w:leader="none" w:pos="8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Release by Dr. Garmey</w:t>
      </w:r>
      <w:r>
        <w:rPr>
          <w:rFonts w:ascii="Arial" w:cs="Arial" w:eastAsia="Arial" w:hAnsi="Arial"/>
          <w:sz w:val="19"/>
          <w:szCs w:val="19"/>
          <w:color w:val="auto"/>
        </w:rPr>
        <w:t xml:space="preserve">. In exchange for the consideration set forth herein, which Dr. Garmey acknowledges he would not otherwise be entitled to receive, Dr. Garmey hereby fully, forever, irrevocably and unconditionally releases, remises and discharges the Company, its affiliates, subsidiaries, parent companies, predecessors, and successors, and all of its and their respective past and present officers, directors, stockholders, investors, partners, members, managers, employees, agents, representatives, plan administrators, attorneys, insurers and fiduciaries (each in their individual and corporate capacities) (collectively, the “Released Parties”) from any and all claims,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he ever had or now has against any or all of the Released Parties, whether known or unknown, including, but not limited to, any and all claims arising out of or relating to his employment with and/or separation from the Company, including, but not limited to, all claims under Title VII of the Civil Rights Act of 1964, 42 U.S.C. § 2000e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Americans With Disabilities Act of 1990, 42 U.S.C. § 12101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Age Discrimination in Employment Act, 29 U.S.C. § 621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Genetic Information Nondiscrimination Act of 2008, 42 U.S.C. § 2000ff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Family and Medical Leave Act, 29 U.S.C. § 2601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Worker Adjustment and Retraining Notification Act (“WARN”), 29 U.S.C. § 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Rehabilitation Act of 1973, 29 U.S.C. § 701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Executive Order 11246, Executive Order 11141, the Fair Credit Reporting Act, 15 U.S.C. § 1681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Employee Retirement Income Security Act of 1974 (“ERISA”), 29 U.S.C. § 1001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all as amended; all claims arising out of the Massachusetts Fair Employment Practices Act, Mass. Gen. Laws ch. 151B, § 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Massachusetts Wage Act, Mass. Gen. Laws ch. 149, § 148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(Massachusetts law regarding payment of wages and overtime), the Massachusetts Civil Rights Act, Mass. Gen. Laws ch. 12, §§ 11H and 11I, the Massachusetts Equal Rights Act, Mass. Gen. Laws. ch. 93, § 102 and Mass. Gen. Laws ch. 214, § 1C, the Massachusetts Labor and Industries Act, Mass. Gen. Laws ch. 149, § 1 </w:t>
      </w:r>
      <w:r>
        <w:rPr>
          <w:rFonts w:ascii="Arial" w:cs="Arial" w:eastAsia="Arial" w:hAnsi="Arial"/>
          <w:sz w:val="19"/>
          <w:szCs w:val="19"/>
          <w:u w:val="single" w:color="auto"/>
          <w:color w:val="auto"/>
        </w:rPr>
        <w:t>et seq.</w:t>
      </w:r>
      <w:r>
        <w:rPr>
          <w:rFonts w:ascii="Arial" w:cs="Arial" w:eastAsia="Arial" w:hAnsi="Arial"/>
          <w:sz w:val="19"/>
          <w:szCs w:val="19"/>
          <w:color w:val="auto"/>
        </w:rPr>
        <w:t>, Mass. Gen. Laws ch. 214, § 1B (Massachusetts right of privacy law), the Massachusetts Maternity Leave Act, Mass. Gen. Laws ch. 149, § 105D, and the Massachusetts Small Necessities Leave Act, Mass. Gen. Laws ch. 149, § 52D, all as amended; all common law claims including, but not limited to, actions in defamation, intentional infliction of emotional distress, misrepresentation, fraud, wrongful discharge, and breach of contract (including, without limitation, all claims arising out of or related to the Employment Agreement); all claims to any non-vested ownership interest in the Company, contractual or otherwise; all state and federal whistleblower claims to the maximum extent permitted by law; and any claim or damage arising out of his employment with and/or separation from the Company (including a claim for retaliation) under any common law theory or any federal, state or local statute or ordinance not expressly referenced above; provided, however, that (a) nothing in this Agreement prevents Dr. Garmey from filing a charge with, cooperating with, or participating in any proceeding before the Equal Employment Opportunity Commission or a state fair employment practices agency (except that he acknowledges that he may not recover any monetary benefits in connection with any such claim, charge or proceeding, and explicitly waives any rights or claims to any payment, benefit, attorneys’ fees or other remedial relief in connection with any such claim, charge or proceeding and agrees that if any such complaint, charge, or proceeding is filed on his behalf, he shall take all reasonable steps necessary to refuse any damages or individualized relief in connection therewith), and (b) nothing herein shall prevent Dr. Garmey from bringing claims to enforce this</w:t>
      </w:r>
    </w:p>
    <w:p>
      <w:pPr>
        <w:spacing w:after="0" w:line="228" w:lineRule="exact"/>
        <w:rPr>
          <w:rFonts w:ascii="Arial" w:cs="Arial" w:eastAsia="Arial" w:hAnsi="Arial"/>
          <w:sz w:val="19"/>
          <w:szCs w:val="19"/>
          <w:color w:val="auto"/>
        </w:rPr>
      </w:pPr>
    </w:p>
    <w:p>
      <w:pPr>
        <w:ind w:left="880" w:right="60"/>
        <w:spacing w:after="0" w:line="244" w:lineRule="auto"/>
        <w:rPr>
          <w:rFonts w:ascii="Arial" w:cs="Arial" w:eastAsia="Arial" w:hAnsi="Arial"/>
          <w:sz w:val="19"/>
          <w:szCs w:val="19"/>
          <w:color w:val="auto"/>
        </w:rPr>
      </w:pPr>
      <w:r>
        <w:rPr>
          <w:rFonts w:ascii="Arial" w:cs="Arial" w:eastAsia="Arial" w:hAnsi="Arial"/>
          <w:sz w:val="21"/>
          <w:szCs w:val="21"/>
          <w:color w:val="auto"/>
        </w:rPr>
        <w:t>Agreement. Further, nothing herein shall release any rights Dr. Garmey may have under the Company’s certificate of incorporation, by-laws, insurance and/or any indemnification agreement between him and the Company (and/or otherwise under law) for indemnification as an officer of the Company for his service to the Company (recognizing that such indemnification is not guaranteed by this Agreement and shall be governed by the instrument or law, if any, providing for such indemnification), or any rights he may have to vested ownership, pension or 401(k) benefits or interests.</w:t>
      </w:r>
    </w:p>
    <w:p>
      <w:pPr>
        <w:spacing w:after="0" w:line="183" w:lineRule="exact"/>
        <w:rPr>
          <w:rFonts w:ascii="Arial" w:cs="Arial" w:eastAsia="Arial" w:hAnsi="Arial"/>
          <w:sz w:val="19"/>
          <w:szCs w:val="19"/>
          <w:color w:val="auto"/>
        </w:rPr>
      </w:pPr>
    </w:p>
    <w:p>
      <w:pPr>
        <w:ind w:left="860" w:right="120" w:hanging="860"/>
        <w:spacing w:after="0" w:line="272" w:lineRule="auto"/>
        <w:tabs>
          <w:tab w:leader="none" w:pos="86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Release by the Company</w:t>
      </w:r>
      <w:r>
        <w:rPr>
          <w:rFonts w:ascii="Arial" w:cs="Arial" w:eastAsia="Arial" w:hAnsi="Arial"/>
          <w:sz w:val="19"/>
          <w:szCs w:val="19"/>
          <w:color w:val="auto"/>
        </w:rPr>
        <w:t>. In exchange for the consideration set forth herein, the Company hereby fully, forever, irrevocably and unconditionally releases, remises and discharges Dr. Garmey from any and all claims, complaints, demands, actions, causes of action, suits, rights, debts, sums of money, costs, accounts, reckonings, covenants, contracts, agreements, promises, doings, omissions, damages, executions, obligations, liabilities, and expenses (including attorneys’ fees and costs), of every kind and nature, whether known or unknown, that it ever had or now has against Dr. Garmey, including, but not limited to, any and all claims arising out of or relating to Dr. Garmey’s employment with and/or separation from the Company; provided, however, that notwithstanding the foregoing, nothing in this release (a) releases Dr. Garmey from his continuing obligations as set forth in Section 5 below, (b) shall prevent the Company from bringing claims to enforce this Agreement, or (c) releases Dr. Garmey from any claims for fraud or embezzlement, or from any civil claims based on any acts and/or omissions that satisfy the elements of a criminal offense, or from any claims arising out of any deliberate misconduct by him that results or resulted in material injury to the Company.</w:t>
      </w:r>
    </w:p>
    <w:p>
      <w:pPr>
        <w:spacing w:after="0" w:line="161" w:lineRule="exact"/>
        <w:rPr>
          <w:rFonts w:ascii="Arial" w:cs="Arial" w:eastAsia="Arial" w:hAnsi="Arial"/>
          <w:sz w:val="19"/>
          <w:szCs w:val="19"/>
          <w:color w:val="auto"/>
        </w:rPr>
      </w:pPr>
    </w:p>
    <w:p>
      <w:pPr>
        <w:ind w:left="860" w:right="40" w:hanging="860"/>
        <w:spacing w:after="0" w:line="275" w:lineRule="auto"/>
        <w:tabs>
          <w:tab w:leader="none" w:pos="86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Continuing Obligations</w:t>
      </w:r>
      <w:r>
        <w:rPr>
          <w:rFonts w:ascii="Arial" w:cs="Arial" w:eastAsia="Arial" w:hAnsi="Arial"/>
          <w:sz w:val="19"/>
          <w:szCs w:val="19"/>
          <w:color w:val="auto"/>
        </w:rPr>
        <w:t>. Dr. Garmey acknowledges and reaffirms his obligation to keep confidential and not to use or disclose, at any time after the Separation Date, any and all non-public information concerning the Company that he acquires or acquired during the course of his employment with the Company, including, but not limited to, any non-public information concerning the Company’s business affairs, clinical trials, research and development, regulatory strategy or financial condition. Dr. Garmey further acknowledges his ongoing obligations set forth in the Invention and Non-Disclosure Agreement previously executed in connection with his employment by the Company, which continue in full force and effect, with the sole exception of the post-employment restrictions set forth in paragraph 6(a) of the Invention and Non-Disclosure Agreement.</w:t>
      </w:r>
    </w:p>
    <w:p>
      <w:pPr>
        <w:sectPr>
          <w:pgSz w:w="11900" w:h="16838" w:orient="portrait"/>
          <w:cols w:equalWidth="0" w:num="1">
            <w:col w:w="10940"/>
          </w:cols>
          <w:pgMar w:left="680" w:top="361" w:right="279" w:bottom="0" w:gutter="0" w:footer="0" w:header="0"/>
        </w:sectPr>
      </w:pPr>
    </w:p>
    <w:bookmarkStart w:id="63" w:name="page64"/>
    <w:bookmarkEnd w:id="63"/>
    <w:p>
      <w:pPr>
        <w:ind w:left="860" w:hanging="860"/>
        <w:spacing w:after="0" w:line="298" w:lineRule="auto"/>
        <w:tabs>
          <w:tab w:leader="none" w:pos="86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Dr. Garmey will, on the Separation Date or earlier if requested by the Company, return to the Company all keys, files, records (and copies thereof), equipment (including, but not limited to, computer hardware, software and printers, wireless handheld devices, etc.), Company identification and any other</w:t>
      </w:r>
    </w:p>
    <w:p>
      <w:pPr>
        <w:spacing w:after="0" w:line="348" w:lineRule="exact"/>
        <w:rPr>
          <w:rFonts w:ascii="Arial" w:cs="Arial" w:eastAsia="Arial" w:hAnsi="Arial"/>
          <w:sz w:val="19"/>
          <w:szCs w:val="19"/>
          <w:color w:val="auto"/>
        </w:rPr>
      </w:pPr>
    </w:p>
    <w:p>
      <w:pPr>
        <w:ind w:left="5220" w:hanging="126"/>
        <w:spacing w:after="0"/>
        <w:tabs>
          <w:tab w:leader="none" w:pos="52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00"/>
          </w:cols>
          <w:pgMar w:left="680" w:top="118" w:right="519" w:bottom="1440" w:gutter="0" w:footer="0" w:header="0"/>
        </w:sectPr>
      </w:pPr>
    </w:p>
    <w:bookmarkStart w:id="64" w:name="page65"/>
    <w:bookmarkEnd w:id="64"/>
    <w:p>
      <w:pPr>
        <w:ind w:left="860" w:right="40"/>
        <w:spacing w:after="0" w:line="275" w:lineRule="auto"/>
        <w:rPr>
          <w:sz w:val="20"/>
          <w:szCs w:val="20"/>
          <w:color w:val="auto"/>
        </w:rPr>
      </w:pPr>
      <w:r>
        <w:rPr>
          <w:rFonts w:ascii="Arial" w:cs="Arial" w:eastAsia="Arial" w:hAnsi="Arial"/>
          <w:sz w:val="19"/>
          <w:szCs w:val="19"/>
          <w:color w:val="auto"/>
        </w:rPr>
        <w:t>Company-owned property in his possession or control and that he will leave intact all electronic Company documents, including but not limited to those that he developed or helped to develop during his employment. In addition, Dr. Garmey will, on the Separation Date or earlier if requested by the Company, cancel all accounts for his benefit, if any, in the Company’s name, including but not limited to, credit cards, telephone charge cards, cellular phone and/or wireless data accounts and computer accounts. Notwithstanding the foregoing, Dr. Garmey may retain the laptop and cellphone provided to him by the Company, provided that both are wiped clean of any Company confidential information and with the understanding that any Company-sponsored service plans or licenses associated with such laptop or cellphone shall be terminated as of the Separation Date.</w:t>
      </w:r>
    </w:p>
    <w:p>
      <w:pPr>
        <w:spacing w:after="0" w:line="158" w:lineRule="exact"/>
        <w:rPr>
          <w:sz w:val="20"/>
          <w:szCs w:val="20"/>
          <w:color w:val="auto"/>
        </w:rPr>
      </w:pPr>
    </w:p>
    <w:p>
      <w:pPr>
        <w:ind w:left="860" w:right="100" w:hanging="860"/>
        <w:spacing w:after="0" w:line="287" w:lineRule="auto"/>
        <w:tabs>
          <w:tab w:leader="none" w:pos="86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shall be binding upon the Parties and may not be abandoned, supplemented, changed or modified in any manner, orally or otherwise, except by an instrument in writing of concurrent or subsequent date signed by duly authorized representatives of the Parties. This Agreement is binding upon and shall inure to the benefit of the Parties and their respective agents, assigns, heirs, executors, successors and administrators.</w:t>
      </w:r>
    </w:p>
    <w:p>
      <w:pPr>
        <w:spacing w:after="0" w:line="143" w:lineRule="exact"/>
        <w:rPr>
          <w:rFonts w:ascii="Arial" w:cs="Arial" w:eastAsia="Arial" w:hAnsi="Arial"/>
          <w:sz w:val="19"/>
          <w:szCs w:val="19"/>
          <w:color w:val="auto"/>
        </w:rPr>
      </w:pPr>
    </w:p>
    <w:p>
      <w:pPr>
        <w:ind w:left="860" w:right="140" w:hanging="860"/>
        <w:spacing w:after="0" w:line="297" w:lineRule="auto"/>
        <w:tabs>
          <w:tab w:leader="none" w:pos="86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Waiver of Rights.</w:t>
      </w:r>
      <w:r>
        <w:rPr>
          <w:rFonts w:ascii="Arial" w:cs="Arial" w:eastAsia="Arial" w:hAnsi="Arial"/>
          <w:sz w:val="19"/>
          <w:szCs w:val="19"/>
          <w:color w:val="auto"/>
        </w:rPr>
        <w:t xml:space="preserve"> No delay or omission by either Party in exercising any rights under this Agreement shall operate as a waiver of that or any other right. A waiver or consent given by either Party on any one occasion shall be effective only in that instance and shall not be construed as a bar to or waiver of any right on any other occasion.</w:t>
      </w:r>
    </w:p>
    <w:p>
      <w:pPr>
        <w:spacing w:after="0" w:line="134" w:lineRule="exact"/>
        <w:rPr>
          <w:rFonts w:ascii="Arial" w:cs="Arial" w:eastAsia="Arial" w:hAnsi="Arial"/>
          <w:sz w:val="19"/>
          <w:szCs w:val="19"/>
          <w:color w:val="auto"/>
        </w:rPr>
      </w:pPr>
    </w:p>
    <w:p>
      <w:pPr>
        <w:ind w:left="860" w:right="500" w:hanging="860"/>
        <w:spacing w:after="0" w:line="297" w:lineRule="auto"/>
        <w:tabs>
          <w:tab w:leader="none" w:pos="86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Validity</w:t>
      </w:r>
      <w:r>
        <w:rPr>
          <w:rFonts w:ascii="Arial" w:cs="Arial" w:eastAsia="Arial" w:hAnsi="Arial"/>
          <w:sz w:val="19"/>
          <w:szCs w:val="19"/>
          <w:color w:val="auto"/>
        </w:rPr>
        <w:t>. Should any provision of this Agreement be declared or be determined by any court of competent jurisdiction to be illegal or invalid, the validity of the remaining parts, terms, or provisions shall not be affected thereby and said illegal or invalid part, term or provision shall be deemed not to be a part of this Agreement.</w:t>
      </w:r>
    </w:p>
    <w:p>
      <w:pPr>
        <w:spacing w:after="0" w:line="134" w:lineRule="exact"/>
        <w:rPr>
          <w:rFonts w:ascii="Arial" w:cs="Arial" w:eastAsia="Arial" w:hAnsi="Arial"/>
          <w:sz w:val="19"/>
          <w:szCs w:val="19"/>
          <w:color w:val="auto"/>
        </w:rPr>
      </w:pPr>
    </w:p>
    <w:p>
      <w:pPr>
        <w:ind w:left="860" w:hanging="860"/>
        <w:spacing w:after="0" w:line="272" w:lineRule="auto"/>
        <w:tabs>
          <w:tab w:leader="none" w:pos="86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Dr. Garmey will cooperate fully with the Company, to the extent permitted by law, in the investigation, defense or prosecution of any claims or actions now in existence or that may be brought in the future against the Company by any third party or by or on behalf of the Company against any third party. Dr. Garmey’s full cooperation in connection with such claims or actions will include being available to meet with the Company’s counsel, at reasonable mutually agreed upon times and locations, to prepare for discovery, any mediation, arbitration, trial, administrative hearing or other proceeding, and to act as a witness when requested by the Company. Dr. Garmey will, to the extent permitted by law, notify the Company promptly in the event that he is served with a subpoena or in the event that he is asked to provide a third party with information concerning any actual or potential complaint or claim against the Company. Nothing herein shall be construed as restricting Dr. Garmey’s right to truthfully testify in any proceeding in which he is subpoenaed to do so. The Company will (a) compensate Dr. Garmey at a reasonable hourly rate for any time he is required to spend to comply with any request by the Company for cooperation hereunder, provided that the Company shall not pay Dr. Garmey for time spent providing testimony in any arbitration, trial, administrative hearing or other</w:t>
      </w:r>
    </w:p>
    <w:p>
      <w:pPr>
        <w:spacing w:after="0" w:line="373" w:lineRule="exact"/>
        <w:rPr>
          <w:rFonts w:ascii="Arial" w:cs="Arial" w:eastAsia="Arial" w:hAnsi="Arial"/>
          <w:sz w:val="19"/>
          <w:szCs w:val="19"/>
          <w:color w:val="auto"/>
        </w:rPr>
      </w:pPr>
    </w:p>
    <w:p>
      <w:pPr>
        <w:ind w:left="5220" w:hanging="126"/>
        <w:spacing w:after="0"/>
        <w:tabs>
          <w:tab w:leader="none" w:pos="5220" w:val="left"/>
        </w:tabs>
        <w:numPr>
          <w:ilvl w:val="1"/>
          <w:numId w:val="52"/>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1" w:right="239" w:bottom="1440" w:gutter="0" w:footer="0" w:header="0"/>
        </w:sectPr>
      </w:pPr>
    </w:p>
    <w:bookmarkStart w:id="65" w:name="page66"/>
    <w:bookmarkEnd w:id="65"/>
    <w:p>
      <w:pPr>
        <w:ind w:left="860" w:right="240"/>
        <w:spacing w:after="0" w:line="251" w:lineRule="auto"/>
        <w:rPr>
          <w:sz w:val="20"/>
          <w:szCs w:val="20"/>
          <w:color w:val="auto"/>
        </w:rPr>
      </w:pPr>
      <w:r>
        <w:rPr>
          <w:rFonts w:ascii="Arial" w:cs="Arial" w:eastAsia="Arial" w:hAnsi="Arial"/>
          <w:sz w:val="22"/>
          <w:szCs w:val="22"/>
          <w:color w:val="auto"/>
        </w:rPr>
        <w:t>proceeding, and (b) reimburse Dr. Garmey for all reasonable and documented out-of-pocket costs that he incurs to comply with this paragraph.</w:t>
      </w:r>
    </w:p>
    <w:p>
      <w:pPr>
        <w:spacing w:after="0" w:line="173" w:lineRule="exact"/>
        <w:rPr>
          <w:sz w:val="20"/>
          <w:szCs w:val="20"/>
          <w:color w:val="auto"/>
        </w:rPr>
      </w:pPr>
    </w:p>
    <w:p>
      <w:pPr>
        <w:ind w:left="860" w:right="240" w:hanging="860"/>
        <w:spacing w:after="0" w:line="251" w:lineRule="auto"/>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Nature of Agreement.</w:t>
      </w:r>
      <w:r>
        <w:rPr>
          <w:rFonts w:ascii="Arial" w:cs="Arial" w:eastAsia="Arial" w:hAnsi="Arial"/>
          <w:sz w:val="22"/>
          <w:szCs w:val="22"/>
          <w:color w:val="auto"/>
        </w:rPr>
        <w:t xml:space="preserve"> This Agreement is not and shall not in any way be construed as an admission of liability or wrongdoing on the part of either Party.</w:t>
      </w:r>
    </w:p>
    <w:p>
      <w:pPr>
        <w:spacing w:after="0" w:line="173" w:lineRule="exact"/>
        <w:rPr>
          <w:rFonts w:ascii="Arial" w:cs="Arial" w:eastAsia="Arial" w:hAnsi="Arial"/>
          <w:sz w:val="22"/>
          <w:szCs w:val="22"/>
          <w:color w:val="auto"/>
        </w:rPr>
      </w:pPr>
    </w:p>
    <w:p>
      <w:pPr>
        <w:ind w:left="860" w:right="420" w:hanging="860"/>
        <w:spacing w:after="0" w:line="251" w:lineRule="auto"/>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Time for Consideration</w:t>
      </w:r>
      <w:r>
        <w:rPr>
          <w:rFonts w:ascii="Arial" w:cs="Arial" w:eastAsia="Arial" w:hAnsi="Arial"/>
          <w:sz w:val="22"/>
          <w:szCs w:val="22"/>
          <w:color w:val="auto"/>
        </w:rPr>
        <w:t>. To be eligible to receive the Severance Benefits, Dr. Garmey must sign and return this Agreement on or before September 25, 2015.</w:t>
      </w:r>
    </w:p>
    <w:p>
      <w:pPr>
        <w:spacing w:after="0" w:line="173" w:lineRule="exact"/>
        <w:rPr>
          <w:rFonts w:ascii="Arial" w:cs="Arial" w:eastAsia="Arial" w:hAnsi="Arial"/>
          <w:sz w:val="22"/>
          <w:szCs w:val="22"/>
          <w:color w:val="auto"/>
        </w:rPr>
      </w:pPr>
    </w:p>
    <w:p>
      <w:pPr>
        <w:ind w:left="860" w:hanging="860"/>
        <w:spacing w:after="0" w:line="275" w:lineRule="auto"/>
        <w:tabs>
          <w:tab w:leader="none" w:pos="86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xml:space="preserve"> Dr. Garmey acknowledges that he has been given twenty-one (21) days following his receipt of this Agreement to consider this Agreement, and that the Company is hereby advising him to consult with an attorney of his own choosing prior to signing this Agreement. Dr. Garmey understands that he may revoke this Agreement for a period of seven (7) days after he signs it by notifying the Company in writing, and this Agreement shall not be effective or enforceable until the expiration of this seven (7) day revocation period. Dr. Garmey understands and agrees that by entering into this Agreement, he will be waiving any and all rights or claims he might have under the Age Discrimination in Employment Act, as amended by the Older Workers Benefit Protection Act, and that he will be eligible to receive consideration beyond that to which he was previously entitled.</w:t>
      </w:r>
    </w:p>
    <w:p>
      <w:pPr>
        <w:spacing w:after="0" w:line="158" w:lineRule="exact"/>
        <w:rPr>
          <w:rFonts w:ascii="Arial" w:cs="Arial" w:eastAsia="Arial" w:hAnsi="Arial"/>
          <w:sz w:val="19"/>
          <w:szCs w:val="19"/>
          <w:color w:val="auto"/>
        </w:rPr>
      </w:pPr>
    </w:p>
    <w:p>
      <w:pPr>
        <w:ind w:left="860" w:right="120" w:hanging="860"/>
        <w:spacing w:after="0" w:line="279" w:lineRule="auto"/>
        <w:tabs>
          <w:tab w:leader="none" w:pos="86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Voluntary Assent</w:t>
      </w:r>
      <w:r>
        <w:rPr>
          <w:rFonts w:ascii="Arial" w:cs="Arial" w:eastAsia="Arial" w:hAnsi="Arial"/>
          <w:sz w:val="19"/>
          <w:szCs w:val="19"/>
          <w:color w:val="auto"/>
        </w:rPr>
        <w:t>. Dr. Garmey affirms that no other promises or agreements of any kind have been made to or with him by any person or entity whatsoever to cause him to sign this Agreement, and that he fully understands the meaning and intent of this Agreement. Dr. Garmey acknowledges that he had an opportunity to fully discuss and review the terms of this Agreement with an attorney of his own choosing prior to signing this Agreement. Dr. Garmey further states and represents that he has carefully read this Agreement, understands the contents herein, freely and voluntarily assents to all of the terms and conditions hereof and signs his name of his own free act.</w:t>
      </w:r>
    </w:p>
    <w:p>
      <w:pPr>
        <w:spacing w:after="0" w:line="150" w:lineRule="exact"/>
        <w:rPr>
          <w:rFonts w:ascii="Arial" w:cs="Arial" w:eastAsia="Arial" w:hAnsi="Arial"/>
          <w:sz w:val="19"/>
          <w:szCs w:val="19"/>
          <w:color w:val="auto"/>
        </w:rPr>
      </w:pPr>
    </w:p>
    <w:p>
      <w:pPr>
        <w:ind w:left="860" w:right="300" w:hanging="860"/>
        <w:spacing w:after="0" w:line="234" w:lineRule="auto"/>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Tax Provision.</w:t>
      </w:r>
      <w:r>
        <w:rPr>
          <w:rFonts w:ascii="Arial" w:cs="Arial" w:eastAsia="Arial" w:hAnsi="Arial"/>
          <w:sz w:val="22"/>
          <w:szCs w:val="22"/>
          <w:color w:val="auto"/>
        </w:rPr>
        <w:t xml:space="preserve"> In connection with the Severance Benefits and any other monetary payments to be provided to Dr. Garmey pursuant to this Agreement, the Company shall withhold and remit to the tax authorities the amounts required under applicable law, and Dr. Garmey shall be responsible for all applicable taxes with respect to such Severance Benefits and other payments under applicable law. The Parties intend that the payments and benefits provided for under this Agreement shall be either exempt from or compliant with Section 409A of the Internal Revenue Code. Notwithstanding the foregoing, Dr. Garmey acknowledges that he is not relying upon advice or representation of the Company with respect to the tax treatment of any of the Severance Benefits or other payments.</w:t>
      </w:r>
    </w:p>
    <w:p>
      <w:pPr>
        <w:spacing w:after="0" w:line="187" w:lineRule="exact"/>
        <w:rPr>
          <w:rFonts w:ascii="Arial" w:cs="Arial" w:eastAsia="Arial" w:hAnsi="Arial"/>
          <w:sz w:val="22"/>
          <w:szCs w:val="22"/>
          <w:color w:val="auto"/>
        </w:rPr>
      </w:pPr>
    </w:p>
    <w:p>
      <w:pPr>
        <w:ind w:left="860" w:right="360" w:hanging="860"/>
        <w:spacing w:after="0" w:line="252" w:lineRule="auto"/>
        <w:tabs>
          <w:tab w:leader="none" w:pos="86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Applicable Law</w:t>
      </w:r>
      <w:r>
        <w:rPr>
          <w:rFonts w:ascii="Arial" w:cs="Arial" w:eastAsia="Arial" w:hAnsi="Arial"/>
          <w:sz w:val="21"/>
          <w:szCs w:val="21"/>
          <w:color w:val="auto"/>
        </w:rPr>
        <w:t>. This Agreement shall be interpreted and construed by the laws of the Commonwealth of Massachusetts, without regard to conflict of laws provisions. Dr. Garmey hereby irrevocably submits to the jurisdiction of the courts of the Commonwealth of Massachusetts, or if appropriate, a federal court located in the Commonwealth of Massachusetts (which courts, for purposes of this Agreement, are</w:t>
      </w:r>
    </w:p>
    <w:p>
      <w:pPr>
        <w:spacing w:after="0" w:line="390" w:lineRule="exact"/>
        <w:rPr>
          <w:rFonts w:ascii="Arial" w:cs="Arial" w:eastAsia="Arial" w:hAnsi="Arial"/>
          <w:sz w:val="21"/>
          <w:szCs w:val="21"/>
          <w:color w:val="auto"/>
        </w:rPr>
      </w:pPr>
    </w:p>
    <w:p>
      <w:pPr>
        <w:ind w:left="5220" w:hanging="126"/>
        <w:spacing w:after="0"/>
        <w:tabs>
          <w:tab w:leader="none" w:pos="5220" w:val="left"/>
        </w:tabs>
        <w:numPr>
          <w:ilvl w:val="1"/>
          <w:numId w:val="53"/>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361" w:right="259" w:bottom="1440" w:gutter="0" w:footer="0" w:header="0"/>
        </w:sectPr>
      </w:pPr>
    </w:p>
    <w:bookmarkStart w:id="66" w:name="page67"/>
    <w:bookmarkEnd w:id="66"/>
    <w:p>
      <w:pPr>
        <w:ind w:left="860" w:right="620"/>
        <w:spacing w:after="0" w:line="251" w:lineRule="auto"/>
        <w:rPr>
          <w:sz w:val="20"/>
          <w:szCs w:val="20"/>
          <w:color w:val="auto"/>
        </w:rPr>
      </w:pPr>
      <w:r>
        <w:rPr>
          <w:rFonts w:ascii="Arial" w:cs="Arial" w:eastAsia="Arial" w:hAnsi="Arial"/>
          <w:sz w:val="22"/>
          <w:szCs w:val="22"/>
          <w:color w:val="auto"/>
        </w:rPr>
        <w:t>the only courts of competent jurisdiction), over any suit, action or other proceeding arising out of, under, or in connection with this Agreement or the subject matter thereof.</w:t>
      </w:r>
    </w:p>
    <w:p>
      <w:pPr>
        <w:spacing w:after="0" w:line="173" w:lineRule="exact"/>
        <w:rPr>
          <w:sz w:val="20"/>
          <w:szCs w:val="20"/>
          <w:color w:val="auto"/>
        </w:rPr>
      </w:pPr>
    </w:p>
    <w:p>
      <w:pPr>
        <w:ind w:left="860" w:right="180" w:hanging="860"/>
        <w:spacing w:after="0" w:line="273" w:lineRule="auto"/>
        <w:tabs>
          <w:tab w:leader="none" w:pos="86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Subject to the immediately following sentence, this Agreement, upon its effective date, and the Invention and Non-Disclosure Agreement contain and constitute the entire understanding and agreement between the Parties hereto with respect to Dr. Garmey’s employment with and separation from the Company, Severance Benefits and the settlement of claims against the Company, and cancels all previous oral and written negotiations, agreements, commitments and writings in connection therewith. This Agreement supersedes and cancels any prior employment agreements or arrangements Dr. Garmey may have entered into with the Company, including, without limitation, the Employment Agreement (which, for the avoidance of doubt, shall be of no force or effect following the date this Agreement becomes effective and enforceable), provided, however, that nothing in this Section shall modify, cancel or supersede Dr. Garmey’s obligations set forth in Section 5 above, or the Company’s obligations with respect to vested stock options (as modified by Section 2(c) above).</w:t>
      </w:r>
    </w:p>
    <w:p>
      <w:pPr>
        <w:spacing w:after="0" w:line="161" w:lineRule="exact"/>
        <w:rPr>
          <w:rFonts w:ascii="Arial" w:cs="Arial" w:eastAsia="Arial" w:hAnsi="Arial"/>
          <w:sz w:val="19"/>
          <w:szCs w:val="19"/>
          <w:color w:val="auto"/>
        </w:rPr>
      </w:pPr>
    </w:p>
    <w:p>
      <w:pPr>
        <w:ind w:left="860" w:hanging="860"/>
        <w:spacing w:after="0"/>
        <w:tabs>
          <w:tab w:leader="none" w:pos="8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will be executed in duplicate such that each Party will retain a fully-executed original and each original may be executed in two (2) signature counterparts, each of which shall constitute an original, but all of which taken together shall constitute one and the same instrument.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ind w:left="5220" w:hanging="126"/>
        <w:spacing w:after="0"/>
        <w:tabs>
          <w:tab w:leader="none" w:pos="5220" w:val="left"/>
        </w:tabs>
        <w:numPr>
          <w:ilvl w:val="1"/>
          <w:numId w:val="54"/>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1" w:right="239" w:bottom="1440" w:gutter="0" w:footer="0" w:header="0"/>
        </w:sectPr>
      </w:pPr>
    </w:p>
    <w:bookmarkStart w:id="67" w:name="page68"/>
    <w:bookmarkEnd w:id="67"/>
    <w:p>
      <w:pPr>
        <w:ind w:left="880"/>
        <w:spacing w:after="0"/>
        <w:rPr>
          <w:sz w:val="20"/>
          <w:szCs w:val="20"/>
          <w:color w:val="auto"/>
        </w:rPr>
      </w:pPr>
      <w:r>
        <w:rPr>
          <w:rFonts w:ascii="Arial" w:cs="Arial" w:eastAsia="Arial" w:hAnsi="Arial"/>
          <w:sz w:val="19"/>
          <w:szCs w:val="19"/>
          <w:color w:val="auto"/>
        </w:rPr>
        <w:t>IN WITNESS WHEREOF, the Parties have set their hands and seals to this Agreement as of the date(s) written below.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00" w:type="dxa"/>
            <w:vAlign w:val="bottom"/>
            <w:gridSpan w:val="3"/>
          </w:tcPr>
          <w:p>
            <w:pPr>
              <w:spacing w:after="0"/>
              <w:rPr>
                <w:sz w:val="20"/>
                <w:szCs w:val="20"/>
                <w:color w:val="auto"/>
              </w:rPr>
            </w:pPr>
            <w:r>
              <w:rPr>
                <w:rFonts w:ascii="Arial" w:cs="Arial" w:eastAsia="Arial" w:hAnsi="Arial"/>
                <w:sz w:val="22"/>
                <w:szCs w:val="22"/>
                <w:color w:val="auto"/>
              </w:rPr>
              <w:t>Cerulean Pharma Inc.</w:t>
            </w:r>
          </w:p>
        </w:tc>
        <w:tc>
          <w:tcPr>
            <w:tcW w:w="3240" w:type="dxa"/>
            <w:vAlign w:val="bottom"/>
          </w:tcPr>
          <w:p>
            <w:pPr>
              <w:spacing w:after="0"/>
              <w:rPr>
                <w:sz w:val="23"/>
                <w:szCs w:val="23"/>
                <w:color w:val="auto"/>
              </w:rPr>
            </w:pPr>
          </w:p>
        </w:tc>
      </w:tr>
      <w:tr>
        <w:trPr>
          <w:trHeight w:val="449"/>
        </w:trPr>
        <w:tc>
          <w:tcPr>
            <w:tcW w:w="4100" w:type="dxa"/>
            <w:vAlign w:val="bottom"/>
            <w:gridSpan w:val="3"/>
          </w:tcPr>
          <w:p>
            <w:pPr>
              <w:spacing w:after="0"/>
              <w:rPr>
                <w:sz w:val="20"/>
                <w:szCs w:val="20"/>
                <w:color w:val="auto"/>
              </w:rPr>
            </w:pPr>
            <w:r>
              <w:rPr>
                <w:rFonts w:ascii="Arial" w:cs="Arial" w:eastAsia="Arial" w:hAnsi="Arial"/>
                <w:sz w:val="22"/>
                <w:szCs w:val="22"/>
                <w:color w:val="auto"/>
              </w:rPr>
              <w:t>/s/ Christopher D. T. Guiffre</w:t>
            </w:r>
          </w:p>
        </w:tc>
        <w:tc>
          <w:tcPr>
            <w:tcW w:w="3240" w:type="dxa"/>
            <w:vAlign w:val="bottom"/>
          </w:tcPr>
          <w:p>
            <w:pPr>
              <w:spacing w:after="0"/>
              <w:rPr>
                <w:sz w:val="20"/>
                <w:szCs w:val="20"/>
                <w:color w:val="auto"/>
              </w:rPr>
            </w:pPr>
            <w:r>
              <w:rPr>
                <w:rFonts w:ascii="Arial" w:cs="Arial" w:eastAsia="Arial" w:hAnsi="Arial"/>
                <w:sz w:val="22"/>
                <w:szCs w:val="22"/>
                <w:color w:val="auto"/>
              </w:rPr>
              <w:t>Date: September 4, 2015</w:t>
            </w:r>
          </w:p>
        </w:tc>
      </w:tr>
      <w:tr>
        <w:trPr>
          <w:trHeight w:val="268"/>
        </w:trPr>
        <w:tc>
          <w:tcPr>
            <w:tcW w:w="20" w:type="dxa"/>
            <w:vAlign w:val="bottom"/>
          </w:tcPr>
          <w:p>
            <w:pPr>
              <w:spacing w:after="0"/>
              <w:rPr>
                <w:sz w:val="23"/>
                <w:szCs w:val="23"/>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5"/>
              </w:rPr>
              <w:t>By: President and Chief Executive Officer</w:t>
            </w:r>
          </w:p>
        </w:tc>
        <w:tc>
          <w:tcPr>
            <w:tcW w:w="200" w:type="dxa"/>
            <w:vAlign w:val="bottom"/>
          </w:tcPr>
          <w:p>
            <w:pPr>
              <w:spacing w:after="0"/>
              <w:rPr>
                <w:sz w:val="23"/>
                <w:szCs w:val="23"/>
                <w:color w:val="auto"/>
              </w:rPr>
            </w:pPr>
          </w:p>
        </w:tc>
        <w:tc>
          <w:tcPr>
            <w:tcW w:w="3240" w:type="dxa"/>
            <w:vAlign w:val="bottom"/>
            <w:tcBorders>
              <w:top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 hereby agree to the terms and conditions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Edward Garmey, M.D.</w:t>
      </w:r>
    </w:p>
    <w:p>
      <w:pPr>
        <w:spacing w:after="0" w:line="206" w:lineRule="exact"/>
        <w:rPr>
          <w:sz w:val="20"/>
          <w:szCs w:val="20"/>
          <w:color w:val="auto"/>
        </w:rPr>
      </w:pPr>
    </w:p>
    <w:p>
      <w:pPr>
        <w:spacing w:after="0"/>
        <w:tabs>
          <w:tab w:leader="none" w:pos="4080" w:val="left"/>
        </w:tabs>
        <w:rPr>
          <w:sz w:val="20"/>
          <w:szCs w:val="20"/>
          <w:color w:val="auto"/>
        </w:rPr>
      </w:pPr>
      <w:r>
        <w:rPr>
          <w:rFonts w:ascii="Arial" w:cs="Arial" w:eastAsia="Arial" w:hAnsi="Arial"/>
          <w:sz w:val="22"/>
          <w:szCs w:val="22"/>
          <w:color w:val="auto"/>
        </w:rPr>
        <w:t>/s/ Edward Garmey</w:t>
      </w:r>
      <w:r>
        <w:rPr>
          <w:sz w:val="20"/>
          <w:szCs w:val="20"/>
          <w:color w:val="auto"/>
        </w:rPr>
        <w:tab/>
      </w:r>
      <w:r>
        <w:rPr>
          <w:rFonts w:ascii="Arial" w:cs="Arial" w:eastAsia="Arial" w:hAnsi="Arial"/>
          <w:sz w:val="19"/>
          <w:szCs w:val="19"/>
          <w:color w:val="auto"/>
        </w:rPr>
        <w:t>Date: September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6564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140"/>
          </w:cols>
          <w:pgMar w:left="240" w:top="361" w:right="5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CONSULTING AGREEMENT</w:t>
      </w:r>
    </w:p>
    <w:p>
      <w:pPr>
        <w:spacing w:after="0" w:line="200" w:lineRule="exact"/>
        <w:rPr>
          <w:sz w:val="20"/>
          <w:szCs w:val="20"/>
          <w:color w:val="auto"/>
        </w:rPr>
      </w:pPr>
    </w:p>
    <w:p>
      <w:pPr>
        <w:spacing w:after="0" w:line="23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b w:val="1"/>
          <w:bCs w:val="1"/>
          <w:color w:val="auto"/>
        </w:rPr>
        <w:t xml:space="preserve">THIS CONSULTING AGREEMENT </w:t>
      </w:r>
      <w:r>
        <w:rPr>
          <w:rFonts w:ascii="Arial" w:cs="Arial" w:eastAsia="Arial" w:hAnsi="Arial"/>
          <w:sz w:val="20"/>
          <w:szCs w:val="20"/>
          <w:color w:val="auto"/>
        </w:rPr>
        <w:t>(together with its attachment, the “Agreement”) made as of September 4, 2015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is between Cerulean Pharma Inc., a Delaware corporation having an address at 840 Memorial Drive, 5</w:t>
      </w:r>
      <w:r>
        <w:rPr>
          <w:rFonts w:ascii="Arial" w:cs="Arial" w:eastAsia="Arial" w:hAnsi="Arial"/>
          <w:sz w:val="16"/>
          <w:szCs w:val="16"/>
          <w:color w:val="auto"/>
        </w:rPr>
        <w:t>th</w:t>
      </w:r>
      <w:r>
        <w:rPr>
          <w:rFonts w:ascii="Arial" w:cs="Arial" w:eastAsia="Arial" w:hAnsi="Arial"/>
          <w:sz w:val="20"/>
          <w:szCs w:val="20"/>
          <w:color w:val="auto"/>
        </w:rPr>
        <w:t xml:space="preserve"> Floor, Cambridge, MA 02139 (“Cerulean”) and Edward Garmey, M.D., an individual having an address at 330 Main Street, Concord, MA 01742 (“Consultant”). Cerulean desires to have the benefit of Consultant’s knowledge and experience, and Consultant desires to provide Consulting Services (defined below) to Cerulean, all as provided in this Agreement.</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color w:val="auto"/>
        </w:rPr>
        <w:t>.</w:t>
      </w:r>
      <w:r>
        <w:rPr>
          <w:rFonts w:ascii="Arial" w:cs="Arial" w:eastAsia="Arial" w:hAnsi="Arial"/>
          <w:sz w:val="20"/>
          <w:szCs w:val="20"/>
          <w:b w:val="1"/>
          <w:bCs w:val="1"/>
          <w:color w:val="auto"/>
        </w:rPr>
        <w:t xml:space="preserve"> Consulting Services</w:t>
      </w:r>
      <w:r>
        <w:rPr>
          <w:rFonts w:ascii="Arial" w:cs="Arial" w:eastAsia="Arial" w:hAnsi="Arial"/>
          <w:sz w:val="20"/>
          <w:szCs w:val="20"/>
          <w:color w:val="auto"/>
        </w:rPr>
        <w:t>. Cerulean retains Consultant and Consultant will provide consulting services to Cerulean as it may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time reasonably request and as further specified in the business terms exhibit (“Business Terms Exhibit”) attached to this Agreement (the “Consulting Services”). Any changes to the Consulting Services and/or any compensation adjustments in respect of the Consulting Services must be agreed upon in writing between Consultant and Cerulean.</w:t>
      </w:r>
    </w:p>
    <w:p>
      <w:pPr>
        <w:spacing w:after="0" w:line="197" w:lineRule="exact"/>
        <w:rPr>
          <w:sz w:val="20"/>
          <w:szCs w:val="20"/>
          <w:color w:val="auto"/>
        </w:rPr>
      </w:pPr>
    </w:p>
    <w:p>
      <w:pPr>
        <w:jc w:val="both"/>
        <w:ind w:left="1740" w:hanging="863"/>
        <w:spacing w:after="0" w:line="246" w:lineRule="auto"/>
        <w:tabs>
          <w:tab w:leader="none" w:pos="17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Performance</w:t>
      </w:r>
      <w:r>
        <w:rPr>
          <w:rFonts w:ascii="Arial" w:cs="Arial" w:eastAsia="Arial" w:hAnsi="Arial"/>
          <w:sz w:val="20"/>
          <w:szCs w:val="20"/>
          <w:color w:val="auto"/>
        </w:rPr>
        <w:t>. Consultant will render the Consulting Services (a) at such reasonably convenient times and places as</w:t>
      </w:r>
      <w:r>
        <w:rPr>
          <w:rFonts w:ascii="Arial" w:cs="Arial" w:eastAsia="Arial" w:hAnsi="Arial"/>
          <w:sz w:val="20"/>
          <w:szCs w:val="20"/>
          <w:b w:val="1"/>
          <w:bCs w:val="1"/>
          <w:color w:val="auto"/>
        </w:rPr>
        <w:t xml:space="preserve"> </w:t>
      </w:r>
      <w:r>
        <w:rPr>
          <w:rFonts w:ascii="Arial" w:cs="Arial" w:eastAsia="Arial" w:hAnsi="Arial"/>
          <w:sz w:val="20"/>
          <w:szCs w:val="20"/>
          <w:color w:val="auto"/>
        </w:rPr>
        <w:t>Cerulean and Consultant may agree, (b) under the general guidance of Cerulean and (c) on a best efforts basis. In performing the Consulting Services, Consultant will comply with all business conduct, regulatory and health and safety guidelines or regulations established by Cerulean or any governmental authority with respect to the business of Cerulean.</w:t>
      </w:r>
    </w:p>
    <w:p>
      <w:pPr>
        <w:spacing w:after="0" w:line="199" w:lineRule="exact"/>
        <w:rPr>
          <w:sz w:val="20"/>
          <w:szCs w:val="20"/>
          <w:color w:val="auto"/>
        </w:rPr>
      </w:pPr>
    </w:p>
    <w:p>
      <w:pPr>
        <w:jc w:val="both"/>
        <w:ind w:left="1740" w:hanging="863"/>
        <w:spacing w:after="0" w:line="266" w:lineRule="auto"/>
        <w:tabs>
          <w:tab w:leader="none" w:pos="17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Obligations to Third Parties</w:t>
      </w:r>
      <w:r>
        <w:rPr>
          <w:rFonts w:ascii="Arial" w:cs="Arial" w:eastAsia="Arial" w:hAnsi="Arial"/>
          <w:sz w:val="19"/>
          <w:szCs w:val="19"/>
          <w:color w:val="auto"/>
        </w:rPr>
        <w:t>. Consultant will not use or disclose any confidential information of any other third party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any of the Consulting Services. Further, Consultant represents that the performance of the Consulting Services does not and will not breach any agreement which obligates Consultant to keep in confidence any confidential information of any third party or to refrain from competing with the business of any third party.</w:t>
      </w:r>
    </w:p>
    <w:p>
      <w:pPr>
        <w:spacing w:after="0" w:line="179" w:lineRule="exact"/>
        <w:rPr>
          <w:sz w:val="20"/>
          <w:szCs w:val="20"/>
          <w:color w:val="auto"/>
        </w:rPr>
      </w:pPr>
    </w:p>
    <w:p>
      <w:pPr>
        <w:jc w:val="both"/>
        <w:ind w:left="1740" w:hanging="863"/>
        <w:spacing w:after="0" w:line="243" w:lineRule="auto"/>
        <w:tabs>
          <w:tab w:leader="none" w:pos="17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 xml:space="preserve">No Conflicts. </w:t>
      </w:r>
      <w:r>
        <w:rPr>
          <w:rFonts w:ascii="Arial" w:cs="Arial" w:eastAsia="Arial" w:hAnsi="Arial"/>
          <w:sz w:val="20"/>
          <w:szCs w:val="20"/>
          <w:color w:val="auto"/>
        </w:rPr>
        <w:t>Consultant is under no contractual or other obligation or restriction which is inconsistent with Consultant’s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execution of this Agreement or the performance of the Consulting Services. During the term of this Agreement, Consultant will not enter into any agreement, either written or oral, in conflict with Consultant’s obligations under this Agreement. Consultant will arrange to provide the Consulting Services in such manner and at such times that the Consulting Services will not conflict with Consultant’s responsibilities under any other agreement, arrangement or understanding or pursuant to any employment relationship Consultant has at any time with any third party. Consultant represents and warrants to Cerulean that the Developments do not violate the intellectual property rights of any third party.</w:t>
      </w:r>
    </w:p>
    <w:p>
      <w:pPr>
        <w:spacing w:after="0" w:line="203" w:lineRule="exact"/>
        <w:rPr>
          <w:sz w:val="20"/>
          <w:szCs w:val="20"/>
          <w:color w:val="auto"/>
        </w:rPr>
      </w:pPr>
    </w:p>
    <w:p>
      <w:pPr>
        <w:jc w:val="both"/>
        <w:ind w:left="1740" w:hanging="863"/>
        <w:spacing w:after="0" w:line="246" w:lineRule="auto"/>
        <w:tabs>
          <w:tab w:leader="none" w:pos="17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 xml:space="preserve">Absence of Debarment. </w:t>
      </w:r>
      <w:r>
        <w:rPr>
          <w:rFonts w:ascii="Arial" w:cs="Arial" w:eastAsia="Arial" w:hAnsi="Arial"/>
          <w:sz w:val="20"/>
          <w:szCs w:val="20"/>
          <w:color w:val="auto"/>
        </w:rPr>
        <w:t>Consultant represents that Consultant has not been suspended, debarred or subject to temporary</w:t>
      </w:r>
      <w:r>
        <w:rPr>
          <w:rFonts w:ascii="Arial" w:cs="Arial" w:eastAsia="Arial" w:hAnsi="Arial"/>
          <w:sz w:val="20"/>
          <w:szCs w:val="20"/>
          <w:b w:val="1"/>
          <w:bCs w:val="1"/>
          <w:color w:val="auto"/>
        </w:rPr>
        <w:t xml:space="preserve"> </w:t>
      </w:r>
      <w:r>
        <w:rPr>
          <w:rFonts w:ascii="Arial" w:cs="Arial" w:eastAsia="Arial" w:hAnsi="Arial"/>
          <w:sz w:val="20"/>
          <w:szCs w:val="20"/>
          <w:color w:val="auto"/>
        </w:rPr>
        <w:t>denial of approval, and to the best of Consultant’s knowledge, is not under consideration to be suspended, debarred or subject to temporary denial of approval, by the Food and Drug Administration from working in or providing services, directly or indirectly, to any applicant for approval of a drug product or any pharmaceutical or biotechnology company under the Generic Drug Enforcement Act of 1992.</w:t>
      </w:r>
    </w:p>
    <w:p>
      <w:pPr>
        <w:spacing w:after="0" w:line="19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color w:val="auto"/>
        </w:rPr>
        <w:t>.</w:t>
      </w:r>
      <w:r>
        <w:rPr>
          <w:rFonts w:ascii="Arial" w:cs="Arial" w:eastAsia="Arial" w:hAnsi="Arial"/>
          <w:sz w:val="20"/>
          <w:szCs w:val="20"/>
          <w:b w:val="1"/>
          <w:bCs w:val="1"/>
          <w:color w:val="auto"/>
        </w:rPr>
        <w:t xml:space="preserve"> Compensation</w:t>
      </w:r>
      <w:r>
        <w:rPr>
          <w:rFonts w:ascii="Arial" w:cs="Arial" w:eastAsia="Arial" w:hAnsi="Arial"/>
          <w:sz w:val="20"/>
          <w:szCs w:val="20"/>
          <w:color w:val="auto"/>
        </w:rPr>
        <w:t>. In consideration for the Consulting Services rendered by Consultant to Cerulean, Cerulean will pay Consultant as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Business Terms Exhibit. All undisputed payments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jc w:val="both"/>
        <w:spacing w:after="0" w:line="269" w:lineRule="auto"/>
        <w:rPr>
          <w:sz w:val="20"/>
          <w:szCs w:val="20"/>
          <w:color w:val="auto"/>
        </w:rPr>
      </w:pPr>
      <w:r>
        <w:rPr>
          <w:rFonts w:ascii="Arial" w:cs="Arial" w:eastAsia="Arial" w:hAnsi="Arial"/>
          <w:sz w:val="19"/>
          <w:szCs w:val="19"/>
          <w:color w:val="auto"/>
        </w:rPr>
        <w:t>made by Cerulean within thirty (30) days from Cerulean’s receipt of Consultant’s invoice. Invoices will contain such detail as Cerulean may reasonably require and will be payable in U.S. Dollars. Cerulean will reimburse Consultant for reasonable business expenses incurred by Consultant in the performance of the Consulting Services; provided that they are pre-approved by Cerulean.</w:t>
      </w:r>
    </w:p>
    <w:p>
      <w:pPr>
        <w:spacing w:after="0" w:line="164" w:lineRule="exact"/>
        <w:rPr>
          <w:sz w:val="20"/>
          <w:szCs w:val="20"/>
          <w:color w:val="auto"/>
        </w:rPr>
      </w:pPr>
    </w:p>
    <w:p>
      <w:pPr>
        <w:ind w:left="800" w:hanging="792"/>
        <w:spacing w:after="0"/>
        <w:tabs>
          <w:tab w:leader="none" w:pos="80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Proprietary Rights.</w:t>
      </w:r>
    </w:p>
    <w:p>
      <w:pPr>
        <w:spacing w:after="0" w:line="229" w:lineRule="exact"/>
        <w:rPr>
          <w:sz w:val="20"/>
          <w:szCs w:val="20"/>
          <w:color w:val="auto"/>
        </w:rPr>
      </w:pPr>
    </w:p>
    <w:p>
      <w:pPr>
        <w:jc w:val="both"/>
        <w:ind w:left="1520" w:hanging="647"/>
        <w:spacing w:after="0" w:line="245" w:lineRule="auto"/>
        <w:tabs>
          <w:tab w:leader="none" w:pos="150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b w:val="1"/>
          <w:bCs w:val="1"/>
          <w:color w:val="auto"/>
        </w:rPr>
        <w:t>Developments</w:t>
      </w:r>
      <w:r>
        <w:rPr>
          <w:rFonts w:ascii="Arial" w:cs="Arial" w:eastAsia="Arial" w:hAnsi="Arial"/>
          <w:sz w:val="20"/>
          <w:szCs w:val="20"/>
          <w:color w:val="auto"/>
        </w:rPr>
        <w:t>. “Developments” means ideas, concepts, discoveries, inventions, developments, improvements, know-how,</w:t>
      </w:r>
      <w:r>
        <w:rPr>
          <w:rFonts w:ascii="Arial" w:cs="Arial" w:eastAsia="Arial" w:hAnsi="Arial"/>
          <w:sz w:val="20"/>
          <w:szCs w:val="20"/>
          <w:b w:val="1"/>
          <w:bCs w:val="1"/>
          <w:color w:val="auto"/>
        </w:rPr>
        <w:t xml:space="preserve"> </w:t>
      </w:r>
      <w:r>
        <w:rPr>
          <w:rFonts w:ascii="Arial" w:cs="Arial" w:eastAsia="Arial" w:hAnsi="Arial"/>
          <w:sz w:val="20"/>
          <w:szCs w:val="20"/>
          <w:color w:val="auto"/>
        </w:rPr>
        <w:t>trade secrets, designs, processes, methodologies, materials, products, formulations, data, documentation, reports, algorithms, notation systems, computer programs, works of authorship, databases, mask works, devices, equipment and any other creations (whether or not patentable or subject to copyright or trade secret protection) that are developed or conceived or reduced to practice by Consultant, either alone or jointly with others, and that result from or relate to the performance of the Consulting Services.</w:t>
      </w:r>
    </w:p>
    <w:p>
      <w:pPr>
        <w:spacing w:after="0" w:line="199" w:lineRule="exact"/>
        <w:rPr>
          <w:sz w:val="20"/>
          <w:szCs w:val="20"/>
          <w:color w:val="auto"/>
        </w:rPr>
      </w:pPr>
    </w:p>
    <w:p>
      <w:pPr>
        <w:jc w:val="both"/>
        <w:ind w:left="1520" w:hanging="647"/>
        <w:spacing w:after="0" w:line="256" w:lineRule="auto"/>
        <w:tabs>
          <w:tab w:leader="none" w:pos="150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9"/>
          <w:szCs w:val="19"/>
          <w:b w:val="1"/>
          <w:bCs w:val="1"/>
          <w:color w:val="auto"/>
        </w:rPr>
        <w:t xml:space="preserve">Ownership. </w:t>
      </w:r>
      <w:r>
        <w:rPr>
          <w:rFonts w:ascii="Arial" w:cs="Arial" w:eastAsia="Arial" w:hAnsi="Arial"/>
          <w:sz w:val="19"/>
          <w:szCs w:val="19"/>
          <w:color w:val="auto"/>
        </w:rPr>
        <w:t>All Developments will be the exclusive property of Cerulean. Consultant hereby assigns and, to the extent any</w:t>
      </w:r>
      <w:r>
        <w:rPr>
          <w:rFonts w:ascii="Arial" w:cs="Arial" w:eastAsia="Arial" w:hAnsi="Arial"/>
          <w:sz w:val="19"/>
          <w:szCs w:val="19"/>
          <w:b w:val="1"/>
          <w:bCs w:val="1"/>
          <w:color w:val="auto"/>
        </w:rPr>
        <w:t xml:space="preserve"> </w:t>
      </w:r>
      <w:r>
        <w:rPr>
          <w:rFonts w:ascii="Arial" w:cs="Arial" w:eastAsia="Arial" w:hAnsi="Arial"/>
          <w:sz w:val="19"/>
          <w:szCs w:val="19"/>
          <w:color w:val="auto"/>
        </w:rPr>
        <w:t>such assignment cannot be made at present, hereby agrees to assign and assigns to Cerulean, without further compensation, all right, title and interest in and to all Developments and any and all related patents, patent applications, copyrights, copyright applications, trademarks, trade names, trade secrets and other proprietary rights in the United States and throughout the world. During and after the term of this Agreement, Consultant will cooperate fully in obtaining patent and other proprietary protection for the Developments, all in the name of Cerulean and at Cerulean’s cost and expense, and, without limitation, will execute and deliver all requested applications, assignments and other documents, and take such other measures as Cerulean may reasonably request, in order to perfect and enforce Cerulean’s rights in the Developments. Consultant appoints Cerulean its attorney to execute and deliver any such documents on Consultant’s behalf in the event Consultant fails to do so.</w:t>
      </w:r>
    </w:p>
    <w:p>
      <w:pPr>
        <w:spacing w:after="0" w:line="195" w:lineRule="exact"/>
        <w:rPr>
          <w:sz w:val="20"/>
          <w:szCs w:val="20"/>
          <w:color w:val="auto"/>
        </w:rPr>
      </w:pPr>
    </w:p>
    <w:p>
      <w:pPr>
        <w:jc w:val="both"/>
        <w:ind w:left="1520" w:hanging="647"/>
        <w:spacing w:after="0" w:line="253" w:lineRule="auto"/>
        <w:tabs>
          <w:tab w:leader="none" w:pos="150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20"/>
          <w:szCs w:val="20"/>
          <w:b w:val="1"/>
          <w:bCs w:val="1"/>
          <w:color w:val="auto"/>
        </w:rPr>
        <w:t xml:space="preserve">Records and Reporting. </w:t>
      </w:r>
      <w:r>
        <w:rPr>
          <w:rFonts w:ascii="Arial" w:cs="Arial" w:eastAsia="Arial" w:hAnsi="Arial"/>
          <w:sz w:val="20"/>
          <w:szCs w:val="20"/>
          <w:color w:val="auto"/>
        </w:rPr>
        <w:t>Consultant shall make and maintain adequate and current written records of all</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Developments. Such records shall be furnished to Cerulean as and when requested by Cerulean and will be the exclusive property of Cerulean. Consultant will promptly disclose all Developments to Cerulean.</w:t>
      </w:r>
    </w:p>
    <w:p>
      <w:pPr>
        <w:spacing w:after="0" w:line="191" w:lineRule="exact"/>
        <w:rPr>
          <w:sz w:val="20"/>
          <w:szCs w:val="20"/>
          <w:color w:val="auto"/>
        </w:rPr>
      </w:pPr>
    </w:p>
    <w:p>
      <w:pPr>
        <w:jc w:val="both"/>
        <w:ind w:left="1520" w:hanging="647"/>
        <w:spacing w:after="0" w:line="253" w:lineRule="auto"/>
        <w:tabs>
          <w:tab w:leader="none" w:pos="150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20"/>
          <w:szCs w:val="20"/>
          <w:b w:val="1"/>
          <w:bCs w:val="1"/>
          <w:color w:val="auto"/>
        </w:rPr>
        <w:t xml:space="preserve">Work at Third Party Facilities. </w:t>
      </w:r>
      <w:r>
        <w:rPr>
          <w:rFonts w:ascii="Arial" w:cs="Arial" w:eastAsia="Arial" w:hAnsi="Arial"/>
          <w:sz w:val="20"/>
          <w:szCs w:val="20"/>
          <w:color w:val="auto"/>
        </w:rPr>
        <w:t>Consultant will not make any use of any funds, personnel, equipment, facilities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resources of any third party in performing the Consulting Services nor to take any other action that would result in a third party owning or having a right in any Developments.</w:t>
      </w:r>
    </w:p>
    <w:p>
      <w:pPr>
        <w:spacing w:after="0" w:line="191" w:lineRule="exact"/>
        <w:rPr>
          <w:sz w:val="20"/>
          <w:szCs w:val="20"/>
          <w:color w:val="auto"/>
        </w:rPr>
      </w:pPr>
    </w:p>
    <w:p>
      <w:pPr>
        <w:ind w:left="800" w:hanging="792"/>
        <w:spacing w:after="0"/>
        <w:tabs>
          <w:tab w:leader="none" w:pos="80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and Materials</w:t>
      </w:r>
      <w:r>
        <w:rPr>
          <w:rFonts w:ascii="Arial" w:cs="Arial" w:eastAsia="Arial" w:hAnsi="Arial"/>
          <w:sz w:val="20"/>
          <w:szCs w:val="20"/>
          <w:color w:val="auto"/>
        </w:rPr>
        <w:t>.</w:t>
      </w:r>
    </w:p>
    <w:p>
      <w:pPr>
        <w:spacing w:after="0" w:line="229" w:lineRule="exact"/>
        <w:rPr>
          <w:sz w:val="20"/>
          <w:szCs w:val="20"/>
          <w:color w:val="auto"/>
        </w:rPr>
      </w:pPr>
    </w:p>
    <w:p>
      <w:pPr>
        <w:jc w:val="both"/>
        <w:ind w:left="1520" w:hanging="647"/>
        <w:spacing w:after="0" w:line="259" w:lineRule="auto"/>
        <w:tabs>
          <w:tab w:leader="none" w:pos="150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 xml:space="preserve">Definitions. </w:t>
      </w:r>
      <w:r>
        <w:rPr>
          <w:rFonts w:ascii="Arial" w:cs="Arial" w:eastAsia="Arial" w:hAnsi="Arial"/>
          <w:sz w:val="19"/>
          <w:szCs w:val="19"/>
          <w:color w:val="auto"/>
        </w:rPr>
        <w:t>“Confidential Information” means any and all non-public information of Cerulean, including information that</w:t>
      </w:r>
      <w:r>
        <w:rPr>
          <w:rFonts w:ascii="Arial" w:cs="Arial" w:eastAsia="Arial" w:hAnsi="Arial"/>
          <w:sz w:val="19"/>
          <w:szCs w:val="19"/>
          <w:b w:val="1"/>
          <w:bCs w:val="1"/>
          <w:color w:val="auto"/>
        </w:rPr>
        <w:t xml:space="preserve"> </w:t>
      </w:r>
      <w:r>
        <w:rPr>
          <w:rFonts w:ascii="Arial" w:cs="Arial" w:eastAsia="Arial" w:hAnsi="Arial"/>
          <w:sz w:val="19"/>
          <w:szCs w:val="19"/>
          <w:color w:val="auto"/>
        </w:rPr>
        <w:t>is developed by Consultant in the performance of the Consulting Services as well as information of third parties that Cerulean has an obligation to maintain, which collectively pertain to Cerulean’s technologies, products, intellectual property, finances, operations and/or business, and whether or not labeled as being confidential information of Cerulean. “Materials” means any biological, chemical or similar materials of Cerulean which are furnished by Cerulean to Consultant in order to perform the Consulting Services. If the provision of Materials is contemplated under this Agreement, the Materials to be provided are so identified in the Business Terms Exhibit.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0" w:name="page71"/>
    <w:bookmarkEnd w:id="70"/>
    <w:p>
      <w:pPr>
        <w:ind w:left="880"/>
        <w:spacing w:after="0"/>
        <w:tabs>
          <w:tab w:leader="none" w:pos="150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b w:val="1"/>
          <w:bCs w:val="1"/>
          <w:color w:val="auto"/>
        </w:rPr>
        <w:t>Obligations of Confidentiality</w:t>
      </w:r>
      <w:r>
        <w:rPr>
          <w:rFonts w:ascii="Arial" w:cs="Arial" w:eastAsia="Arial" w:hAnsi="Arial"/>
          <w:sz w:val="18"/>
          <w:szCs w:val="18"/>
          <w:color w:val="auto"/>
        </w:rPr>
        <w:t>. During the term of this Agreement and thereafter, Consultant will not directly or indirectly</w:t>
      </w:r>
    </w:p>
    <w:p>
      <w:pPr>
        <w:spacing w:after="0" w:line="22" w:lineRule="exact"/>
        <w:rPr>
          <w:sz w:val="20"/>
          <w:szCs w:val="20"/>
          <w:color w:val="auto"/>
        </w:rPr>
      </w:pPr>
    </w:p>
    <w:p>
      <w:pPr>
        <w:jc w:val="both"/>
        <w:ind w:left="1520" w:firstLine="1"/>
        <w:spacing w:after="0" w:line="255" w:lineRule="auto"/>
        <w:tabs>
          <w:tab w:leader="none" w:pos="18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publish, disseminate or otherwise disclose, (b) use for Consultant’s own benefit or for the benefit of a third party or (c) deliver or make available to any third party, any Confidential Information or Materials, other than in furtherance of the purposes of this Agreement and only then with the prior written consent of Cerulean. Consultant will exercise all reasonable precautions to physically protect the integrity and confidentiality of the Confidential Information and Materials and will not remove any Confidential Information or Materials from Cerulean’s premises, other than in furtherance of the purposes of this Agreement and then only with Cerulean’s prior written consent.</w:t>
      </w:r>
    </w:p>
    <w:p>
      <w:pPr>
        <w:spacing w:after="0" w:line="192" w:lineRule="exact"/>
        <w:rPr>
          <w:sz w:val="20"/>
          <w:szCs w:val="20"/>
          <w:color w:val="auto"/>
        </w:rPr>
      </w:pPr>
    </w:p>
    <w:p>
      <w:pPr>
        <w:ind w:left="880"/>
        <w:spacing w:after="0"/>
        <w:tabs>
          <w:tab w:leader="none" w:pos="1500" w:val="left"/>
          <w:tab w:leader="none" w:pos="276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b w:val="1"/>
          <w:bCs w:val="1"/>
          <w:color w:val="auto"/>
        </w:rPr>
        <w:t>Exceptions.</w:t>
      </w:r>
      <w:r>
        <w:rPr>
          <w:sz w:val="20"/>
          <w:szCs w:val="20"/>
          <w:color w:val="auto"/>
        </w:rPr>
        <w:tab/>
      </w:r>
      <w:r>
        <w:rPr>
          <w:rFonts w:ascii="Arial" w:cs="Arial" w:eastAsia="Arial" w:hAnsi="Arial"/>
          <w:sz w:val="19"/>
          <w:szCs w:val="19"/>
          <w:color w:val="auto"/>
        </w:rPr>
        <w:t>Consultant will have no obligations of confidentiality and non-use with respect to any portion of the</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Confidential Information which:</w:t>
      </w:r>
    </w:p>
    <w:p>
      <w:pPr>
        <w:spacing w:after="0" w:line="213" w:lineRule="exact"/>
        <w:rPr>
          <w:sz w:val="20"/>
          <w:szCs w:val="20"/>
          <w:color w:val="auto"/>
        </w:rPr>
      </w:pPr>
    </w:p>
    <w:p>
      <w:pPr>
        <w:ind w:left="2180" w:right="20" w:hanging="646"/>
        <w:spacing w:after="0" w:line="260" w:lineRule="auto"/>
        <w:tabs>
          <w:tab w:leader="none" w:pos="21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is or later becomes generally available to the public by use, publication or the like, through no act or omission of Consultant;</w:t>
      </w:r>
    </w:p>
    <w:p>
      <w:pPr>
        <w:spacing w:after="0" w:line="190" w:lineRule="exact"/>
        <w:rPr>
          <w:rFonts w:ascii="Arial" w:cs="Arial" w:eastAsia="Arial" w:hAnsi="Arial"/>
          <w:sz w:val="20"/>
          <w:szCs w:val="20"/>
          <w:color w:val="auto"/>
        </w:rPr>
      </w:pPr>
    </w:p>
    <w:p>
      <w:pPr>
        <w:ind w:left="2180" w:hanging="646"/>
        <w:spacing w:after="0" w:line="260" w:lineRule="auto"/>
        <w:tabs>
          <w:tab w:leader="none" w:pos="21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is obtained from a third party without an obligation of confidentiality and such third party had the legal right to disclose the same to Consultant; or</w:t>
      </w:r>
    </w:p>
    <w:p>
      <w:pPr>
        <w:spacing w:after="0" w:line="190" w:lineRule="exact"/>
        <w:rPr>
          <w:rFonts w:ascii="Arial" w:cs="Arial" w:eastAsia="Arial" w:hAnsi="Arial"/>
          <w:sz w:val="20"/>
          <w:szCs w:val="20"/>
          <w:color w:val="auto"/>
        </w:rPr>
      </w:pPr>
    </w:p>
    <w:p>
      <w:pPr>
        <w:ind w:left="2180" w:hanging="646"/>
        <w:spacing w:after="0"/>
        <w:tabs>
          <w:tab w:leader="none" w:pos="2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Consultant already possesses, as evidenced by its written records that predate the receipt thereof from Cerulean.</w:t>
      </w:r>
    </w:p>
    <w:p>
      <w:pPr>
        <w:spacing w:after="0" w:line="252" w:lineRule="exact"/>
        <w:rPr>
          <w:sz w:val="20"/>
          <w:szCs w:val="20"/>
          <w:color w:val="auto"/>
        </w:rPr>
      </w:pPr>
    </w:p>
    <w:p>
      <w:pPr>
        <w:jc w:val="both"/>
        <w:ind w:left="1520"/>
        <w:spacing w:after="0" w:line="246" w:lineRule="auto"/>
        <w:rPr>
          <w:sz w:val="20"/>
          <w:szCs w:val="20"/>
          <w:color w:val="auto"/>
        </w:rPr>
      </w:pPr>
      <w:r>
        <w:rPr>
          <w:rFonts w:ascii="Arial" w:cs="Arial" w:eastAsia="Arial" w:hAnsi="Arial"/>
          <w:sz w:val="20"/>
          <w:szCs w:val="20"/>
          <w:color w:val="auto"/>
        </w:rPr>
        <w:t>In the event that Consultant is required (by oral questions, interrogatories, request for information or documents, subpoena, civil investigative demand or similar process) to disclose any Confidential Information, Consultant will give Cerulean prompt notice thereof so that Cerulean may seek an appropriate protective order. Consultant will reasonably cooperate with Cerulean in its efforts to seek such a protective order.</w:t>
      </w:r>
    </w:p>
    <w:p>
      <w:pPr>
        <w:spacing w:after="0" w:line="77" w:lineRule="exact"/>
        <w:rPr>
          <w:sz w:val="20"/>
          <w:szCs w:val="20"/>
          <w:color w:val="auto"/>
        </w:rPr>
      </w:pPr>
    </w:p>
    <w:p>
      <w:pPr>
        <w:jc w:val="both"/>
        <w:ind w:left="1520" w:hanging="647"/>
        <w:spacing w:after="0" w:line="266" w:lineRule="auto"/>
        <w:tabs>
          <w:tab w:leader="none" w:pos="150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9"/>
          <w:szCs w:val="19"/>
          <w:b w:val="1"/>
          <w:bCs w:val="1"/>
          <w:color w:val="auto"/>
        </w:rPr>
        <w:t>Remedies</w:t>
      </w:r>
      <w:r>
        <w:rPr>
          <w:rFonts w:ascii="Arial" w:cs="Arial" w:eastAsia="Arial" w:hAnsi="Arial"/>
          <w:sz w:val="19"/>
          <w:szCs w:val="19"/>
          <w:color w:val="auto"/>
        </w:rPr>
        <w:t>. Consultant acknowledges that Cerulean may be irreparably injured by a breach of this Section 4; that money</w:t>
      </w:r>
      <w:r>
        <w:rPr>
          <w:rFonts w:ascii="Arial" w:cs="Arial" w:eastAsia="Arial" w:hAnsi="Arial"/>
          <w:sz w:val="19"/>
          <w:szCs w:val="19"/>
          <w:b w:val="1"/>
          <w:bCs w:val="1"/>
          <w:color w:val="auto"/>
        </w:rPr>
        <w:t xml:space="preserve"> </w:t>
      </w:r>
      <w:r>
        <w:rPr>
          <w:rFonts w:ascii="Arial" w:cs="Arial" w:eastAsia="Arial" w:hAnsi="Arial"/>
          <w:sz w:val="19"/>
          <w:szCs w:val="19"/>
          <w:color w:val="auto"/>
        </w:rPr>
        <w:t>damages would not be an adequate remedy for any such breach; and that Cerulean will be entitled to seek equitable relief, including injunctive relief and specific performance, without having to post a bond, as a remedy for any such breach, and such remedy will not be Cerulean’s exclusive remedy for any breach of this Section 4.</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5.Term and Termination</w:t>
      </w:r>
      <w:r>
        <w:rPr>
          <w:rFonts w:ascii="Arial" w:cs="Arial" w:eastAsia="Arial" w:hAnsi="Arial"/>
          <w:sz w:val="20"/>
          <w:szCs w:val="20"/>
          <w:color w:val="auto"/>
        </w:rPr>
        <w:t>.</w:t>
      </w:r>
    </w:p>
    <w:p>
      <w:pPr>
        <w:spacing w:after="0" w:line="229" w:lineRule="exact"/>
        <w:rPr>
          <w:sz w:val="20"/>
          <w:szCs w:val="20"/>
          <w:color w:val="auto"/>
        </w:rPr>
      </w:pPr>
    </w:p>
    <w:p>
      <w:pPr>
        <w:jc w:val="both"/>
        <w:ind w:left="1520" w:hanging="647"/>
        <w:spacing w:after="0" w:line="253" w:lineRule="auto"/>
        <w:tabs>
          <w:tab w:leader="none" w:pos="150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20"/>
          <w:szCs w:val="20"/>
          <w:b w:val="1"/>
          <w:bCs w:val="1"/>
          <w:color w:val="auto"/>
        </w:rPr>
        <w:t>Term</w:t>
      </w:r>
      <w:r>
        <w:rPr>
          <w:rFonts w:ascii="Arial" w:cs="Arial" w:eastAsia="Arial" w:hAnsi="Arial"/>
          <w:sz w:val="20"/>
          <w:szCs w:val="20"/>
          <w:color w:val="auto"/>
        </w:rPr>
        <w:t>. This Agreement will commence on the Effective Date and continue for the term specified on the Business Terms</w:t>
      </w:r>
      <w:r>
        <w:rPr>
          <w:rFonts w:ascii="Arial" w:cs="Arial" w:eastAsia="Arial" w:hAnsi="Arial"/>
          <w:sz w:val="20"/>
          <w:szCs w:val="20"/>
          <w:b w:val="1"/>
          <w:bCs w:val="1"/>
          <w:color w:val="auto"/>
        </w:rPr>
        <w:t xml:space="preserve"> </w:t>
      </w:r>
      <w:r>
        <w:rPr>
          <w:rFonts w:ascii="Arial" w:cs="Arial" w:eastAsia="Arial" w:hAnsi="Arial"/>
          <w:sz w:val="20"/>
          <w:szCs w:val="20"/>
          <w:color w:val="auto"/>
        </w:rPr>
        <w:t>Exhibit, unless sooner terminated pursuant to the express terms of this Section 5 or extended by mutual written agreement of the parties.</w:t>
      </w:r>
    </w:p>
    <w:p>
      <w:pPr>
        <w:spacing w:after="0" w:line="191"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Termination by Either Party</w:t>
      </w:r>
      <w:r>
        <w:rPr>
          <w:rFonts w:ascii="Arial" w:cs="Arial" w:eastAsia="Arial" w:hAnsi="Arial"/>
          <w:sz w:val="18"/>
          <w:szCs w:val="18"/>
          <w:color w:val="auto"/>
        </w:rPr>
        <w:t>. Either party may terminate this Agreement at any time without Cause (as defined in Section</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5.3) upon not less than thirty (30) days prior written notice to the other party.</w:t>
      </w:r>
    </w:p>
    <w:p>
      <w:pPr>
        <w:spacing w:after="0" w:line="207" w:lineRule="exact"/>
        <w:rPr>
          <w:sz w:val="20"/>
          <w:szCs w:val="20"/>
          <w:color w:val="auto"/>
        </w:rPr>
      </w:pPr>
    </w:p>
    <w:p>
      <w:pPr>
        <w:jc w:val="both"/>
        <w:ind w:left="1520" w:hanging="647"/>
        <w:spacing w:after="0" w:line="266" w:lineRule="auto"/>
        <w:tabs>
          <w:tab w:leader="none" w:pos="150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 xml:space="preserve">Termination for Breach. </w:t>
      </w:r>
      <w:r>
        <w:rPr>
          <w:rFonts w:ascii="Arial" w:cs="Arial" w:eastAsia="Arial" w:hAnsi="Arial"/>
          <w:sz w:val="19"/>
          <w:szCs w:val="19"/>
          <w:color w:val="auto"/>
        </w:rPr>
        <w:t>Cerulean may immediately terminate this Agreement at any time upon written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 in the event of a breach of this Agreement by Consultant which cannot be cured (e.g., a breach of Section 4) or in the event that Consultant is accused of a crime or unethical conduct. In addition, Cerulean may terminate this Agreement for Cause at any time upon three (3) days prior written notice to Consultant. “Cause” shall mean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71" w:name="page72"/>
    <w:bookmarkEnd w:id="71"/>
    <w:p>
      <w:pPr>
        <w:jc w:val="both"/>
        <w:ind w:left="1520" w:firstLine="1"/>
        <w:spacing w:after="0" w:line="244" w:lineRule="auto"/>
        <w:tabs>
          <w:tab w:leader="none" w:pos="1795"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breach by Consultant of this Agreement where such breach can be cured and is not remedied within such three (3) day notice period, (b) the Consultant’s inability to perform the Consulting Services due to mental or physical illness as determined by a physician selected by Cerulean and acceptable to Consultant or (c) a determination by Cerulean in its sole discretion that Consultant’s performance of the Consulting Services is unsatisfactory, which unsatisfactory performance is not remedied within such three (3) day period.</w:t>
      </w:r>
    </w:p>
    <w:p>
      <w:pPr>
        <w:spacing w:after="0" w:line="202" w:lineRule="exact"/>
        <w:rPr>
          <w:sz w:val="20"/>
          <w:szCs w:val="20"/>
          <w:color w:val="auto"/>
        </w:rPr>
      </w:pPr>
    </w:p>
    <w:p>
      <w:pPr>
        <w:jc w:val="both"/>
        <w:ind w:left="1520" w:hanging="647"/>
        <w:spacing w:after="0" w:line="256" w:lineRule="auto"/>
        <w:tabs>
          <w:tab w:leader="none" w:pos="150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 xml:space="preserve">Effect of Expiration/Termination. </w:t>
      </w:r>
      <w:r>
        <w:rPr>
          <w:rFonts w:ascii="Arial" w:cs="Arial" w:eastAsia="Arial" w:hAnsi="Arial"/>
          <w:sz w:val="19"/>
          <w:szCs w:val="19"/>
          <w:color w:val="auto"/>
        </w:rPr>
        <w:t>Upon any expiration or termination of this Agreement, for any reason, neither</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 nor Cerulean will have any further obligations under this Agreement, except that (a) Consultant will terminate all Consulting Services in progress in an orderly manner and as otherwise requested by Cerulean, (b) Cerulean will pay Consultant any monies due and owing Consultant for Consulting Services actually performed up to the time of expiration or termination of this Agreement, including any orderly completion of the Consulting Services requested by Cerulean, (c) Consultant will immediately return to Cerulean all Confidential Information provided to Consultant under this Agreement except for one (1) copy which Consultant may retain solely for legal archival purposes, (d) Consultant will immediately return to Cerulean all unused Materials provided to Consultant under this Agreement, (e) Consultant will immediately deliver to Cerulean all Developments and records of Developments, and (f) the terms and conditions of Sections 1.3, 3, 4, 5.4 and 6 will survive expiration or termination of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Miscellaneous.</w:t>
      </w:r>
    </w:p>
    <w:p>
      <w:pPr>
        <w:spacing w:after="0" w:line="229" w:lineRule="exact"/>
        <w:rPr>
          <w:sz w:val="20"/>
          <w:szCs w:val="20"/>
          <w:color w:val="auto"/>
        </w:rPr>
      </w:pPr>
    </w:p>
    <w:p>
      <w:pPr>
        <w:jc w:val="both"/>
        <w:ind w:left="1520" w:hanging="647"/>
        <w:spacing w:after="0" w:line="244" w:lineRule="auto"/>
        <w:tabs>
          <w:tab w:leader="none" w:pos="150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20"/>
          <w:szCs w:val="20"/>
          <w:b w:val="1"/>
          <w:bCs w:val="1"/>
          <w:color w:val="auto"/>
        </w:rPr>
        <w:t>Independent Contractor</w:t>
      </w:r>
      <w:r>
        <w:rPr>
          <w:rFonts w:ascii="Arial" w:cs="Arial" w:eastAsia="Arial" w:hAnsi="Arial"/>
          <w:sz w:val="20"/>
          <w:szCs w:val="20"/>
          <w:color w:val="auto"/>
        </w:rPr>
        <w:t>. All Consulting Services will be rendered by Consultant as an independent contractor and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does not create an employer-employee, principal-agent, joint venture or partnership relationship between Consultant and Cerulean. Consultant will have no right to receive any employee benefits, such as health and accident insurance, sick leave or vacation which are accorded to employees of Cerulean. Consultant will not in any way represent Consultant to be an employee, partner, joint venturer or agent of Cerulean. Consultant shall be solely responsible for all state and federal income taxes, unemployment insurance and social security taxes, and for maintaining adequate workers’ compensation insurance coverage.</w:t>
      </w:r>
    </w:p>
    <w:p>
      <w:pPr>
        <w:spacing w:after="0" w:line="187" w:lineRule="exact"/>
        <w:rPr>
          <w:sz w:val="20"/>
          <w:szCs w:val="20"/>
          <w:color w:val="auto"/>
        </w:rPr>
      </w:pPr>
    </w:p>
    <w:p>
      <w:pPr>
        <w:jc w:val="both"/>
        <w:ind w:left="1520" w:hanging="647"/>
        <w:spacing w:after="0" w:line="248" w:lineRule="auto"/>
        <w:tabs>
          <w:tab w:leader="none" w:pos="150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20"/>
          <w:szCs w:val="20"/>
          <w:b w:val="1"/>
          <w:bCs w:val="1"/>
          <w:color w:val="auto"/>
        </w:rPr>
        <w:t xml:space="preserve">Taxes. </w:t>
      </w:r>
      <w:r>
        <w:rPr>
          <w:rFonts w:ascii="Arial" w:cs="Arial" w:eastAsia="Arial" w:hAnsi="Arial"/>
          <w:sz w:val="20"/>
          <w:szCs w:val="20"/>
          <w:color w:val="auto"/>
        </w:rPr>
        <w:t>Consultant will pay all required taxes on Consultant's income from Cerulean under this Agreement. Consultant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Cerulean with all required tax information, including without limitation, an IRS Form W-9 “Request for Taxpayer Identification Number and Certification.” Failure to provide such information may result in withholding of payments to Consultant.</w:t>
      </w:r>
    </w:p>
    <w:p>
      <w:pPr>
        <w:spacing w:after="0" w:line="184" w:lineRule="exact"/>
        <w:rPr>
          <w:sz w:val="20"/>
          <w:szCs w:val="20"/>
          <w:color w:val="auto"/>
        </w:rPr>
      </w:pPr>
    </w:p>
    <w:p>
      <w:pPr>
        <w:jc w:val="both"/>
        <w:ind w:left="1520" w:hanging="647"/>
        <w:spacing w:after="0" w:line="273" w:lineRule="auto"/>
        <w:tabs>
          <w:tab w:leader="none" w:pos="150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Use of Name</w:t>
      </w:r>
      <w:r>
        <w:rPr>
          <w:rFonts w:ascii="Arial" w:cs="Arial" w:eastAsia="Arial" w:hAnsi="Arial"/>
          <w:sz w:val="19"/>
          <w:szCs w:val="19"/>
          <w:color w:val="auto"/>
        </w:rPr>
        <w:t>. Consultant consents to the use by Cerulean of Consultant’s name in written materials and oral 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to current or prospective business partners, investors or other third parties, provided that such materials or presentations accurately describe the nature of Consultant’s relationship with or contribution to Cerulean.</w:t>
      </w:r>
    </w:p>
    <w:p>
      <w:pPr>
        <w:spacing w:after="0" w:line="159" w:lineRule="exact"/>
        <w:rPr>
          <w:sz w:val="20"/>
          <w:szCs w:val="20"/>
          <w:color w:val="auto"/>
        </w:rPr>
      </w:pPr>
    </w:p>
    <w:p>
      <w:pPr>
        <w:jc w:val="both"/>
        <w:ind w:left="1520" w:hanging="647"/>
        <w:spacing w:after="0" w:line="245" w:lineRule="auto"/>
        <w:tabs>
          <w:tab w:leader="none" w:pos="150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20"/>
          <w:szCs w:val="20"/>
          <w:b w:val="1"/>
          <w:bCs w:val="1"/>
          <w:color w:val="auto"/>
        </w:rPr>
        <w:t>Assignability and Binding Effect</w:t>
      </w:r>
      <w:r>
        <w:rPr>
          <w:rFonts w:ascii="Arial" w:cs="Arial" w:eastAsia="Arial" w:hAnsi="Arial"/>
          <w:sz w:val="20"/>
          <w:szCs w:val="20"/>
          <w:color w:val="auto"/>
        </w:rPr>
        <w:t>. The Consulting Services to be rendered by Consultant are personal in</w:t>
      </w:r>
      <w:r>
        <w:rPr>
          <w:rFonts w:ascii="Arial" w:cs="Arial" w:eastAsia="Arial" w:hAnsi="Arial"/>
          <w:sz w:val="20"/>
          <w:szCs w:val="20"/>
          <w:b w:val="1"/>
          <w:bCs w:val="1"/>
          <w:color w:val="auto"/>
        </w:rPr>
        <w:t xml:space="preserve"> </w:t>
      </w:r>
      <w:r>
        <w:rPr>
          <w:rFonts w:ascii="Arial" w:cs="Arial" w:eastAsia="Arial" w:hAnsi="Arial"/>
          <w:sz w:val="20"/>
          <w:szCs w:val="20"/>
          <w:color w:val="auto"/>
        </w:rPr>
        <w:t>nature. Consultant may not assign or transfer this Agreement or any of Consultant’s rights or obligations under this Agreement. Cerulean shall have the right to assign this Agreement to an affiliated company or in connection with the merger, consolidation, sale or transfer of all or substantially all of the business to which this Agreement relates. This Agreement will be binding upon and inure to the benefit of the parties and their respective legal representatives, heirs, successors and permitted assigns.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2" w:name="page73"/>
    <w:bookmarkEnd w:id="72"/>
    <w:p>
      <w:pPr>
        <w:jc w:val="both"/>
        <w:ind w:left="640" w:hanging="647"/>
        <w:spacing w:after="0" w:line="285" w:lineRule="auto"/>
        <w:tabs>
          <w:tab w:leader="none" w:pos="6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notices from one party to the other will be in writing and will be given by addressing the same to the other at</w:t>
      </w:r>
      <w:r>
        <w:rPr>
          <w:rFonts w:ascii="Arial" w:cs="Arial" w:eastAsia="Arial" w:hAnsi="Arial"/>
          <w:sz w:val="18"/>
          <w:szCs w:val="18"/>
          <w:b w:val="1"/>
          <w:bCs w:val="1"/>
          <w:color w:val="auto"/>
        </w:rPr>
        <w:t xml:space="preserve"> </w:t>
      </w:r>
      <w:r>
        <w:rPr>
          <w:rFonts w:ascii="Arial" w:cs="Arial" w:eastAsia="Arial" w:hAnsi="Arial"/>
          <w:sz w:val="18"/>
          <w:szCs w:val="18"/>
          <w:color w:val="auto"/>
        </w:rPr>
        <w:t>the address set forth in this Agreement. Notices to Cerulean will be marked “General Counsel”. Notice will be deemed to have been duly given when (a) deposited in the United States mail with proper postage for first class registered or certified mail, return receipt requested, (b) sent by any reputable commercial courier, or (c) delivered personally.</w:t>
      </w:r>
    </w:p>
    <w:p>
      <w:pPr>
        <w:spacing w:after="0" w:line="151"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20"/>
          <w:szCs w:val="20"/>
          <w:b w:val="1"/>
          <w:bCs w:val="1"/>
          <w:color w:val="auto"/>
        </w:rPr>
        <w:t xml:space="preserve">Headings. </w:t>
      </w:r>
      <w:r>
        <w:rPr>
          <w:rFonts w:ascii="Arial" w:cs="Arial" w:eastAsia="Arial" w:hAnsi="Arial"/>
          <w:sz w:val="20"/>
          <w:szCs w:val="20"/>
          <w:color w:val="auto"/>
        </w:rPr>
        <w:t>The section headings are included solely for convenience of reference and will not control or affect the meaning</w:t>
      </w:r>
      <w:r>
        <w:rPr>
          <w:rFonts w:ascii="Arial" w:cs="Arial" w:eastAsia="Arial" w:hAnsi="Arial"/>
          <w:sz w:val="20"/>
          <w:szCs w:val="20"/>
          <w:b w:val="1"/>
          <w:bCs w:val="1"/>
          <w:color w:val="auto"/>
        </w:rPr>
        <w:t xml:space="preserve"> </w:t>
      </w:r>
      <w:r>
        <w:rPr>
          <w:rFonts w:ascii="Arial" w:cs="Arial" w:eastAsia="Arial" w:hAnsi="Arial"/>
          <w:sz w:val="20"/>
          <w:szCs w:val="20"/>
          <w:color w:val="auto"/>
        </w:rPr>
        <w:t>or interpretation of any of the provisions of this Agreement.</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8"/>
          <w:szCs w:val="18"/>
          <w:b w:val="1"/>
          <w:bCs w:val="1"/>
          <w:color w:val="auto"/>
        </w:rPr>
        <w:t xml:space="preserve">No Modification. </w:t>
      </w:r>
      <w:r>
        <w:rPr>
          <w:rFonts w:ascii="Arial" w:cs="Arial" w:eastAsia="Arial" w:hAnsi="Arial"/>
          <w:sz w:val="18"/>
          <w:szCs w:val="18"/>
          <w:color w:val="auto"/>
        </w:rPr>
        <w:t>This Agreement may be changed only by a writing signed by both parties.</w:t>
      </w:r>
    </w:p>
    <w:p>
      <w:pPr>
        <w:spacing w:after="0" w:line="229"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In the event that any one or more of the provisions contained in this Agreement shall, for any reason, be held to</w:t>
      </w:r>
      <w:r>
        <w:rPr>
          <w:rFonts w:ascii="Arial" w:cs="Arial" w:eastAsia="Arial" w:hAnsi="Arial"/>
          <w:sz w:val="20"/>
          <w:szCs w:val="20"/>
          <w:b w:val="1"/>
          <w:bCs w:val="1"/>
          <w:color w:val="auto"/>
        </w:rPr>
        <w:t xml:space="preserve"> </w:t>
      </w:r>
      <w:r>
        <w:rPr>
          <w:rFonts w:ascii="Arial" w:cs="Arial" w:eastAsia="Arial" w:hAnsi="Arial"/>
          <w:sz w:val="20"/>
          <w:szCs w:val="20"/>
          <w:color w:val="auto"/>
        </w:rPr>
        <w:t>be invalid, illegal or unenforceable in any respect, such invalidity, illegality or unenforceability will not affect any other provisions of this Agreement, and all other provisions will remain in full force and effect. If any provision of this Agreement is held to be excessively broad, it will be reformed and construed by limiting and reducing it so as to be enforceable to the maximum extent permitted by law.</w:t>
      </w:r>
    </w:p>
    <w:p>
      <w:pPr>
        <w:spacing w:after="0" w:line="199"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and that certain Separation Agreement by and between Cerulean and Consultant of</w:t>
      </w:r>
      <w:r>
        <w:rPr>
          <w:rFonts w:ascii="Arial" w:cs="Arial" w:eastAsia="Arial" w:hAnsi="Arial"/>
          <w:sz w:val="19"/>
          <w:szCs w:val="19"/>
          <w:b w:val="1"/>
          <w:bCs w:val="1"/>
          <w:color w:val="auto"/>
        </w:rPr>
        <w:t xml:space="preserve"> </w:t>
      </w:r>
      <w:r>
        <w:rPr>
          <w:rFonts w:ascii="Arial" w:cs="Arial" w:eastAsia="Arial" w:hAnsi="Arial"/>
          <w:sz w:val="19"/>
          <w:szCs w:val="19"/>
          <w:color w:val="auto"/>
        </w:rPr>
        <w:t>even date herewith constitutes the entire agreement of the parties with regard to its subject matter, and supersedes all previous written or oral representations, agreements and understandings between the parties.</w:t>
      </w:r>
    </w:p>
    <w:p>
      <w:pPr>
        <w:spacing w:after="0" w:line="17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6.10</w:t>
        <w:tab/>
        <w:t>Governing Law</w:t>
      </w:r>
      <w:r>
        <w:rPr>
          <w:rFonts w:ascii="Arial" w:cs="Arial" w:eastAsia="Arial" w:hAnsi="Arial"/>
          <w:sz w:val="20"/>
          <w:szCs w:val="20"/>
          <w:color w:val="auto"/>
        </w:rPr>
        <w:t>. This Agreement will be governed by, and construed and enforced in accordance with,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Commonwealth of Massachusetts applicable to contracts made and to be performed therein, without giving effect to the principles thereof relating to the conflict of laws.</w:t>
      </w:r>
    </w:p>
    <w:p>
      <w:pPr>
        <w:spacing w:after="0" w:line="191" w:lineRule="exact"/>
        <w:rPr>
          <w:sz w:val="20"/>
          <w:szCs w:val="20"/>
          <w:color w:val="auto"/>
        </w:rPr>
      </w:pPr>
    </w:p>
    <w:p>
      <w:pPr>
        <w:jc w:val="both"/>
        <w:ind w:left="640" w:hanging="647"/>
        <w:spacing w:after="0" w:line="293" w:lineRule="auto"/>
        <w:tabs>
          <w:tab w:leader="none" w:pos="620" w:val="left"/>
        </w:tabs>
        <w:rPr>
          <w:sz w:val="20"/>
          <w:szCs w:val="20"/>
          <w:color w:val="auto"/>
        </w:rPr>
      </w:pPr>
      <w:r>
        <w:rPr>
          <w:rFonts w:ascii="Arial" w:cs="Arial" w:eastAsia="Arial" w:hAnsi="Arial"/>
          <w:sz w:val="20"/>
          <w:szCs w:val="20"/>
          <w:b w:val="1"/>
          <w:bCs w:val="1"/>
          <w:color w:val="auto"/>
        </w:rPr>
        <w:t>6.11</w:t>
      </w:r>
      <w:r>
        <w:rPr>
          <w:sz w:val="20"/>
          <w:szCs w:val="20"/>
          <w:color w:val="auto"/>
        </w:rPr>
        <w:tab/>
      </w:r>
      <w:r>
        <w:rPr>
          <w:rFonts w:ascii="Arial" w:cs="Arial" w:eastAsia="Arial" w:hAnsi="Arial"/>
          <w:sz w:val="19"/>
          <w:szCs w:val="19"/>
          <w:b w:val="1"/>
          <w:bCs w:val="1"/>
          <w:color w:val="auto"/>
        </w:rPr>
        <w:t>Counterparts</w:t>
      </w:r>
      <w:r>
        <w:rPr>
          <w:rFonts w:ascii="Arial" w:cs="Arial" w:eastAsia="Arial" w:hAnsi="Arial"/>
          <w:sz w:val="19"/>
          <w:szCs w:val="19"/>
          <w:color w:val="auto"/>
        </w:rPr>
        <w:t>. This Agreement may be executed in any number of counterparts which may be in the form of a facsimile or</w:t>
      </w:r>
      <w:r>
        <w:rPr>
          <w:rFonts w:ascii="Arial" w:cs="Arial" w:eastAsia="Arial" w:hAnsi="Arial"/>
          <w:sz w:val="19"/>
          <w:szCs w:val="19"/>
          <w:b w:val="1"/>
          <w:bCs w:val="1"/>
          <w:color w:val="auto"/>
        </w:rPr>
        <w:t xml:space="preserve"> </w:t>
      </w:r>
      <w:r>
        <w:rPr>
          <w:rFonts w:ascii="Arial" w:cs="Arial" w:eastAsia="Arial" w:hAnsi="Arial"/>
          <w:sz w:val="19"/>
          <w:szCs w:val="19"/>
          <w:color w:val="auto"/>
        </w:rPr>
        <w:t>a pdf, each of which will be deemed an original, and together will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3" w:right="239" w:bottom="1440" w:gutter="0" w:footer="0" w:header="0"/>
        </w:sectPr>
      </w:pPr>
    </w:p>
    <w:bookmarkStart w:id="73" w:name="page74"/>
    <w:bookmarkEnd w:id="73"/>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duly executed this Agreement as of the Effective Date.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340" w:type="dxa"/>
            <w:vAlign w:val="bottom"/>
            <w:gridSpan w:val="4"/>
          </w:tcPr>
          <w:p>
            <w:pPr>
              <w:spacing w:after="0"/>
              <w:rPr>
                <w:sz w:val="20"/>
                <w:szCs w:val="20"/>
                <w:color w:val="auto"/>
              </w:rPr>
            </w:pPr>
            <w:r>
              <w:rPr>
                <w:rFonts w:ascii="Arial" w:cs="Arial" w:eastAsia="Arial" w:hAnsi="Arial"/>
                <w:sz w:val="20"/>
                <w:szCs w:val="20"/>
                <w:b w:val="1"/>
                <w:bCs w:val="1"/>
                <w:color w:val="auto"/>
              </w:rPr>
              <w:t>CERULEAN PHARMA INC.</w:t>
            </w:r>
          </w:p>
        </w:tc>
        <w:tc>
          <w:tcPr>
            <w:tcW w:w="3260" w:type="dxa"/>
            <w:vAlign w:val="bottom"/>
          </w:tcPr>
          <w:p>
            <w:pPr>
              <w:spacing w:after="0"/>
              <w:rPr>
                <w:sz w:val="20"/>
                <w:szCs w:val="20"/>
                <w:color w:val="auto"/>
              </w:rPr>
            </w:pPr>
            <w:r>
              <w:rPr>
                <w:rFonts w:ascii="Arial" w:cs="Arial" w:eastAsia="Arial" w:hAnsi="Arial"/>
                <w:sz w:val="20"/>
                <w:szCs w:val="20"/>
                <w:b w:val="1"/>
                <w:bCs w:val="1"/>
                <w:color w:val="auto"/>
              </w:rPr>
              <w:t>CONSULTANT</w:t>
            </w:r>
          </w:p>
        </w:tc>
      </w:tr>
      <w:tr>
        <w:trPr>
          <w:trHeight w:val="455"/>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680" w:type="dxa"/>
            <w:vAlign w:val="bottom"/>
            <w:gridSpan w:val="3"/>
          </w:tcPr>
          <w:p>
            <w:pPr>
              <w:ind w:left="120"/>
              <w:spacing w:after="0"/>
              <w:rPr>
                <w:sz w:val="20"/>
                <w:szCs w:val="20"/>
                <w:color w:val="auto"/>
              </w:rPr>
            </w:pPr>
            <w:r>
              <w:rPr>
                <w:rFonts w:ascii="Arial" w:cs="Arial" w:eastAsia="Arial" w:hAnsi="Arial"/>
                <w:sz w:val="20"/>
                <w:szCs w:val="20"/>
                <w:color w:val="auto"/>
              </w:rPr>
              <w:t>/s/ Christopher D. T. Guiffre</w:t>
            </w:r>
          </w:p>
        </w:tc>
        <w:tc>
          <w:tcPr>
            <w:tcW w:w="3260" w:type="dxa"/>
            <w:vAlign w:val="bottom"/>
          </w:tcPr>
          <w:p>
            <w:pPr>
              <w:spacing w:after="0"/>
              <w:rPr>
                <w:sz w:val="20"/>
                <w:szCs w:val="20"/>
                <w:color w:val="auto"/>
              </w:rPr>
            </w:pPr>
            <w:r>
              <w:rPr>
                <w:rFonts w:ascii="Arial" w:cs="Arial" w:eastAsia="Arial" w:hAnsi="Arial"/>
                <w:sz w:val="20"/>
                <w:szCs w:val="20"/>
                <w:color w:val="auto"/>
              </w:rPr>
              <w:t>/s/ Edward Garmey</w:t>
            </w:r>
          </w:p>
        </w:tc>
      </w:tr>
      <w:tr>
        <w:trPr>
          <w:trHeight w:val="206"/>
        </w:trPr>
        <w:tc>
          <w:tcPr>
            <w:tcW w:w="6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120" w:type="dxa"/>
            <w:vAlign w:val="bottom"/>
          </w:tcPr>
          <w:p>
            <w:pPr>
              <w:spacing w:after="0"/>
              <w:rPr>
                <w:sz w:val="17"/>
                <w:szCs w:val="17"/>
                <w:color w:val="auto"/>
              </w:rPr>
            </w:pPr>
          </w:p>
        </w:tc>
        <w:tc>
          <w:tcPr>
            <w:tcW w:w="33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Christopher D. T. Guiffre</w:t>
            </w:r>
          </w:p>
        </w:tc>
        <w:tc>
          <w:tcPr>
            <w:tcW w:w="200" w:type="dxa"/>
            <w:vAlign w:val="bottom"/>
          </w:tcPr>
          <w:p>
            <w:pPr>
              <w:spacing w:after="0"/>
              <w:rPr>
                <w:sz w:val="17"/>
                <w:szCs w:val="17"/>
                <w:color w:val="auto"/>
              </w:rPr>
            </w:pPr>
          </w:p>
        </w:tc>
        <w:tc>
          <w:tcPr>
            <w:tcW w:w="32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Edward Garmey, M.D.</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680" w:type="dxa"/>
            <w:vAlign w:val="bottom"/>
            <w:gridSpan w:val="3"/>
          </w:tcPr>
          <w:p>
            <w:pPr>
              <w:ind w:left="120"/>
              <w:spacing w:after="0"/>
              <w:rPr>
                <w:sz w:val="20"/>
                <w:szCs w:val="20"/>
                <w:color w:val="auto"/>
              </w:rPr>
            </w:pPr>
            <w:r>
              <w:rPr>
                <w:rFonts w:ascii="Arial" w:cs="Arial" w:eastAsia="Arial" w:hAnsi="Arial"/>
                <w:sz w:val="20"/>
                <w:szCs w:val="20"/>
                <w:color w:val="auto"/>
              </w:rPr>
              <w:t>President &amp; Chief Executive Officer</w:t>
            </w:r>
          </w:p>
        </w:tc>
        <w:tc>
          <w:tcPr>
            <w:tcW w:w="32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24" w:lineRule="exact"/>
        <w:rPr>
          <w:sz w:val="20"/>
          <w:szCs w:val="20"/>
          <w:color w:val="auto"/>
        </w:rPr>
      </w:pPr>
    </w:p>
    <w:p>
      <w:pPr>
        <w:jc w:val="center"/>
        <w:ind w:left="88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left="880"/>
        <w:spacing w:after="0"/>
        <w:rPr>
          <w:sz w:val="20"/>
          <w:szCs w:val="20"/>
          <w:color w:val="auto"/>
        </w:rPr>
      </w:pPr>
      <w:r>
        <w:rPr>
          <w:rFonts w:ascii="Arial" w:cs="Arial" w:eastAsia="Arial" w:hAnsi="Arial"/>
          <w:sz w:val="20"/>
          <w:szCs w:val="20"/>
          <w:b w:val="1"/>
          <w:bCs w:val="1"/>
          <w:color w:val="auto"/>
        </w:rPr>
        <w:t>BUSINESS TERMS EXHIBIT</w:t>
      </w:r>
    </w:p>
    <w:p>
      <w:pPr>
        <w:spacing w:after="0" w:line="222"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Industry Consulting Agreement with Edward Garmey, M.D.</w:t>
      </w:r>
    </w:p>
    <w:p>
      <w:pPr>
        <w:spacing w:after="0" w:line="200" w:lineRule="exact"/>
        <w:rPr>
          <w:sz w:val="20"/>
          <w:szCs w:val="20"/>
          <w:color w:val="auto"/>
        </w:rPr>
      </w:pPr>
    </w:p>
    <w:p>
      <w:pPr>
        <w:spacing w:after="0" w:line="226" w:lineRule="exact"/>
        <w:rPr>
          <w:sz w:val="20"/>
          <w:szCs w:val="20"/>
          <w:color w:val="auto"/>
        </w:rPr>
      </w:pPr>
    </w:p>
    <w:p>
      <w:pPr>
        <w:ind w:left="880" w:hanging="872"/>
        <w:spacing w:after="0"/>
        <w:tabs>
          <w:tab w:leader="none" w:pos="88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Consulting Services:</w:t>
      </w:r>
    </w:p>
    <w:p>
      <w:pPr>
        <w:spacing w:after="0" w:line="221" w:lineRule="exact"/>
        <w:rPr>
          <w:rFonts w:ascii="Arial" w:cs="Arial" w:eastAsia="Arial" w:hAnsi="Arial"/>
          <w:sz w:val="20"/>
          <w:szCs w:val="20"/>
          <w:b w:val="1"/>
          <w:bCs w:val="1"/>
          <w:color w:val="auto"/>
        </w:rPr>
      </w:pPr>
    </w:p>
    <w:p>
      <w:pPr>
        <w:jc w:val="both"/>
        <w:ind w:left="8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Consultant will render advice to Cerulean as a member of Cerulean’s Medical Advisory Board. Consulting Services will be rendered at one or more meetings of the Medical Advisory Board. Additional Consulting Services may be performed on an ad hoc basis, as determined by mutual arrangement between Consultant and Cerulean’s Chief Medical Officer, to whom Consultant will report during the term of this Agreement.</w:t>
      </w:r>
    </w:p>
    <w:p>
      <w:pPr>
        <w:spacing w:after="0" w:line="200" w:lineRule="exact"/>
        <w:rPr>
          <w:rFonts w:ascii="Arial" w:cs="Arial" w:eastAsia="Arial" w:hAnsi="Arial"/>
          <w:sz w:val="20"/>
          <w:szCs w:val="20"/>
          <w:b w:val="1"/>
          <w:bCs w:val="1"/>
          <w:color w:val="auto"/>
        </w:rPr>
      </w:pPr>
    </w:p>
    <w:p>
      <w:pPr>
        <w:spacing w:after="0" w:line="215" w:lineRule="exact"/>
        <w:rPr>
          <w:rFonts w:ascii="Arial" w:cs="Arial" w:eastAsia="Arial" w:hAnsi="Arial"/>
          <w:sz w:val="20"/>
          <w:szCs w:val="20"/>
          <w:b w:val="1"/>
          <w:bCs w:val="1"/>
          <w:color w:val="auto"/>
        </w:rPr>
      </w:pPr>
    </w:p>
    <w:p>
      <w:pPr>
        <w:ind w:left="880" w:hanging="872"/>
        <w:spacing w:after="0"/>
        <w:tabs>
          <w:tab w:leader="none" w:pos="88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p>
    <w:p>
      <w:pPr>
        <w:spacing w:after="0" w:line="221"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0"/>
          <w:szCs w:val="20"/>
          <w:color w:val="auto"/>
        </w:rPr>
        <w:t>In consideration for the Consulting Services, Consultant will be paid $425 per hour.</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55" w:lineRule="exact"/>
        <w:rPr>
          <w:rFonts w:ascii="Arial" w:cs="Arial" w:eastAsia="Arial" w:hAnsi="Arial"/>
          <w:sz w:val="20"/>
          <w:szCs w:val="20"/>
          <w:b w:val="1"/>
          <w:bCs w:val="1"/>
          <w:color w:val="auto"/>
        </w:rPr>
      </w:pPr>
    </w:p>
    <w:p>
      <w:pPr>
        <w:ind w:left="880" w:hanging="872"/>
        <w:spacing w:after="0"/>
        <w:tabs>
          <w:tab w:leader="none" w:pos="88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221" w:lineRule="exact"/>
        <w:rPr>
          <w:rFonts w:ascii="Arial" w:cs="Arial" w:eastAsia="Arial" w:hAnsi="Arial"/>
          <w:sz w:val="20"/>
          <w:szCs w:val="20"/>
          <w:b w:val="1"/>
          <w:bCs w:val="1"/>
          <w:color w:val="auto"/>
        </w:rPr>
      </w:pPr>
    </w:p>
    <w:p>
      <w:pPr>
        <w:ind w:left="8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This Agreement will be for an initial term of one (1) year, beginning on the Effective Date, and may be extended for additional periods, at Cerulean’s option and with Consultant’s consent.</w:t>
      </w:r>
    </w:p>
    <w:p>
      <w:pPr>
        <w:sectPr>
          <w:pgSz w:w="11900" w:h="16838" w:orient="portrait"/>
          <w:cols w:equalWidth="0" w:num="1">
            <w:col w:w="11420"/>
          </w:cols>
          <w:pgMar w:left="240" w:top="118"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color w:val="auto"/>
        </w:rPr>
        <w:t>EXHIBIT 10.3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0" w:lineRule="exact"/>
        <w:rPr>
          <w:sz w:val="20"/>
          <w:szCs w:val="20"/>
          <w:color w:val="auto"/>
        </w:rPr>
      </w:pPr>
    </w:p>
    <w:p>
      <w:pPr>
        <w:spacing w:after="0" w:line="255" w:lineRule="exact"/>
        <w:rPr>
          <w:sz w:val="20"/>
          <w:szCs w:val="20"/>
          <w:color w:val="auto"/>
        </w:rPr>
      </w:pPr>
    </w:p>
    <w:p>
      <w:pPr>
        <w:ind w:right="320" w:firstLine="877"/>
        <w:spacing w:after="0" w:line="234" w:lineRule="auto"/>
        <w:rPr>
          <w:sz w:val="20"/>
          <w:szCs w:val="20"/>
          <w:color w:val="auto"/>
        </w:rPr>
      </w:pPr>
      <w:r>
        <w:rPr>
          <w:rFonts w:ascii="Arial" w:cs="Arial" w:eastAsia="Arial" w:hAnsi="Arial"/>
          <w:sz w:val="22"/>
          <w:szCs w:val="22"/>
          <w:color w:val="auto"/>
        </w:rPr>
        <w:t>THIS EMPLOYMENT AGREEMENT (the “Agreement”), made this 4th day of September, 2015, is entered into by Cerulean Pharma Inc., a Delaware corporation with its principal place of business at 840 Memorial Drive, 5</w:t>
      </w:r>
      <w:r>
        <w:rPr>
          <w:rFonts w:ascii="Arial" w:cs="Arial" w:eastAsia="Arial" w:hAnsi="Arial"/>
          <w:sz w:val="18"/>
          <w:szCs w:val="18"/>
          <w:color w:val="auto"/>
        </w:rPr>
        <w:t>th</w:t>
      </w:r>
      <w:r>
        <w:rPr>
          <w:rFonts w:ascii="Arial" w:cs="Arial" w:eastAsia="Arial" w:hAnsi="Arial"/>
          <w:sz w:val="22"/>
          <w:szCs w:val="22"/>
          <w:color w:val="auto"/>
        </w:rPr>
        <w:t xml:space="preserve"> Floor, Cambridge, MA 02139 (the “Company”), and Adrian Senderowicz, M.D. (the “Employee”) with the address at 7 Park Avenue, Unit 1, Somerville, MA 02144.</w:t>
      </w:r>
    </w:p>
    <w:p>
      <w:pPr>
        <w:spacing w:after="0" w:line="4" w:lineRule="exact"/>
        <w:rPr>
          <w:sz w:val="20"/>
          <w:szCs w:val="20"/>
          <w:color w:val="auto"/>
        </w:rPr>
      </w:pPr>
    </w:p>
    <w:p>
      <w:pPr>
        <w:ind w:right="280" w:firstLine="877"/>
        <w:spacing w:after="0" w:line="241" w:lineRule="auto"/>
        <w:rPr>
          <w:sz w:val="20"/>
          <w:szCs w:val="20"/>
          <w:color w:val="auto"/>
        </w:rPr>
      </w:pPr>
      <w:r>
        <w:rPr>
          <w:rFonts w:ascii="Arial" w:cs="Arial" w:eastAsia="Arial" w:hAnsi="Arial"/>
          <w:sz w:val="21"/>
          <w:szCs w:val="21"/>
          <w:color w:val="auto"/>
        </w:rPr>
        <w:t>The Company desires to employ the Employee and the Employee desires to be employed by the Company. In consideration of the mutual covenants and promises contained herein, and other good and valuable consideration, the receipt and sufficiency of which are acknowledged by the parties hereto, the parties agree as follows:</w:t>
      </w:r>
    </w:p>
    <w:p>
      <w:pPr>
        <w:spacing w:after="0" w:line="2" w:lineRule="exact"/>
        <w:rPr>
          <w:sz w:val="20"/>
          <w:szCs w:val="20"/>
          <w:color w:val="auto"/>
        </w:rPr>
      </w:pPr>
    </w:p>
    <w:p>
      <w:pPr>
        <w:ind w:right="120" w:firstLine="885"/>
        <w:spacing w:after="0" w:line="230" w:lineRule="auto"/>
        <w:tabs>
          <w:tab w:leader="none" w:pos="168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Term of Employment</w:t>
      </w:r>
      <w:r>
        <w:rPr>
          <w:rFonts w:ascii="Arial" w:cs="Arial" w:eastAsia="Arial" w:hAnsi="Arial"/>
          <w:sz w:val="22"/>
          <w:szCs w:val="22"/>
          <w:color w:val="auto"/>
        </w:rPr>
        <w:t>. The Company hereby agrees to employ the Employee and the Employee hereby accepts employment with the Company, upon the terms set forth in this Agreement, commencing on September 4, 2015 (the “Commencement Date”). There shall be no definite term of employment, and the Employee’s employment shall be at-will such that both the Company and the Employee remain free to end the employment relationship for any reason, at any time, with or without notice.</w:t>
      </w:r>
    </w:p>
    <w:p>
      <w:pPr>
        <w:spacing w:after="0" w:line="3" w:lineRule="exact"/>
        <w:rPr>
          <w:rFonts w:ascii="Arial" w:cs="Arial" w:eastAsia="Arial" w:hAnsi="Arial"/>
          <w:sz w:val="22"/>
          <w:szCs w:val="22"/>
          <w:color w:val="auto"/>
        </w:rPr>
      </w:pPr>
    </w:p>
    <w:p>
      <w:pPr>
        <w:jc w:val="both"/>
        <w:ind w:right="40" w:firstLine="885"/>
        <w:spacing w:after="0" w:line="241" w:lineRule="auto"/>
        <w:tabs>
          <w:tab w:leader="none" w:pos="168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Title and Capacity</w:t>
      </w:r>
      <w:r>
        <w:rPr>
          <w:rFonts w:ascii="Arial" w:cs="Arial" w:eastAsia="Arial" w:hAnsi="Arial"/>
          <w:sz w:val="21"/>
          <w:szCs w:val="21"/>
          <w:color w:val="auto"/>
        </w:rPr>
        <w:t>. As of the Commencement Date, the Employee shall serve as Senior Vice President &amp; Chief Medical Officer of the Company and shall report to the President &amp; Chief Executive Officer of the Company. The Employee shall be based at the Company's headquarters in Cambridge, Massachusetts until the end of December 2015 at which point the Employee will be based at the Company’s new headquarters located in Waltham, Massachusetts.</w:t>
      </w:r>
    </w:p>
    <w:p>
      <w:pPr>
        <w:spacing w:after="0" w:line="2" w:lineRule="exact"/>
        <w:rPr>
          <w:rFonts w:ascii="Arial" w:cs="Arial" w:eastAsia="Arial" w:hAnsi="Arial"/>
          <w:sz w:val="21"/>
          <w:szCs w:val="21"/>
          <w:color w:val="auto"/>
        </w:rPr>
      </w:pPr>
    </w:p>
    <w:p>
      <w:pPr>
        <w:ind w:right="480" w:firstLine="877"/>
        <w:spacing w:after="0" w:line="237" w:lineRule="auto"/>
        <w:rPr>
          <w:rFonts w:ascii="Arial" w:cs="Arial" w:eastAsia="Arial" w:hAnsi="Arial"/>
          <w:sz w:val="21"/>
          <w:szCs w:val="21"/>
          <w:color w:val="auto"/>
        </w:rPr>
      </w:pPr>
      <w:r>
        <w:rPr>
          <w:rFonts w:ascii="Arial" w:cs="Arial" w:eastAsia="Arial" w:hAnsi="Arial"/>
          <w:sz w:val="22"/>
          <w:szCs w:val="22"/>
          <w:color w:val="auto"/>
        </w:rPr>
        <w:t>The Employee agrees to undertake the duties and responsibilities inherent in such position and such other duties and responsibilities as the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6" w:name="page77"/>
    <w:bookmarkEnd w:id="76"/>
    <w:p>
      <w:pPr>
        <w:spacing w:after="0" w:line="270" w:lineRule="auto"/>
        <w:rPr>
          <w:sz w:val="20"/>
          <w:szCs w:val="20"/>
          <w:color w:val="auto"/>
        </w:rPr>
      </w:pPr>
      <w:r>
        <w:rPr>
          <w:rFonts w:ascii="Arial" w:cs="Arial" w:eastAsia="Arial" w:hAnsi="Arial"/>
          <w:sz w:val="19"/>
          <w:szCs w:val="19"/>
          <w:color w:val="auto"/>
        </w:rPr>
        <w:t>shall from time to time reasonably assign to him. The Employee agrees to devote his entire business time, attention and energies to the business and interests of the Company. The Employee agrees to abide by the rules, regulations, instructions, personnel practices and policies of the Company and any changes therein that may be adopted from time to time by the Company. Notwithstanding the foregoing, the Employee may participate in charitable or civic organizations, as may be approved by the Company. Company acknowledges and agrees that Employee is a member of the board of directors of Puma Technologies, Inc. and may continue to serve on that board while Employee is an executive officer of the Company.</w:t>
      </w:r>
    </w:p>
    <w:p>
      <w:pPr>
        <w:ind w:left="1700" w:hanging="815"/>
        <w:spacing w:after="0" w:line="232" w:lineRule="auto"/>
        <w:tabs>
          <w:tab w:leader="none" w:pos="17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ind w:right="160" w:firstLine="1755"/>
        <w:spacing w:after="0" w:line="230"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Base Salary</w:t>
      </w:r>
      <w:r>
        <w:rPr>
          <w:rFonts w:ascii="Arial" w:cs="Arial" w:eastAsia="Arial" w:hAnsi="Arial"/>
          <w:sz w:val="22"/>
          <w:szCs w:val="22"/>
          <w:color w:val="auto"/>
        </w:rPr>
        <w:t>. As of the Commencement Date, the Company shall pay the Employee, in accordance with the Company's regular payroll practices, a base salary at the annualized rate of $390,000, payable at the rate of $16,250 on a semi-monthly basis, subject to adjustment thereafter by the Board of Directors of the Company (the “Board”) or the President &amp; Chief Executive Officer.</w:t>
      </w:r>
    </w:p>
    <w:p>
      <w:pPr>
        <w:ind w:left="1760"/>
        <w:spacing w:after="0"/>
        <w:tabs>
          <w:tab w:leader="none" w:pos="26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Bonus.</w:t>
      </w:r>
    </w:p>
    <w:p>
      <w:pPr>
        <w:ind w:firstLine="2642"/>
        <w:spacing w:after="0" w:line="275" w:lineRule="auto"/>
        <w:tabs>
          <w:tab w:leader="none" w:pos="3522"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Employee will be eligible to receive a performance-based annual bonus for each fiscal year in which he is employed by the Company in the capacity of Senior Vice President &amp; Chief Medical Officer. This bonus shall be based upon reasonably attainable annual quantitative and qualitative performance objectives established by the Board or the President &amp; Chief Executive Officer. The Employee’s annual bonus level target shall be set at forty percent (40%) of the Employee’s base salary for the currently applicable fiscal year and shall be subject to adjustment thereafter by the Board or the President &amp; Chief Executive Officer. The Board or the President &amp; Chief Executive Officer will determine,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7" w:name="page78"/>
    <w:bookmarkEnd w:id="77"/>
    <w:p>
      <w:pPr>
        <w:ind w:right="140"/>
        <w:spacing w:after="0" w:line="233" w:lineRule="auto"/>
        <w:rPr>
          <w:sz w:val="20"/>
          <w:szCs w:val="20"/>
          <w:color w:val="auto"/>
        </w:rPr>
      </w:pPr>
      <w:r>
        <w:rPr>
          <w:rFonts w:ascii="Arial" w:cs="Arial" w:eastAsia="Arial" w:hAnsi="Arial"/>
          <w:sz w:val="22"/>
          <w:szCs w:val="22"/>
          <w:color w:val="auto"/>
        </w:rPr>
        <w:t>based upon its review of the achievement of the performance objectives for a given fiscal year, whether (and in what amount) a bonus award is payable to the Employee. Any bonus awarded to the Employee for fiscal year 2015 will be prorated for the Employee’s length of service within such year; provided, however, that notwithstanding the Commencement Date, the Board or President &amp; Chief Executive Officer, as applicable, shall determine the Employee’s 2015 annual bonus, if any, as if the Employee had commenced employment with the Company on January 1, 2015. To be eligible to receive a bonus award, the Employee must be an active employee on the date any such bonuses are distributed, as it also serves as an incentive to remain employed by the Company.</w:t>
      </w:r>
    </w:p>
    <w:p>
      <w:pPr>
        <w:spacing w:after="0" w:line="1" w:lineRule="exact"/>
        <w:rPr>
          <w:sz w:val="20"/>
          <w:szCs w:val="20"/>
          <w:color w:val="auto"/>
        </w:rPr>
      </w:pPr>
    </w:p>
    <w:p>
      <w:pPr>
        <w:ind w:firstLine="1755"/>
        <w:spacing w:after="0" w:line="26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Employee Benefits</w:t>
      </w:r>
      <w:r>
        <w:rPr>
          <w:rFonts w:ascii="Arial" w:cs="Arial" w:eastAsia="Arial" w:hAnsi="Arial"/>
          <w:sz w:val="19"/>
          <w:szCs w:val="19"/>
          <w:color w:val="auto"/>
        </w:rPr>
        <w:t>. The Employee shall be entitled to participate in all benefit plans and programs that the Company establishes and makes available to its employees to the extent that the Employee is eligible under (and subject to the provisions of) the plan documents governing those programs. The Employee shall be entitled to twenty (20) days paid vacation per year plus personal days and paid holidays generally offered by the Company to its employees, each to be administered in accordance with Company policy. The Employee will be provided the same indemnification protections provided to other executive officers of the Company, in accordance with the Company’s bylaws and applicable law.</w:t>
      </w:r>
    </w:p>
    <w:p>
      <w:pPr>
        <w:ind w:right="20" w:firstLine="1755"/>
        <w:spacing w:after="0" w:line="280"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Reimbursement of Expenses</w:t>
      </w:r>
      <w:r>
        <w:rPr>
          <w:rFonts w:ascii="Arial" w:cs="Arial" w:eastAsia="Arial" w:hAnsi="Arial"/>
          <w:sz w:val="19"/>
          <w:szCs w:val="19"/>
          <w:color w:val="auto"/>
        </w:rPr>
        <w:t>. The Company shall reimburse the Employee for all reasonable travel, entertainment and other expenses incurred or paid by the Employee in connection with, or related to, the performance of his duties, responsibilities or services under this Agreement in accordance with the Company’s expense reimbursement policies. The reimbursement of expenses hereunder shall be subject to the terms and conditions set forth in Section 19(e)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78" w:name="page79"/>
    <w:bookmarkEnd w:id="78"/>
    <w:p>
      <w:pPr>
        <w:ind w:right="60" w:firstLine="1755"/>
        <w:spacing w:after="0" w:line="268"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Equity</w:t>
      </w:r>
      <w:r>
        <w:rPr>
          <w:rFonts w:ascii="Arial" w:cs="Arial" w:eastAsia="Arial" w:hAnsi="Arial"/>
          <w:sz w:val="19"/>
          <w:szCs w:val="19"/>
          <w:color w:val="auto"/>
        </w:rPr>
        <w:t>. Subject to Board approval and the terms of the Company’s 2014 Stock Incentive Plan, the Company will grant the Employee an option to purchase 135,000 shares of common stock of the Company $.0001 par value per share (“Common Stock”) at an exercise price equal to the fair market value of the Common Stock on the date of grant (the “Option”). Twenty-five percent (25%) of the shares subject to the Option shall vest on the first anniversary of the Commencement Date subject to the Employee’s continuing employment with the Company and the remainder of the shares shall vest monthly over the next thirty-six (36) months, in equal monthly amounts, subject to the Employee’s continuing employment with the Company. For the avoidance of doubt, the Option is in addition to that certain nonqualified stock option granted to Employee pursuant to the Consulting Agreement by and between the Company and Oncology Drug Development, LLC effective as of May 18, 2015 (the “Consulting Agreement”), which nonqualified stock option will continue to vest in accordance with its terms and pursuant to the Company’s 2014 Stock Incentive Plan. Except as set forth in the immediately preceding sentence, and as set forth in Section 5.4 of the Consulting Agreement, the Consulting Agreement is hereby terminated as of the Commencement Date; provided, however, that all accrued and unpaid fees owed to the Employee pursuant to that Consultant Agreement for services rendered before termination thereof will remain due and payable by the Company, in accordance therewith.</w:t>
      </w:r>
    </w:p>
    <w:p>
      <w:pPr>
        <w:spacing w:after="0" w:line="7" w:lineRule="exact"/>
        <w:rPr>
          <w:sz w:val="20"/>
          <w:szCs w:val="20"/>
          <w:color w:val="auto"/>
        </w:rPr>
      </w:pPr>
    </w:p>
    <w:p>
      <w:pPr>
        <w:ind w:firstLine="1755"/>
        <w:spacing w:after="0" w:line="230"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Withholding</w:t>
      </w:r>
      <w:r>
        <w:rPr>
          <w:rFonts w:ascii="Arial" w:cs="Arial" w:eastAsia="Arial" w:hAnsi="Arial"/>
          <w:sz w:val="22"/>
          <w:szCs w:val="22"/>
          <w:color w:val="auto"/>
        </w:rPr>
        <w:t>. All salary, bonus and other compensation or benefits payable to the Employee shall be subject to applicable withholdings and taxes.</w:t>
      </w:r>
    </w:p>
    <w:p>
      <w:pPr>
        <w:spacing w:after="0" w:line="1" w:lineRule="exact"/>
        <w:rPr>
          <w:sz w:val="20"/>
          <w:szCs w:val="20"/>
          <w:color w:val="auto"/>
        </w:rPr>
      </w:pPr>
    </w:p>
    <w:p>
      <w:pPr>
        <w:ind w:left="1700" w:hanging="815"/>
        <w:spacing w:after="0"/>
        <w:tabs>
          <w:tab w:leader="none" w:pos="170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Payments Upon Resignation By The Employee Without Good Reason or Termination By The Company For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9" w:name="page80"/>
    <w:bookmarkEnd w:id="79"/>
    <w:p>
      <w:pPr>
        <w:ind w:firstLine="1755"/>
        <w:spacing w:after="0" w:line="26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Payment upon Voluntary Resignation or Termination for Cause</w:t>
      </w:r>
      <w:r>
        <w:rPr>
          <w:rFonts w:ascii="Arial" w:cs="Arial" w:eastAsia="Arial" w:hAnsi="Arial"/>
          <w:sz w:val="19"/>
          <w:szCs w:val="19"/>
          <w:color w:val="auto"/>
        </w:rPr>
        <w:t>. If the Employee voluntarily resigns his employment other than for Good Reason (as defined in Section 4.2) or if the Company terminates the Employee for Cause (as defined in Section 4.3), the Company shall pay the Employee all accrued and unpaid base salary through the Employee’s date of termination and any vacation that is accrued but unused as of such date. The Employee shall not be eligible for any severance or separation payments (including, but not limited to, those described in Section 7 of this Agreement) or any continuation of benefits (other than those provided for under the Federal Consolidated Omnibus Budget Reconciliation Act (“COBRA”)), or any other compensation pursuant to this Agreement or otherwise. The Employee also shall have such rights, if any, with respect to outstanding equity awards as may be provided under the agreement applicable to each.</w:t>
      </w:r>
    </w:p>
    <w:p>
      <w:pPr>
        <w:spacing w:after="0" w:line="4" w:lineRule="exact"/>
        <w:rPr>
          <w:sz w:val="20"/>
          <w:szCs w:val="20"/>
          <w:color w:val="auto"/>
        </w:rPr>
      </w:pPr>
    </w:p>
    <w:p>
      <w:pPr>
        <w:ind w:right="80" w:firstLine="1755"/>
        <w:spacing w:after="0" w:line="23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Definition of “Good Reason”</w:t>
      </w:r>
      <w:r>
        <w:rPr>
          <w:rFonts w:ascii="Arial" w:cs="Arial" w:eastAsia="Arial" w:hAnsi="Arial"/>
          <w:sz w:val="22"/>
          <w:szCs w:val="22"/>
          <w:color w:val="auto"/>
        </w:rPr>
        <w:t>. For purposes of this Agreement, “Good Reason” means the occurrence, without the Employee’s written consent, of any of the events or circumstances set forth in clauses (a) through (c) below, provided, however, that an event described in clauses (a) through (c) below shall not constitute Good Reason unless it is communicated in writing, within 90 days of the first occurrence of an event giving rise to the claim, by the Employee to the Board or its successor and unless it is not corrected by the Company or its successor within thirty (30) days of the Company’s receipt of such written notice:</w:t>
      </w:r>
    </w:p>
    <w:p>
      <w:pPr>
        <w:ind w:left="3520" w:hanging="878"/>
        <w:spacing w:after="0" w:line="234" w:lineRule="auto"/>
        <w:tabs>
          <w:tab w:leader="none" w:pos="35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material diminution of the Employee’s duties, authority or responsibilities;</w:t>
      </w:r>
    </w:p>
    <w:p>
      <w:pPr>
        <w:ind w:left="3540" w:hanging="898"/>
        <w:spacing w:after="0"/>
        <w:tabs>
          <w:tab w:leader="none" w:pos="35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material reduction in the Employee’s base salary;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80" w:name="page81"/>
    <w:bookmarkEnd w:id="80"/>
    <w:p>
      <w:pPr>
        <w:ind w:right="180" w:firstLine="2642"/>
        <w:spacing w:after="0" w:line="276" w:lineRule="auto"/>
        <w:tabs>
          <w:tab w:leader="none" w:pos="3522" w:val="left"/>
        </w:tabs>
        <w:numPr>
          <w:ilvl w:val="1"/>
          <w:numId w:val="66"/>
        </w:numPr>
        <w:rPr>
          <w:rFonts w:ascii="Arial" w:cs="Arial" w:eastAsia="Arial" w:hAnsi="Arial"/>
          <w:sz w:val="19"/>
          <w:szCs w:val="19"/>
          <w:color w:val="auto"/>
        </w:rPr>
      </w:pPr>
      <w:r>
        <w:rPr>
          <w:rFonts w:ascii="Arial" w:cs="Arial" w:eastAsia="Arial" w:hAnsi="Arial"/>
          <w:sz w:val="19"/>
          <w:szCs w:val="19"/>
          <w:color w:val="auto"/>
        </w:rPr>
        <w:t>a change by the Company in the location at which the Employee performs his principal duties for the Company to a new location that is both (i) outside a radius of 50 miles from the Employee’s principal residence and</w:t>
      </w:r>
    </w:p>
    <w:p>
      <w:pPr>
        <w:spacing w:after="0" w:line="1" w:lineRule="exact"/>
        <w:rPr>
          <w:rFonts w:ascii="Arial" w:cs="Arial" w:eastAsia="Arial" w:hAnsi="Arial"/>
          <w:sz w:val="19"/>
          <w:szCs w:val="19"/>
          <w:color w:val="auto"/>
        </w:rPr>
      </w:pPr>
    </w:p>
    <w:p>
      <w:pPr>
        <w:ind w:left="320" w:hanging="312"/>
        <w:spacing w:after="0" w:line="230" w:lineRule="auto"/>
        <w:tabs>
          <w:tab w:leader="none" w:pos="3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more than 30 miles from the location at which the Employee performed his principal duties for the Company.</w:t>
      </w:r>
    </w:p>
    <w:p>
      <w:pPr>
        <w:spacing w:after="0" w:line="1" w:lineRule="exact"/>
        <w:rPr>
          <w:sz w:val="20"/>
          <w:szCs w:val="20"/>
          <w:color w:val="auto"/>
        </w:rPr>
      </w:pPr>
    </w:p>
    <w:p>
      <w:pPr>
        <w:ind w:right="700" w:firstLine="877"/>
        <w:spacing w:after="0" w:line="230" w:lineRule="auto"/>
        <w:rPr>
          <w:sz w:val="20"/>
          <w:szCs w:val="20"/>
          <w:color w:val="auto"/>
        </w:rPr>
      </w:pPr>
      <w:r>
        <w:rPr>
          <w:rFonts w:ascii="Arial" w:cs="Arial" w:eastAsia="Arial" w:hAnsi="Arial"/>
          <w:sz w:val="22"/>
          <w:szCs w:val="22"/>
          <w:color w:val="auto"/>
        </w:rPr>
        <w:t>If the Company fails to timely correct an event of Good Reason, the termination of Executive’s employment shall become effective 60 days after such notice is received by the Company.</w:t>
      </w:r>
    </w:p>
    <w:p>
      <w:pPr>
        <w:spacing w:after="0" w:line="1" w:lineRule="exact"/>
        <w:rPr>
          <w:sz w:val="20"/>
          <w:szCs w:val="20"/>
          <w:color w:val="auto"/>
        </w:rPr>
      </w:pPr>
    </w:p>
    <w:p>
      <w:pPr>
        <w:ind w:firstLine="1755"/>
        <w:spacing w:after="0" w:line="26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Definition of “Cause</w:t>
      </w:r>
      <w:r>
        <w:rPr>
          <w:rFonts w:ascii="Arial" w:cs="Arial" w:eastAsia="Arial" w:hAnsi="Arial"/>
          <w:sz w:val="19"/>
          <w:szCs w:val="19"/>
          <w:color w:val="auto"/>
        </w:rPr>
        <w:t>”. For purposes of this Agreement, “Cause” is defined as: (i) a good faith finding by the Company (excluding the Employee, if applicable) of (a) the Employee’s failure to (1) perform reasonably assigned lawful duties or (2) comply with a lawful instruction of the Company so long as, in the case of (2), the instruction is consistent with the scope and responsibilities of the Employee’s position, or (b) the Employee’s dishonesty, willful misconduct or gross negligence, or (c) the Employee’s substantial and material failure or refusal to perform according to, or to comply with, the policies, procedures or practices established by the Company or the Board and, in the case of (a) or (c), the Employee has had ten (10) days written notice to cure his failure to so perform or comply; or (ii) the Employee’s indictment, or the entering of a guilty plea or plea of “no contest” with respect to a felony or any crime involving moral turpitude.</w:t>
      </w:r>
    </w:p>
    <w:p>
      <w:pPr>
        <w:ind w:right="160" w:firstLine="885"/>
        <w:spacing w:after="0" w:line="246" w:lineRule="auto"/>
        <w:tabs>
          <w:tab w:leader="none" w:pos="1688"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 Resignation for Good Reason</w:t>
      </w:r>
      <w:r>
        <w:rPr>
          <w:rFonts w:ascii="Arial" w:cs="Arial" w:eastAsia="Arial" w:hAnsi="Arial"/>
          <w:sz w:val="21"/>
          <w:szCs w:val="21"/>
          <w:color w:val="auto"/>
        </w:rPr>
        <w:t>. If the Employee’s employment with the Company is terminated by the Company without Cause, or by the Employee’s voluntary resignation for Good Reason, other than in connection with a Change in Control (as defined in Section 7.2(a)), then the Employee shall be paid all accrued and unpaid base salary and any accrued but unused vacation through the date of termination.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81" w:name="page82"/>
    <w:bookmarkEnd w:id="81"/>
    <w:p>
      <w:pPr>
        <w:spacing w:after="0" w:line="236" w:lineRule="auto"/>
        <w:rPr>
          <w:sz w:val="20"/>
          <w:szCs w:val="20"/>
          <w:color w:val="auto"/>
        </w:rPr>
      </w:pPr>
      <w:r>
        <w:rPr>
          <w:rFonts w:ascii="Arial" w:cs="Arial" w:eastAsia="Arial" w:hAnsi="Arial"/>
          <w:sz w:val="22"/>
          <w:szCs w:val="22"/>
          <w:color w:val="auto"/>
        </w:rPr>
        <w:t>subject to the Employee’s execution and non-revocation of a binding severance and mutual release agreement in a form satisfactory to the Company (hereinafter, a “Severance Agreement”) and subject to the terms and conditions of Section 19 of this Agreement, the Employee shall be eligible to receive the following separation benefits:</w:t>
      </w:r>
    </w:p>
    <w:p>
      <w:pPr>
        <w:spacing w:after="0" w:line="1" w:lineRule="exact"/>
        <w:rPr>
          <w:sz w:val="20"/>
          <w:szCs w:val="20"/>
          <w:color w:val="auto"/>
        </w:rPr>
      </w:pPr>
    </w:p>
    <w:p>
      <w:pPr>
        <w:ind w:right="100" w:firstLine="1755"/>
        <w:spacing w:after="0" w:line="267" w:lineRule="auto"/>
        <w:rPr>
          <w:sz w:val="20"/>
          <w:szCs w:val="20"/>
          <w:color w:val="auto"/>
        </w:rPr>
      </w:pPr>
      <w:r>
        <w:rPr>
          <w:rFonts w:ascii="Arial" w:cs="Arial" w:eastAsia="Arial" w:hAnsi="Arial"/>
          <w:sz w:val="19"/>
          <w:szCs w:val="19"/>
          <w:color w:val="auto"/>
        </w:rPr>
        <w:t>5.1 (a) an amount equal to the product of (i) one twelfth (1/12) of the Employee’s then-current annualized base salary (provided, however, that if Employee’s employment is terminated by the Employee’s voluntary resignation for Good Reason as a result of the Company’s material reduction of the Employee’s base salary, then the Employee’s then-current annualized base salary shall refer to his base salary as in effect immediately before such material reduction took effect) and (ii) six</w:t>
      </w:r>
    </w:p>
    <w:p>
      <w:pPr>
        <w:ind w:right="20"/>
        <w:spacing w:after="0" w:line="271" w:lineRule="auto"/>
        <w:rPr>
          <w:sz w:val="20"/>
          <w:szCs w:val="20"/>
          <w:color w:val="auto"/>
        </w:rPr>
      </w:pPr>
      <w:r>
        <w:rPr>
          <w:rFonts w:ascii="Arial" w:cs="Arial" w:eastAsia="Arial" w:hAnsi="Arial"/>
          <w:sz w:val="19"/>
          <w:szCs w:val="19"/>
          <w:color w:val="auto"/>
        </w:rPr>
        <w:t>(6), less any amounts required to be withheld under applicable law, which amount shall be payable in six (6) substantially equal monthly installments, in accordance with the Company’s payroll practices in effect from time to time beginning on the Payment Commencement Date (as defined below); and (b) the amount of any bonus for the prior year that was approved but not yet paid to the Employee at the time of the Employee’s termination of employment, less any amounts required to be withheld under applicable law, which amount shall be paid in a manner and timing consistent with the payments to other similarly situated employees and consistent with the requirements of Section 409A of the Internal Revenue Code of 1986, as amended (the “Code”) but in no event later than March 15 of the year following the year of performance; provided, in both cases, that the Severance Agreement has been executed and any applicable revocation period with respect thereto has expired within sixty (60) days following the Employee’s date of termination (such 60</w:t>
      </w:r>
      <w:r>
        <w:rPr>
          <w:rFonts w:ascii="Arial" w:cs="Arial" w:eastAsia="Arial" w:hAnsi="Arial"/>
          <w:sz w:val="16"/>
          <w:szCs w:val="16"/>
          <w:color w:val="auto"/>
        </w:rPr>
        <w:t>th</w:t>
      </w:r>
      <w:r>
        <w:rPr>
          <w:rFonts w:ascii="Arial" w:cs="Arial" w:eastAsia="Arial" w:hAnsi="Arial"/>
          <w:sz w:val="19"/>
          <w:szCs w:val="19"/>
          <w:color w:val="auto"/>
        </w:rPr>
        <w:t xml:space="preserve"> day, the “Payment Commencement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60</w:t>
      </w:r>
      <w:r>
        <w:rPr>
          <w:rFonts w:ascii="Arial" w:cs="Arial" w:eastAsia="Arial" w:hAnsi="Arial"/>
          <w:sz w:val="16"/>
          <w:szCs w:val="16"/>
          <w:color w:val="auto"/>
        </w:rPr>
        <w:t>th</w:t>
      </w:r>
      <w:r>
        <w:rPr>
          <w:rFonts w:ascii="Arial" w:cs="Arial" w:eastAsia="Arial" w:hAnsi="Arial"/>
          <w:sz w:val="19"/>
          <w:szCs w:val="19"/>
          <w:color w:val="auto"/>
        </w:rPr>
        <w:t xml:space="preserve"> day following the Employee’s date of termination occurs in the calendar year following the year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then the Payment Commencement Date shall be no earlier than January 1 of the year following the year of termination; and</w:t>
      </w:r>
    </w:p>
    <w:p>
      <w:pPr>
        <w:spacing w:after="0" w:line="43" w:lineRule="exact"/>
        <w:rPr>
          <w:sz w:val="20"/>
          <w:szCs w:val="20"/>
          <w:color w:val="auto"/>
        </w:rPr>
      </w:pPr>
    </w:p>
    <w:p>
      <w:pPr>
        <w:ind w:firstLine="1755"/>
        <w:spacing w:after="0" w:line="272" w:lineRule="auto"/>
        <w:rPr>
          <w:sz w:val="20"/>
          <w:szCs w:val="20"/>
          <w:color w:val="auto"/>
        </w:rPr>
      </w:pPr>
      <w:r>
        <w:rPr>
          <w:rFonts w:ascii="Arial" w:cs="Arial" w:eastAsia="Arial" w:hAnsi="Arial"/>
          <w:sz w:val="19"/>
          <w:szCs w:val="19"/>
          <w:color w:val="auto"/>
        </w:rPr>
        <w:t xml:space="preserve">5.2 upon the Employee’s termination from employment pursuant to this Section 5, the Company shall make contributions to the cost of COBRA (Consolidated Omnibus Budget Reconciliation Act) coverage on behalf of the Employee and any applicable dependents for a period of six (6) months after the Employee’s termination if the Employee elects COBRA coverage, and only for so long as such coverage continues in force;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Employee commences new employment and is eligible for a new group health plan, the Company’s contributions toward COBRA coverage shall end when the new employment begins. The cost of COBRA shall be determined on the same basis as the Company’s contribution to Company-provided health and dental insurance coverage in effect immediately before termination of the Employee’s employment for an active employee with the same coverage elections. At the end of the six (6) month period, the Employee may continue such COBRA, if applicable, and shall be responsible for all premiums thereafter.</w:t>
      </w:r>
    </w:p>
    <w:p>
      <w:pPr>
        <w:spacing w:after="0" w:line="184" w:lineRule="exact"/>
        <w:rPr>
          <w:sz w:val="20"/>
          <w:szCs w:val="20"/>
          <w:color w:val="auto"/>
        </w:rPr>
      </w:pPr>
    </w:p>
    <w:p>
      <w:pPr>
        <w:ind w:left="1700" w:hanging="815"/>
        <w:spacing w:after="0"/>
        <w:tabs>
          <w:tab w:leader="none" w:pos="17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Termination by Reason of Death or Disability.</w:t>
      </w:r>
    </w:p>
    <w:p>
      <w:pPr>
        <w:spacing w:after="0" w:line="8" w:lineRule="exact"/>
        <w:rPr>
          <w:sz w:val="20"/>
          <w:szCs w:val="20"/>
          <w:color w:val="auto"/>
        </w:rPr>
      </w:pPr>
    </w:p>
    <w:p>
      <w:pPr>
        <w:ind w:right="60" w:firstLine="1755"/>
        <w:spacing w:after="0" w:line="230" w:lineRule="auto"/>
        <w:rPr>
          <w:sz w:val="20"/>
          <w:szCs w:val="20"/>
          <w:color w:val="auto"/>
        </w:rPr>
      </w:pPr>
      <w:r>
        <w:rPr>
          <w:rFonts w:ascii="Arial" w:cs="Arial" w:eastAsia="Arial" w:hAnsi="Arial"/>
          <w:sz w:val="22"/>
          <w:szCs w:val="22"/>
          <w:color w:val="auto"/>
        </w:rPr>
        <w:t>6.1 If the Employee’s employment with the Company is terminated by reason of the Employee’s death or Disability (as defined below), then the Employee (or his estate, if applicable) shall be paid, within thirty (30) days of the date of the Employee’s death or determination of Disability, all accrued and unpaid base salary and any accrued but unused vacation through the date of termination.</w:t>
      </w:r>
    </w:p>
    <w:p>
      <w:pPr>
        <w:spacing w:after="0" w:line="3" w:lineRule="exact"/>
        <w:rPr>
          <w:sz w:val="20"/>
          <w:szCs w:val="20"/>
          <w:color w:val="auto"/>
        </w:rPr>
      </w:pPr>
    </w:p>
    <w:p>
      <w:pPr>
        <w:jc w:val="both"/>
        <w:ind w:right="100" w:firstLine="1755"/>
        <w:spacing w:after="0" w:line="234" w:lineRule="auto"/>
        <w:rPr>
          <w:sz w:val="20"/>
          <w:szCs w:val="20"/>
          <w:color w:val="auto"/>
        </w:rPr>
      </w:pPr>
      <w:r>
        <w:rPr>
          <w:rFonts w:ascii="Arial" w:cs="Arial" w:eastAsia="Arial" w:hAnsi="Arial"/>
          <w:sz w:val="22"/>
          <w:szCs w:val="22"/>
          <w:color w:val="auto"/>
        </w:rPr>
        <w:t>6.2 For purposes of this Agreement, “Disability” shall mean the Employee's absence from the full-time performance of the Employee’s duties with the Company for 180 consecutive calendar days as a result of incapacity due to mental or physical illness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83" w:name="page84"/>
    <w:bookmarkEnd w:id="83"/>
    <w:p>
      <w:pPr>
        <w:ind w:right="60"/>
        <w:spacing w:after="0" w:line="239" w:lineRule="auto"/>
        <w:rPr>
          <w:sz w:val="20"/>
          <w:szCs w:val="20"/>
          <w:color w:val="auto"/>
        </w:rPr>
      </w:pPr>
      <w:r>
        <w:rPr>
          <w:rFonts w:ascii="Arial" w:cs="Arial" w:eastAsia="Arial" w:hAnsi="Arial"/>
          <w:sz w:val="22"/>
          <w:szCs w:val="22"/>
          <w:color w:val="auto"/>
        </w:rPr>
        <w:t>determined to be total and permanent by a physician selected by the Company or its insurers and acceptable to the Employee or the Employee’s legal representative.</w:t>
      </w:r>
    </w:p>
    <w:p>
      <w:pPr>
        <w:ind w:left="1700" w:hanging="815"/>
        <w:spacing w:after="0" w:line="230" w:lineRule="auto"/>
        <w:tabs>
          <w:tab w:leader="none" w:pos="17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Termination Following Change of Control</w:t>
      </w:r>
      <w:r>
        <w:rPr>
          <w:rFonts w:ascii="Arial" w:cs="Arial" w:eastAsia="Arial" w:hAnsi="Arial"/>
          <w:sz w:val="22"/>
          <w:szCs w:val="22"/>
          <w:color w:val="auto"/>
        </w:rPr>
        <w:t>.</w:t>
      </w:r>
    </w:p>
    <w:p>
      <w:pPr>
        <w:spacing w:after="0" w:line="1" w:lineRule="exact"/>
        <w:rPr>
          <w:sz w:val="20"/>
          <w:szCs w:val="20"/>
          <w:color w:val="auto"/>
        </w:rPr>
      </w:pPr>
    </w:p>
    <w:p>
      <w:pPr>
        <w:ind w:right="20" w:firstLine="1755"/>
        <w:spacing w:after="0" w:line="23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Benefits to Employee Upon a Change of Control Termination</w:t>
      </w:r>
      <w:r>
        <w:rPr>
          <w:rFonts w:ascii="Arial" w:cs="Arial" w:eastAsia="Arial" w:hAnsi="Arial"/>
          <w:sz w:val="22"/>
          <w:szCs w:val="22"/>
          <w:color w:val="auto"/>
        </w:rPr>
        <w:t>. In the event of a Change of Control Termination (as defined in Section 7.2(c) below), the Employee shall be entitled to all accrued and unpaid base salary and any accrued but unused vacation through the date of termination. In addition, subject to the Employee’s execution and non-revocation of a binding severance and mutual release agreement in a form satisfactory to the Company (hereinafter, a “Severance Agreement”) and subject to the terms and conditions of Section 19 of this Agreement, the Employee shall be eligible to receive the following separation benefits:</w:t>
      </w:r>
    </w:p>
    <w:p>
      <w:pPr>
        <w:spacing w:after="0" w:line="4" w:lineRule="exact"/>
        <w:rPr>
          <w:sz w:val="20"/>
          <w:szCs w:val="20"/>
          <w:color w:val="auto"/>
        </w:rPr>
      </w:pPr>
    </w:p>
    <w:p>
      <w:pPr>
        <w:ind w:right="140" w:firstLine="2642"/>
        <w:spacing w:after="0" w:line="267" w:lineRule="auto"/>
        <w:tabs>
          <w:tab w:leader="none" w:pos="3522"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 amount equal to the product of (i) one twelfth (1/12) of the Employee’s then-current annualized base salary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Employee’s employment is terminated by the Employee’s voluntary resignation for Good Reason as a result of the Company’s material reduction of the Employee’s base salary, then the Employee’s then-current annualized base salary shall refer to his base salary as in effect immediately before such material reduction took effect) and (ii) six</w:t>
      </w:r>
    </w:p>
    <w:p>
      <w:pPr>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(6), less any amounts required to be withheld under applicable law, which amount shall be payable, in full and in a lump-sum cash payment on the Payment Commencement Date (as defined below);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Employee’s date of termination occurs prior to the closing of the Change of Control, then the amount payable hereunder shall instead be paid in six (6) substantially equal monthly installments, in accordance with the Company’s payroll practices in effect from time to time beginning on the Payment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4" w:name="page85"/>
    <w:bookmarkEnd w:id="84"/>
    <w:p>
      <w:pPr>
        <w:ind w:left="-1200" w:firstLine="2642"/>
        <w:spacing w:after="0" w:line="243" w:lineRule="auto"/>
        <w:tabs>
          <w:tab w:leader="none" w:pos="2334"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amount of any bonus for the prior year that was approved but not yet paid to the Employee at the time of the Employee’s termination of employment, less any amounts required to be withheld under applicable law, which amount shall be paid in a manner and timing consistent with the payments to other similarly situated employees and consistent with the requirements of Section 409A of the Internal Revenue Code of 1986, as amended (the “Code”) but in no event later than March 15 of the year following the year of performance; provided, with respect to the separation benefits described in both Sections 7.1(a) and (b), that the Severance Agreement has been executed and any applicable revocation period with respect thereto has expired within sixty (60) days following the Employee’s date of termination (such 60</w:t>
      </w:r>
      <w:r>
        <w:rPr>
          <w:rFonts w:ascii="Arial" w:cs="Arial" w:eastAsia="Arial" w:hAnsi="Arial"/>
          <w:sz w:val="17"/>
          <w:szCs w:val="17"/>
          <w:color w:val="auto"/>
        </w:rPr>
        <w:t>th</w:t>
      </w:r>
      <w:r>
        <w:rPr>
          <w:rFonts w:ascii="Arial" w:cs="Arial" w:eastAsia="Arial" w:hAnsi="Arial"/>
          <w:sz w:val="21"/>
          <w:szCs w:val="21"/>
          <w:color w:val="auto"/>
        </w:rPr>
        <w:t xml:space="preserve"> day, the “Payment Commencement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60</w:t>
      </w:r>
      <w:r>
        <w:rPr>
          <w:rFonts w:ascii="Arial" w:cs="Arial" w:eastAsia="Arial" w:hAnsi="Arial"/>
          <w:sz w:val="17"/>
          <w:szCs w:val="17"/>
          <w:color w:val="auto"/>
        </w:rPr>
        <w:t>th</w:t>
      </w:r>
      <w:r>
        <w:rPr>
          <w:rFonts w:ascii="Arial" w:cs="Arial" w:eastAsia="Arial" w:hAnsi="Arial"/>
          <w:sz w:val="21"/>
          <w:szCs w:val="21"/>
          <w:color w:val="auto"/>
        </w:rPr>
        <w:t xml:space="preserve"> day following the Employee’s date of termination occurs in the calendar year following the year of termination, then the Payment Commencement Date shall be no earlier than January 1 of the year following the year of termination;</w:t>
      </w:r>
    </w:p>
    <w:p>
      <w:pPr>
        <w:spacing w:after="0" w:line="3" w:lineRule="exact"/>
        <w:rPr>
          <w:rFonts w:ascii="Arial" w:cs="Arial" w:eastAsia="Arial" w:hAnsi="Arial"/>
          <w:sz w:val="21"/>
          <w:szCs w:val="21"/>
          <w:color w:val="auto"/>
        </w:rPr>
      </w:pPr>
    </w:p>
    <w:p>
      <w:pPr>
        <w:ind w:left="-1200" w:firstLine="2642"/>
        <w:spacing w:after="0" w:line="243" w:lineRule="auto"/>
        <w:tabs>
          <w:tab w:leader="none" w:pos="2322"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upon the Employee’s termination from employment pursuant to this Section 7, the Company shall make contributions to the cost of COBRA (Consolidated Omnibus Budget Reconciliation Act) coverage on behalf of the Employee and any applicable dependents for a period of six (6) months after the Employee’s termination if the Employee elects COBRA coverage, and only for so long as such coverage continues in force;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Employee commences new employment and is eligible for a new group health plan, the Company’s contributions toward COBRA coverage shall end when the new employment begins. The cost of COBRA shall be determined on the same basis as the Company’s contribution to Company-provided health and dental insurance coverage in effect immediately before termination of the Employee’s employment for an active employee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497205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040"/>
          </w:cols>
          <w:pgMar w:left="1440" w:top="361" w:right="419" w:bottom="1440" w:gutter="0" w:footer="0" w:header="0"/>
        </w:sectPr>
      </w:pPr>
    </w:p>
    <w:bookmarkStart w:id="85" w:name="page86"/>
    <w:bookmarkEnd w:id="85"/>
    <w:p>
      <w:pPr>
        <w:spacing w:after="0" w:line="239" w:lineRule="auto"/>
        <w:rPr>
          <w:sz w:val="20"/>
          <w:szCs w:val="20"/>
          <w:color w:val="auto"/>
        </w:rPr>
      </w:pPr>
      <w:r>
        <w:rPr>
          <w:rFonts w:ascii="Arial" w:cs="Arial" w:eastAsia="Arial" w:hAnsi="Arial"/>
          <w:sz w:val="22"/>
          <w:szCs w:val="22"/>
          <w:color w:val="auto"/>
        </w:rPr>
        <w:t>same coverage elections. At the end of the six (6) month period, the Employee may continue such COBRA, if applicable, and shall be responsible for all premiums thereafter; and</w:t>
      </w:r>
    </w:p>
    <w:p>
      <w:pPr>
        <w:ind w:firstLine="2642"/>
        <w:spacing w:after="0" w:line="267" w:lineRule="auto"/>
        <w:tabs>
          <w:tab w:leader="none" w:pos="3534" w:val="left"/>
        </w:tabs>
        <w:numPr>
          <w:ilvl w:val="0"/>
          <w:numId w:val="73"/>
        </w:numPr>
        <w:rPr>
          <w:rFonts w:ascii="Arial" w:cs="Arial" w:eastAsia="Arial" w:hAnsi="Arial"/>
          <w:sz w:val="19"/>
          <w:szCs w:val="19"/>
          <w:color w:val="auto"/>
        </w:rPr>
      </w:pPr>
      <w:r>
        <w:rPr>
          <w:rFonts w:ascii="Arial" w:cs="Arial" w:eastAsia="Arial" w:hAnsi="Arial"/>
          <w:sz w:val="19"/>
          <w:szCs w:val="19"/>
          <w:color w:val="auto"/>
        </w:rPr>
        <w:t>full and immediate vesting of any equity awards subject to time-based vesting that are outstanding at the time of the termination of the Employee’s employment. Any of the Employee’s outstanding awards at the time of the termination will remain exercisable following termination to the extent set forth in the applicable award agreements.</w:t>
      </w:r>
    </w:p>
    <w:p>
      <w:pPr>
        <w:ind w:left="1760"/>
        <w:spacing w:after="0"/>
        <w:rPr>
          <w:rFonts w:ascii="Arial" w:cs="Arial" w:eastAsia="Arial" w:hAnsi="Arial"/>
          <w:sz w:val="19"/>
          <w:szCs w:val="19"/>
          <w:color w:val="auto"/>
        </w:rPr>
      </w:pPr>
      <w:r>
        <w:rPr>
          <w:rFonts w:ascii="Arial" w:cs="Arial" w:eastAsia="Arial" w:hAnsi="Arial"/>
          <w:sz w:val="22"/>
          <w:szCs w:val="22"/>
          <w:color w:val="auto"/>
        </w:rPr>
        <w:t>7.2</w:t>
      </w:r>
      <w:r>
        <w:rPr>
          <w:rFonts w:ascii="Arial" w:cs="Arial" w:eastAsia="Arial" w:hAnsi="Arial"/>
          <w:sz w:val="19"/>
          <w:szCs w:val="19"/>
          <w:u w:val="single" w:color="auto"/>
          <w:color w:val="auto"/>
        </w:rPr>
        <w:t>Key Definitions</w:t>
      </w:r>
      <w:r>
        <w:rPr>
          <w:rFonts w:ascii="Arial" w:cs="Arial" w:eastAsia="Arial" w:hAnsi="Arial"/>
          <w:sz w:val="19"/>
          <w:szCs w:val="19"/>
          <w:color w:val="auto"/>
        </w:rPr>
        <w:t>. As used herein, the following terms shall have the following respective meanings:</w:t>
      </w:r>
    </w:p>
    <w:p>
      <w:pPr>
        <w:spacing w:after="0" w:line="1" w:lineRule="exact"/>
        <w:rPr>
          <w:sz w:val="20"/>
          <w:szCs w:val="20"/>
          <w:color w:val="auto"/>
        </w:rPr>
      </w:pPr>
    </w:p>
    <w:p>
      <w:pPr>
        <w:jc w:val="both"/>
        <w:ind w:right="240" w:firstLine="2642"/>
        <w:spacing w:after="0" w:line="230" w:lineRule="auto"/>
        <w:tabs>
          <w:tab w:leader="none" w:pos="3522" w:val="left"/>
        </w:tabs>
        <w:numPr>
          <w:ilvl w:val="0"/>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an event or occurrence set forth in any one or more of subsections (i) through (iii) below (including an event or occurrence that constitutes a Change in Control under one of such subsections but is specifically exempted from another such subsection), provided that such event constitutes a “change in control event” within the meaning of Treasury Regulation Section 1.409A-3(i)(5)(i):</w:t>
      </w:r>
    </w:p>
    <w:p>
      <w:pPr>
        <w:spacing w:after="0" w:line="2" w:lineRule="exact"/>
        <w:rPr>
          <w:rFonts w:ascii="Arial" w:cs="Arial" w:eastAsia="Arial" w:hAnsi="Arial"/>
          <w:sz w:val="22"/>
          <w:szCs w:val="22"/>
          <w:color w:val="auto"/>
        </w:rPr>
      </w:pPr>
    </w:p>
    <w:p>
      <w:pPr>
        <w:ind w:left="4380" w:hanging="861"/>
        <w:spacing w:after="0"/>
        <w:tabs>
          <w:tab w:leader="none" w:pos="43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acquisition by an individual, entity or group (within the meaning of Section</w:t>
      </w:r>
    </w:p>
    <w:p>
      <w:pPr>
        <w:spacing w:after="0" w:line="24" w:lineRule="exact"/>
        <w:rPr>
          <w:rFonts w:ascii="Arial" w:cs="Arial" w:eastAsia="Arial" w:hAnsi="Arial"/>
          <w:sz w:val="19"/>
          <w:szCs w:val="19"/>
          <w:color w:val="auto"/>
        </w:rPr>
      </w:pPr>
    </w:p>
    <w:p>
      <w:pPr>
        <w:ind w:right="20"/>
        <w:spacing w:after="0" w:line="267" w:lineRule="auto"/>
        <w:rPr>
          <w:rFonts w:ascii="Arial" w:cs="Arial" w:eastAsia="Arial" w:hAnsi="Arial"/>
          <w:sz w:val="19"/>
          <w:szCs w:val="19"/>
          <w:color w:val="auto"/>
        </w:rPr>
      </w:pPr>
      <w:r>
        <w:rPr>
          <w:rFonts w:ascii="Arial" w:cs="Arial" w:eastAsia="Arial" w:hAnsi="Arial"/>
          <w:sz w:val="19"/>
          <w:szCs w:val="19"/>
          <w:color w:val="auto"/>
        </w:rPr>
        <w:t>13(d)(3) or 14(d)(2) of the Securities Exchange Act of 1934, as amended (the “Exchange Act”)) (a “Person”) of beneficial ownership of any capital stock of the Company if, after such acquisition, such Person beneficially owns (within the meaning of Rule 13d-3 promulgated under the Exchange Act) more than 50%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or</w:t>
      </w:r>
    </w:p>
    <w:p>
      <w:pPr>
        <w:ind w:right="20" w:firstLine="3519"/>
        <w:spacing w:after="0" w:line="237" w:lineRule="auto"/>
        <w:tabs>
          <w:tab w:leader="none" w:pos="4424"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consummation of a merger, consolidation, reorganization, recapitalization or share exchange involving the Company or a sale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6" w:name="page87"/>
    <w:bookmarkEnd w:id="86"/>
    <w:p>
      <w:pPr>
        <w:spacing w:after="0" w:line="269" w:lineRule="auto"/>
        <w:rPr>
          <w:sz w:val="20"/>
          <w:szCs w:val="20"/>
          <w:color w:val="auto"/>
        </w:rPr>
      </w:pPr>
      <w:r>
        <w:rPr>
          <w:rFonts w:ascii="Arial" w:cs="Arial" w:eastAsia="Arial" w:hAnsi="Arial"/>
          <w:sz w:val="19"/>
          <w:szCs w:val="19"/>
          <w:color w:val="auto"/>
        </w:rPr>
        <w:t>disposition of all or substantially all of the assets of the Company in one or a series of transactions (a “Business Combination”), unless, immediately following such Business Combination,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or</w:t>
      </w:r>
    </w:p>
    <w:p>
      <w:pPr>
        <w:ind w:right="380" w:firstLine="3519"/>
        <w:spacing w:after="0" w:line="230" w:lineRule="auto"/>
        <w:tabs>
          <w:tab w:leader="none" w:pos="4484" w:val="left"/>
        </w:tabs>
        <w:numPr>
          <w:ilvl w:val="1"/>
          <w:numId w:val="75"/>
        </w:numPr>
        <w:rPr>
          <w:rFonts w:ascii="Arial" w:cs="Arial" w:eastAsia="Arial" w:hAnsi="Arial"/>
          <w:sz w:val="22"/>
          <w:szCs w:val="22"/>
          <w:color w:val="auto"/>
        </w:rPr>
      </w:pPr>
      <w:r>
        <w:rPr>
          <w:rFonts w:ascii="Arial" w:cs="Arial" w:eastAsia="Arial" w:hAnsi="Arial"/>
          <w:sz w:val="22"/>
          <w:szCs w:val="22"/>
          <w:color w:val="auto"/>
        </w:rPr>
        <w:t>approval by the stockholders of the Company of a complete or substantially complete liquidation or dissolution of the Company.</w:t>
      </w:r>
    </w:p>
    <w:p>
      <w:pPr>
        <w:spacing w:after="0" w:line="1" w:lineRule="exact"/>
        <w:rPr>
          <w:rFonts w:ascii="Arial" w:cs="Arial" w:eastAsia="Arial" w:hAnsi="Arial"/>
          <w:sz w:val="22"/>
          <w:szCs w:val="22"/>
          <w:color w:val="auto"/>
        </w:rPr>
      </w:pPr>
    </w:p>
    <w:p>
      <w:pPr>
        <w:ind w:right="220" w:firstLine="2642"/>
        <w:spacing w:after="0" w:line="232" w:lineRule="auto"/>
        <w:tabs>
          <w:tab w:leader="none" w:pos="3534"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first date during the period of time the Employee is employed pursuant to this Agreement on which a Change in Control occurs. Anything in this Agreement to the contrary notwithstanding, if (a) a Change in Control occurs, (b) the Employee’s employment with the Company is terminated prior to the date on which the Change in Control occurs, and (c) it is reasonably demonstrated by the Employee that such termination of employment (i) was at the request of a third party who has taken steps reasonably calculated to effect a Change in Control or (ii) otherwise arose in connection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7" w:name="page88"/>
    <w:bookmarkEnd w:id="87"/>
    <w:p>
      <w:pPr>
        <w:ind w:right="260"/>
        <w:spacing w:after="0" w:line="239" w:lineRule="auto"/>
        <w:rPr>
          <w:sz w:val="20"/>
          <w:szCs w:val="20"/>
          <w:color w:val="auto"/>
        </w:rPr>
      </w:pPr>
      <w:r>
        <w:rPr>
          <w:rFonts w:ascii="Arial" w:cs="Arial" w:eastAsia="Arial" w:hAnsi="Arial"/>
          <w:sz w:val="22"/>
          <w:szCs w:val="22"/>
          <w:color w:val="auto"/>
        </w:rPr>
        <w:t>in anticipation of a Change in Control, then for all purposes of this Agreement the “Change in Control Date” shall mean the date immediately prior to the date of such termination of employment.</w:t>
      </w:r>
    </w:p>
    <w:p>
      <w:pPr>
        <w:ind w:right="220" w:firstLine="2642"/>
        <w:spacing w:after="0" w:line="230" w:lineRule="auto"/>
        <w:tabs>
          <w:tab w:leader="none" w:pos="3522"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Change of Control Termination</w:t>
      </w:r>
      <w:r>
        <w:rPr>
          <w:rFonts w:ascii="Arial" w:cs="Arial" w:eastAsia="Arial" w:hAnsi="Arial"/>
          <w:sz w:val="22"/>
          <w:szCs w:val="22"/>
          <w:color w:val="auto"/>
        </w:rPr>
        <w:t xml:space="preserve"> occurs where the Employee is terminated without Cause (as defined in Section 4.3) or resigns for Good Reason (as defined in Section 4.2), in either case within twelve (12) months following the Change in Control Date.</w:t>
      </w:r>
    </w:p>
    <w:p>
      <w:pPr>
        <w:spacing w:after="0" w:line="2" w:lineRule="exact"/>
        <w:rPr>
          <w:rFonts w:ascii="Arial" w:cs="Arial" w:eastAsia="Arial" w:hAnsi="Arial"/>
          <w:sz w:val="22"/>
          <w:szCs w:val="22"/>
          <w:color w:val="auto"/>
        </w:rPr>
      </w:pPr>
    </w:p>
    <w:p>
      <w:pPr>
        <w:ind w:right="20" w:firstLine="885"/>
        <w:spacing w:after="0" w:line="230" w:lineRule="auto"/>
        <w:tabs>
          <w:tab w:leader="none" w:pos="168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Mitigation</w:t>
      </w:r>
      <w:r>
        <w:rPr>
          <w:rFonts w:ascii="Arial" w:cs="Arial" w:eastAsia="Arial" w:hAnsi="Arial"/>
          <w:sz w:val="22"/>
          <w:szCs w:val="22"/>
          <w:color w:val="auto"/>
        </w:rPr>
        <w:t>. The Employee shall not be required to mitigate the amount of any payment or benefits provided for in Section 7 by seeking other employment or otherwise except with regard to medical and dental coverage if new employment is obtained.</w:t>
      </w:r>
    </w:p>
    <w:p>
      <w:pPr>
        <w:spacing w:after="0" w:line="2" w:lineRule="exact"/>
        <w:rPr>
          <w:rFonts w:ascii="Arial" w:cs="Arial" w:eastAsia="Arial" w:hAnsi="Arial"/>
          <w:sz w:val="22"/>
          <w:szCs w:val="22"/>
          <w:color w:val="auto"/>
        </w:rPr>
      </w:pPr>
    </w:p>
    <w:p>
      <w:pPr>
        <w:ind w:left="1700" w:hanging="815"/>
        <w:spacing w:after="0"/>
        <w:tabs>
          <w:tab w:leader="none" w:pos="170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provisions of Sections 5 and 7 shall survive the termination of this Agreement for any reason.</w:t>
      </w:r>
    </w:p>
    <w:p>
      <w:pPr>
        <w:spacing w:after="0" w:line="24" w:lineRule="exact"/>
        <w:rPr>
          <w:rFonts w:ascii="Arial" w:cs="Arial" w:eastAsia="Arial" w:hAnsi="Arial"/>
          <w:sz w:val="19"/>
          <w:szCs w:val="19"/>
          <w:color w:val="auto"/>
        </w:rPr>
      </w:pPr>
    </w:p>
    <w:p>
      <w:pPr>
        <w:ind w:firstLine="885"/>
        <w:spacing w:after="0" w:line="230" w:lineRule="auto"/>
        <w:tabs>
          <w:tab w:leader="none" w:pos="179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Invention and Non-Disclosure Agreement</w:t>
      </w:r>
      <w:r>
        <w:rPr>
          <w:rFonts w:ascii="Arial" w:cs="Arial" w:eastAsia="Arial" w:hAnsi="Arial"/>
          <w:sz w:val="22"/>
          <w:szCs w:val="22"/>
          <w:color w:val="auto"/>
        </w:rPr>
        <w:t>. The Employee and the Company shall enter into the Invention and Non-Disclosure Agreement attached hereto as Exhibit A, effective as of the Commencement Date. The Company will comply with all applicable patent, copyright and other intellectual property laws with regard to inventorship and will give the Employee appropriate attribution for his works of authorship consistent with industry and professional standards, as determined by the Company in its reasonable discretion.</w:t>
      </w:r>
    </w:p>
    <w:p>
      <w:pPr>
        <w:spacing w:after="0" w:line="3" w:lineRule="exact"/>
        <w:rPr>
          <w:rFonts w:ascii="Arial" w:cs="Arial" w:eastAsia="Arial" w:hAnsi="Arial"/>
          <w:sz w:val="22"/>
          <w:szCs w:val="22"/>
          <w:color w:val="auto"/>
        </w:rPr>
      </w:pPr>
    </w:p>
    <w:p>
      <w:pPr>
        <w:ind w:firstLine="885"/>
        <w:spacing w:after="0" w:line="233" w:lineRule="auto"/>
        <w:tabs>
          <w:tab w:leader="none" w:pos="178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Immigration Reform and Control Act</w:t>
      </w:r>
      <w:r>
        <w:rPr>
          <w:rFonts w:ascii="Arial" w:cs="Arial" w:eastAsia="Arial" w:hAnsi="Arial"/>
          <w:sz w:val="22"/>
          <w:szCs w:val="22"/>
          <w:color w:val="auto"/>
        </w:rPr>
        <w:t>. On the Commencement Date, the Employee shall complete, as required by law, the Employment Eligibility Verification Form I-9 and shall provide the Company with appropriate documents to establish the Employee’s eligibility to work in the United States (e.g., Social Security card and driver’s license, or United States passport). The Employee’s employment is contingent upon the Employee’s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8" w:name="page89"/>
    <w:bookmarkEnd w:id="88"/>
    <w:p>
      <w:pPr>
        <w:spacing w:after="0"/>
        <w:rPr>
          <w:sz w:val="20"/>
          <w:szCs w:val="20"/>
          <w:color w:val="auto"/>
        </w:rPr>
      </w:pPr>
      <w:r>
        <w:rPr>
          <w:rFonts w:ascii="Arial" w:cs="Arial" w:eastAsia="Arial" w:hAnsi="Arial"/>
          <w:sz w:val="21"/>
          <w:szCs w:val="21"/>
          <w:color w:val="auto"/>
        </w:rPr>
        <w:t>provide the Company with satisfactory proof of the Employee’s identity and authorization to work in the United States.</w:t>
      </w:r>
    </w:p>
    <w:p>
      <w:pPr>
        <w:spacing w:after="0" w:line="20" w:lineRule="exact"/>
        <w:rPr>
          <w:sz w:val="20"/>
          <w:szCs w:val="20"/>
          <w:color w:val="auto"/>
        </w:rPr>
      </w:pPr>
    </w:p>
    <w:p>
      <w:pPr>
        <w:ind w:right="180" w:firstLine="885"/>
        <w:spacing w:after="0" w:line="230" w:lineRule="auto"/>
        <w:tabs>
          <w:tab w:leader="none" w:pos="179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delivered under this Agreement shall be deemed duly delivered three (3) business days after it is sent by registered or certified mail, return receipt requested, postage prepaid, or one (1) business day after it is sent for next-business day delivery signature required via a reputable nationwide overnight courier service, to the Company’s address set forth in the introductory paragraph hereto or to the home address of the Employee then on file with the Company, as applicable. Either party may change the address to which notices are to be delivered by giving notice of such change to the other party in the manner set forth in this Section 12.</w:t>
      </w:r>
    </w:p>
    <w:p>
      <w:pPr>
        <w:spacing w:after="0" w:line="4" w:lineRule="exact"/>
        <w:rPr>
          <w:rFonts w:ascii="Arial" w:cs="Arial" w:eastAsia="Arial" w:hAnsi="Arial"/>
          <w:sz w:val="22"/>
          <w:szCs w:val="22"/>
          <w:color w:val="auto"/>
        </w:rPr>
      </w:pPr>
    </w:p>
    <w:p>
      <w:pPr>
        <w:ind w:firstLine="885"/>
        <w:spacing w:after="0" w:line="230" w:lineRule="auto"/>
        <w:tabs>
          <w:tab w:leader="none" w:pos="179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Pronouns</w:t>
      </w:r>
      <w:r>
        <w:rPr>
          <w:rFonts w:ascii="Arial" w:cs="Arial" w:eastAsia="Arial" w:hAnsi="Arial"/>
          <w:sz w:val="22"/>
          <w:szCs w:val="22"/>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2" w:lineRule="exact"/>
        <w:rPr>
          <w:rFonts w:ascii="Arial" w:cs="Arial" w:eastAsia="Arial" w:hAnsi="Arial"/>
          <w:sz w:val="22"/>
          <w:szCs w:val="22"/>
          <w:color w:val="auto"/>
        </w:rPr>
      </w:pPr>
    </w:p>
    <w:p>
      <w:pPr>
        <w:ind w:right="80" w:firstLine="885"/>
        <w:spacing w:after="0" w:line="267" w:lineRule="auto"/>
        <w:tabs>
          <w:tab w:leader="none" w:pos="179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all exhibits hereto constitute the entire agreement between the parties and supersedes all prior agreements and understandings, whether written or oral, relating to the subject matter of this Agreement.</w:t>
      </w:r>
    </w:p>
    <w:p>
      <w:pPr>
        <w:ind w:right="20" w:firstLine="885"/>
        <w:spacing w:after="0" w:line="230" w:lineRule="auto"/>
        <w:tabs>
          <w:tab w:leader="none" w:pos="179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executed by both the Company and the Employee.</w:t>
      </w:r>
    </w:p>
    <w:p>
      <w:pPr>
        <w:spacing w:after="0" w:line="1" w:lineRule="exact"/>
        <w:rPr>
          <w:rFonts w:ascii="Arial" w:cs="Arial" w:eastAsia="Arial" w:hAnsi="Arial"/>
          <w:sz w:val="22"/>
          <w:szCs w:val="22"/>
          <w:color w:val="auto"/>
        </w:rPr>
      </w:pPr>
    </w:p>
    <w:p>
      <w:pPr>
        <w:ind w:right="80" w:firstLine="885"/>
        <w:spacing w:after="0" w:line="233" w:lineRule="auto"/>
        <w:tabs>
          <w:tab w:leader="none" w:pos="179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9" w:name="page90"/>
    <w:bookmarkEnd w:id="89"/>
    <w:p>
      <w:pPr>
        <w:ind w:right="80"/>
        <w:spacing w:after="0" w:line="236" w:lineRule="auto"/>
        <w:rPr>
          <w:sz w:val="20"/>
          <w:szCs w:val="20"/>
          <w:color w:val="auto"/>
        </w:rPr>
      </w:pPr>
      <w:r>
        <w:rPr>
          <w:rFonts w:ascii="Arial" w:cs="Arial" w:eastAsia="Arial" w:hAnsi="Arial"/>
          <w:sz w:val="22"/>
          <w:szCs w:val="22"/>
          <w:color w:val="auto"/>
        </w:rPr>
        <w:t>Commonwealth of Massachusetts), and the Company and the Employee each consents to the jurisdiction of such a court. The Company and the Employee each hereby irrevocably waive any right to a trial by jury in any action, suit or other legal proceeding arising under or relating to any provision of this Agreement.</w:t>
      </w:r>
    </w:p>
    <w:p>
      <w:pPr>
        <w:spacing w:after="0" w:line="1" w:lineRule="exact"/>
        <w:rPr>
          <w:sz w:val="20"/>
          <w:szCs w:val="20"/>
          <w:color w:val="auto"/>
        </w:rPr>
      </w:pPr>
    </w:p>
    <w:p>
      <w:pPr>
        <w:ind w:firstLine="885"/>
        <w:spacing w:after="0" w:line="230" w:lineRule="auto"/>
        <w:tabs>
          <w:tab w:leader="none" w:pos="179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shall be binding upon and inure to the benefit of both parties and their respective successors and assigns, including any corporation with which or into which the Company may be merged or which may succeed to its assets or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obligations of the Employee are personal and shall not be assigned by him.</w:t>
      </w:r>
    </w:p>
    <w:p>
      <w:pPr>
        <w:spacing w:after="0" w:line="2" w:lineRule="exact"/>
        <w:rPr>
          <w:rFonts w:ascii="Arial" w:cs="Arial" w:eastAsia="Arial" w:hAnsi="Arial"/>
          <w:sz w:val="22"/>
          <w:szCs w:val="22"/>
          <w:color w:val="auto"/>
        </w:rPr>
      </w:pPr>
    </w:p>
    <w:p>
      <w:pPr>
        <w:jc w:val="both"/>
        <w:ind w:right="140" w:firstLine="885"/>
        <w:spacing w:after="0" w:line="230" w:lineRule="auto"/>
        <w:tabs>
          <w:tab w:leader="none" w:pos="179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The Employee states and represents that he has had an opportunity to fully discuss and review the terms of this Agreement with an attorney. The Employee further states and represents that he has carefully read this Agreement, understands the contents herein, freely and voluntarily assents to all of the terms and conditions hereof, and signs his name of his own free act.</w:t>
      </w:r>
    </w:p>
    <w:p>
      <w:pPr>
        <w:spacing w:after="0" w:line="2" w:lineRule="exact"/>
        <w:rPr>
          <w:rFonts w:ascii="Arial" w:cs="Arial" w:eastAsia="Arial" w:hAnsi="Arial"/>
          <w:sz w:val="22"/>
          <w:szCs w:val="22"/>
          <w:color w:val="auto"/>
        </w:rPr>
      </w:pPr>
    </w:p>
    <w:p>
      <w:pPr>
        <w:ind w:right="40" w:firstLine="885"/>
        <w:spacing w:after="0" w:line="267" w:lineRule="auto"/>
        <w:tabs>
          <w:tab w:leader="none" w:pos="179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Payments Subject to Section 409A</w:t>
      </w:r>
      <w:r>
        <w:rPr>
          <w:rFonts w:ascii="Arial" w:cs="Arial" w:eastAsia="Arial" w:hAnsi="Arial"/>
          <w:sz w:val="19"/>
          <w:szCs w:val="19"/>
          <w:color w:val="auto"/>
        </w:rPr>
        <w:t>. Subject to the provisions in this Section 19, any severance payments or benefits under this Agreement shall begin only upon the date of the Employee’s “separation from service” (determined as set forth below) which occurs on or after the date of termination of the Employee’s employment. The following rules shall apply with respect to distribution of the payments and benefits, if any, to be provided to the Employee under this Agreement:</w:t>
      </w:r>
    </w:p>
    <w:p>
      <w:pPr>
        <w:ind w:firstLine="2642"/>
        <w:spacing w:after="0" w:line="234" w:lineRule="auto"/>
        <w:tabs>
          <w:tab w:leader="none" w:pos="3522" w:val="left"/>
        </w:tabs>
        <w:numPr>
          <w:ilvl w:val="1"/>
          <w:numId w:val="80"/>
        </w:numPr>
        <w:rPr>
          <w:rFonts w:ascii="Arial" w:cs="Arial" w:eastAsia="Arial" w:hAnsi="Arial"/>
          <w:sz w:val="22"/>
          <w:szCs w:val="22"/>
          <w:color w:val="auto"/>
        </w:rPr>
      </w:pPr>
      <w:r>
        <w:rPr>
          <w:rFonts w:ascii="Arial" w:cs="Arial" w:eastAsia="Arial" w:hAnsi="Arial"/>
          <w:sz w:val="22"/>
          <w:szCs w:val="22"/>
          <w:color w:val="auto"/>
        </w:rPr>
        <w:t>It is intended that each installment of the severance payments and benefits provided under this Agreement shall be treated as a separate “payment” for purposes of Section 409A of the Code and the guidance issued thereunder (“Section 409A”). Neither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61" w:right="339" w:bottom="1440" w:gutter="0" w:footer="0" w:header="0"/>
        </w:sectPr>
      </w:pPr>
    </w:p>
    <w:bookmarkStart w:id="90" w:name="page91"/>
    <w:bookmarkEnd w:id="90"/>
    <w:p>
      <w:pPr>
        <w:ind w:right="220"/>
        <w:spacing w:after="0" w:line="239" w:lineRule="auto"/>
        <w:rPr>
          <w:sz w:val="20"/>
          <w:szCs w:val="20"/>
          <w:color w:val="auto"/>
        </w:rPr>
      </w:pPr>
      <w:r>
        <w:rPr>
          <w:rFonts w:ascii="Arial" w:cs="Arial" w:eastAsia="Arial" w:hAnsi="Arial"/>
          <w:sz w:val="22"/>
          <w:szCs w:val="22"/>
          <w:color w:val="auto"/>
        </w:rPr>
        <w:t>Company nor the Employee shall have the right to accelerate or defer the delivery of any such payments or benefits except to the extent specifically permitted or required by Section 409A.</w:t>
      </w:r>
    </w:p>
    <w:p>
      <w:pPr>
        <w:ind w:right="280" w:firstLine="2642"/>
        <w:spacing w:after="0" w:line="241" w:lineRule="auto"/>
        <w:tabs>
          <w:tab w:leader="none" w:pos="3534" w:val="left"/>
        </w:tabs>
        <w:numPr>
          <w:ilvl w:val="0"/>
          <w:numId w:val="81"/>
        </w:numPr>
        <w:rPr>
          <w:rFonts w:ascii="Arial" w:cs="Arial" w:eastAsia="Arial" w:hAnsi="Arial"/>
          <w:sz w:val="21"/>
          <w:szCs w:val="21"/>
          <w:color w:val="auto"/>
        </w:rPr>
      </w:pPr>
      <w:r>
        <w:rPr>
          <w:rFonts w:ascii="Arial" w:cs="Arial" w:eastAsia="Arial" w:hAnsi="Arial"/>
          <w:sz w:val="21"/>
          <w:szCs w:val="21"/>
          <w:color w:val="auto"/>
        </w:rPr>
        <w:t>If, as of the date of the Employee’s “separation from service” from the Company, the Employee is not a “specified employee” (within the meaning of Section 409A), then each installment of the severance payments and benefits shall be made on the dates and terms set forth in this Agreement.</w:t>
      </w:r>
    </w:p>
    <w:p>
      <w:pPr>
        <w:spacing w:after="0" w:line="1" w:lineRule="exact"/>
        <w:rPr>
          <w:rFonts w:ascii="Arial" w:cs="Arial" w:eastAsia="Arial" w:hAnsi="Arial"/>
          <w:sz w:val="21"/>
          <w:szCs w:val="21"/>
          <w:color w:val="auto"/>
        </w:rPr>
      </w:pPr>
    </w:p>
    <w:p>
      <w:pPr>
        <w:ind w:right="500" w:firstLine="2642"/>
        <w:spacing w:after="0" w:line="230" w:lineRule="auto"/>
        <w:tabs>
          <w:tab w:leader="none" w:pos="3522"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as of the date of the Employee’s “separation from service” from the Company, the Employee is a “specified employee” (within the meaning of Section 409A), then:</w:t>
      </w:r>
    </w:p>
    <w:p>
      <w:pPr>
        <w:spacing w:after="0" w:line="1" w:lineRule="exact"/>
        <w:rPr>
          <w:rFonts w:ascii="Arial" w:cs="Arial" w:eastAsia="Arial" w:hAnsi="Arial"/>
          <w:sz w:val="22"/>
          <w:szCs w:val="22"/>
          <w:color w:val="auto"/>
        </w:rPr>
      </w:pPr>
    </w:p>
    <w:p>
      <w:pPr>
        <w:ind w:left="4380" w:hanging="861"/>
        <w:spacing w:after="0"/>
        <w:tabs>
          <w:tab w:leader="none" w:pos="43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Each installment of the severance payments and benefits due under this</w:t>
      </w:r>
    </w:p>
    <w:p>
      <w:pPr>
        <w:spacing w:after="0" w:line="1" w:lineRule="exact"/>
        <w:rPr>
          <w:rFonts w:ascii="Arial" w:cs="Arial" w:eastAsia="Arial" w:hAnsi="Arial"/>
          <w:sz w:val="21"/>
          <w:szCs w:val="21"/>
          <w:color w:val="auto"/>
        </w:rPr>
      </w:pPr>
    </w:p>
    <w:p>
      <w:pPr>
        <w:spacing w:after="0" w:line="241" w:lineRule="auto"/>
        <w:rPr>
          <w:rFonts w:ascii="Arial" w:cs="Arial" w:eastAsia="Arial" w:hAnsi="Arial"/>
          <w:sz w:val="21"/>
          <w:szCs w:val="21"/>
          <w:color w:val="auto"/>
        </w:rPr>
      </w:pPr>
      <w:r>
        <w:rPr>
          <w:rFonts w:ascii="Arial" w:cs="Arial" w:eastAsia="Arial" w:hAnsi="Arial"/>
          <w:sz w:val="21"/>
          <w:szCs w:val="21"/>
          <w:color w:val="auto"/>
        </w:rPr>
        <w:t>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 1.409A-1(b)(4) to the maximum extent permissible under Section 409A and shall be paid in the manner (and at the times) set forth in this agreement; and</w:t>
      </w:r>
    </w:p>
    <w:p>
      <w:pPr>
        <w:spacing w:after="0" w:line="2" w:lineRule="exact"/>
        <w:rPr>
          <w:rFonts w:ascii="Arial" w:cs="Arial" w:eastAsia="Arial" w:hAnsi="Arial"/>
          <w:sz w:val="21"/>
          <w:szCs w:val="21"/>
          <w:color w:val="auto"/>
        </w:rPr>
      </w:pPr>
    </w:p>
    <w:p>
      <w:pPr>
        <w:ind w:left="4440" w:hanging="921"/>
        <w:spacing w:after="0"/>
        <w:tabs>
          <w:tab w:leader="none" w:pos="4440" w:val="left"/>
        </w:tabs>
        <w:numPr>
          <w:ilvl w:val="1"/>
          <w:numId w:val="81"/>
        </w:numPr>
        <w:rPr>
          <w:rFonts w:ascii="Arial" w:cs="Arial" w:eastAsia="Arial" w:hAnsi="Arial"/>
          <w:sz w:val="21"/>
          <w:szCs w:val="21"/>
          <w:color w:val="auto"/>
        </w:rPr>
      </w:pPr>
      <w:r>
        <w:rPr>
          <w:rFonts w:ascii="Arial" w:cs="Arial" w:eastAsia="Arial" w:hAnsi="Arial"/>
          <w:sz w:val="21"/>
          <w:szCs w:val="21"/>
          <w:color w:val="auto"/>
        </w:rPr>
        <w:t>Each installment of the severance payments and benefits due under this</w:t>
      </w:r>
    </w:p>
    <w:p>
      <w:pPr>
        <w:spacing w:after="0" w:line="1" w:lineRule="exact"/>
        <w:rPr>
          <w:rFonts w:ascii="Arial" w:cs="Arial" w:eastAsia="Arial" w:hAnsi="Arial"/>
          <w:sz w:val="21"/>
          <w:szCs w:val="21"/>
          <w:color w:val="auto"/>
        </w:rPr>
      </w:pPr>
    </w:p>
    <w:p>
      <w:pPr>
        <w:ind w:right="20"/>
        <w:spacing w:after="0" w:line="233" w:lineRule="auto"/>
        <w:rPr>
          <w:rFonts w:ascii="Arial" w:cs="Arial" w:eastAsia="Arial" w:hAnsi="Arial"/>
          <w:sz w:val="21"/>
          <w:szCs w:val="21"/>
          <w:color w:val="auto"/>
        </w:rPr>
      </w:pPr>
      <w:r>
        <w:rPr>
          <w:rFonts w:ascii="Arial" w:cs="Arial" w:eastAsia="Arial" w:hAnsi="Arial"/>
          <w:sz w:val="22"/>
          <w:szCs w:val="22"/>
          <w:color w:val="auto"/>
        </w:rPr>
        <w:t>Agreement that is not described in paragraph c(i) above and that would, absent this subsection, be paid within the six-month period following the Employee’s “separation from service” from the Company shall not be paid until the date that is six months and one day after such separation from service (or, if earlier, the Employee’s death), with any such installments that are required to be delayed being accumulated during the six-month period and paid in a lump sum on the date that is six months and one day following the Employee’s separation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1" w:name="page92"/>
    <w:bookmarkEnd w:id="91"/>
    <w:p>
      <w:pPr>
        <w:spacing w:after="0" w:line="270" w:lineRule="auto"/>
        <w:rPr>
          <w:sz w:val="20"/>
          <w:szCs w:val="20"/>
          <w:color w:val="auto"/>
        </w:rPr>
      </w:pPr>
      <w:r>
        <w:rPr>
          <w:rFonts w:ascii="Arial" w:cs="Arial" w:eastAsia="Arial" w:hAnsi="Arial"/>
          <w:sz w:val="19"/>
          <w:szCs w:val="19"/>
          <w:color w:val="auto"/>
        </w:rPr>
        <w:t xml:space="preserve">service and any subsequent installments, if any, being paid in accordance with the dates and terms set forth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preceding provisions of this sentence shall not apply to any installment of severance payments and benefits if and to the maximum extent that that such installment is deemed to be paid under a separation pay plan that does not provide for a deferral of compensation by reason of the application of Treasury Regulation § 1.409A-1(b)(9)(iii) (relating to separation pay upon an involuntary separation from service). Any installments that qualify for the exception under Treasury Regulation § 1.409A-1(b)</w:t>
      </w:r>
    </w:p>
    <w:p>
      <w:pPr>
        <w:spacing w:after="0" w:line="4" w:lineRule="exact"/>
        <w:rPr>
          <w:sz w:val="20"/>
          <w:szCs w:val="20"/>
          <w:color w:val="auto"/>
        </w:rPr>
      </w:pPr>
    </w:p>
    <w:p>
      <w:pPr>
        <w:ind w:right="620"/>
        <w:spacing w:after="0" w:line="230" w:lineRule="auto"/>
        <w:rPr>
          <w:sz w:val="20"/>
          <w:szCs w:val="20"/>
          <w:color w:val="auto"/>
        </w:rPr>
      </w:pPr>
      <w:r>
        <w:rPr>
          <w:rFonts w:ascii="Arial" w:cs="Arial" w:eastAsia="Arial" w:hAnsi="Arial"/>
          <w:sz w:val="22"/>
          <w:szCs w:val="22"/>
          <w:color w:val="auto"/>
        </w:rPr>
        <w:t>(9)(iii) must be paid no later than the last day of the Employee’s second taxable year following the taxable year in which the separation from service occurs.</w:t>
      </w:r>
    </w:p>
    <w:p>
      <w:pPr>
        <w:spacing w:after="0" w:line="1" w:lineRule="exact"/>
        <w:rPr>
          <w:sz w:val="20"/>
          <w:szCs w:val="20"/>
          <w:color w:val="auto"/>
        </w:rPr>
      </w:pPr>
    </w:p>
    <w:p>
      <w:pPr>
        <w:ind w:right="80" w:firstLine="2642"/>
        <w:spacing w:after="0" w:line="230" w:lineRule="auto"/>
        <w:tabs>
          <w:tab w:leader="none" w:pos="3534"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determination of whether and when the Employee’s separation from service from the Company has occurred shall be made and in a manner consistent with, and based on the presumptions set forth in, Treasury Regulation § 1.409A-1(h).</w:t>
      </w:r>
    </w:p>
    <w:p>
      <w:pPr>
        <w:spacing w:after="0" w:line="2" w:lineRule="exact"/>
        <w:rPr>
          <w:rFonts w:ascii="Arial" w:cs="Arial" w:eastAsia="Arial" w:hAnsi="Arial"/>
          <w:sz w:val="22"/>
          <w:szCs w:val="22"/>
          <w:color w:val="auto"/>
        </w:rPr>
      </w:pPr>
    </w:p>
    <w:p>
      <w:pPr>
        <w:ind w:right="120" w:firstLine="2642"/>
        <w:spacing w:after="0" w:line="273" w:lineRule="auto"/>
        <w:tabs>
          <w:tab w:leader="none" w:pos="3522" w:val="left"/>
        </w:tabs>
        <w:numPr>
          <w:ilvl w:val="0"/>
          <w:numId w:val="82"/>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92" w:name="page93"/>
    <w:bookmarkEnd w:id="92"/>
    <w:p>
      <w:pPr>
        <w:jc w:val="both"/>
        <w:ind w:firstLine="2642"/>
        <w:spacing w:after="0" w:line="236" w:lineRule="auto"/>
        <w:tabs>
          <w:tab w:leader="none" w:pos="3498" w:val="left"/>
        </w:tabs>
        <w:numPr>
          <w:ilvl w:val="1"/>
          <w:numId w:val="83"/>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Company shall have no liability to the Employee or to any other person if the payments and benefits provided hereunder that are intended to be exempt from or compliant with Section 409A are not so exempt or compliant.</w:t>
      </w:r>
    </w:p>
    <w:p>
      <w:pPr>
        <w:spacing w:after="0" w:line="1" w:lineRule="exact"/>
        <w:rPr>
          <w:rFonts w:ascii="Arial" w:cs="Arial" w:eastAsia="Arial" w:hAnsi="Arial"/>
          <w:sz w:val="22"/>
          <w:szCs w:val="22"/>
          <w:color w:val="auto"/>
        </w:rPr>
      </w:pPr>
    </w:p>
    <w:p>
      <w:pPr>
        <w:ind w:left="1800" w:hanging="915"/>
        <w:spacing w:after="0" w:line="230" w:lineRule="auto"/>
        <w:tabs>
          <w:tab w:leader="none" w:pos="18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 w:lineRule="exact"/>
        <w:rPr>
          <w:sz w:val="20"/>
          <w:szCs w:val="20"/>
          <w:color w:val="auto"/>
        </w:rPr>
      </w:pPr>
    </w:p>
    <w:p>
      <w:pPr>
        <w:ind w:right="180" w:firstLine="1755"/>
        <w:spacing w:after="0" w:line="241" w:lineRule="auto"/>
        <w:rPr>
          <w:sz w:val="20"/>
          <w:szCs w:val="20"/>
          <w:color w:val="auto"/>
        </w:rPr>
      </w:pPr>
      <w:r>
        <w:rPr>
          <w:rFonts w:ascii="Arial" w:cs="Arial" w:eastAsia="Arial" w:hAnsi="Arial"/>
          <w:sz w:val="21"/>
          <w:szCs w:val="21"/>
          <w:color w:val="auto"/>
        </w:rPr>
        <w:t>20.1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2" w:lineRule="exact"/>
        <w:rPr>
          <w:sz w:val="20"/>
          <w:szCs w:val="20"/>
          <w:color w:val="auto"/>
        </w:rPr>
      </w:pPr>
    </w:p>
    <w:p>
      <w:pPr>
        <w:ind w:firstLine="1755"/>
        <w:spacing w:after="0" w:line="230" w:lineRule="auto"/>
        <w:rPr>
          <w:sz w:val="20"/>
          <w:szCs w:val="20"/>
          <w:color w:val="auto"/>
        </w:rPr>
      </w:pPr>
      <w:r>
        <w:rPr>
          <w:rFonts w:ascii="Arial" w:cs="Arial" w:eastAsia="Arial" w:hAnsi="Arial"/>
          <w:sz w:val="22"/>
          <w:szCs w:val="22"/>
          <w:color w:val="auto"/>
        </w:rPr>
        <w:t>20.2 The captions of the sections of this Agreement are for convenience of reference only and in no way define, limit or affect the scope or substance of any section of this Agreement.</w:t>
      </w:r>
    </w:p>
    <w:p>
      <w:pPr>
        <w:spacing w:after="0" w:line="1" w:lineRule="exact"/>
        <w:rPr>
          <w:sz w:val="20"/>
          <w:szCs w:val="20"/>
          <w:color w:val="auto"/>
        </w:rPr>
      </w:pPr>
    </w:p>
    <w:p>
      <w:pPr>
        <w:ind w:right="340" w:firstLine="1755"/>
        <w:spacing w:after="0" w:line="256" w:lineRule="auto"/>
        <w:rPr>
          <w:sz w:val="20"/>
          <w:szCs w:val="20"/>
          <w:color w:val="auto"/>
        </w:rPr>
      </w:pPr>
      <w:r>
        <w:rPr>
          <w:rFonts w:ascii="Arial" w:cs="Arial" w:eastAsia="Arial" w:hAnsi="Arial"/>
          <w:sz w:val="21"/>
          <w:szCs w:val="21"/>
          <w:color w:val="auto"/>
        </w:rPr>
        <w:t>20.3 In case any provision of this Agreement shall be invalid, illegal or otherwise unenforceable, the validity, legality and enforceability of the remaining provisions shall in no way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ectPr>
          <w:pgSz w:w="11900" w:h="16838" w:orient="portrait"/>
          <w:cols w:equalWidth="0" w:num="1">
            <w:col w:w="9900"/>
          </w:cols>
          <w:pgMar w:left="1120" w:top="361" w:right="879" w:bottom="1440" w:gutter="0" w:footer="0" w:header="0"/>
        </w:sect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CERULEAN PHARMA INC.</w:t>
      </w:r>
    </w:p>
    <w:p>
      <w:pPr>
        <w:spacing w:after="0" w:line="23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 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7620</wp:posOffset>
            </wp:positionV>
            <wp:extent cx="24009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ind w:left="4400"/>
        <w:spacing w:after="0"/>
        <w:tabs>
          <w:tab w:leader="none" w:pos="5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Christopher D. T. Guiffre</w:t>
      </w:r>
    </w:p>
    <w:p>
      <w:pPr>
        <w:ind w:left="4400"/>
        <w:spacing w:after="0"/>
        <w:tabs>
          <w:tab w:leader="none" w:pos="5100" w:val="left"/>
        </w:tabs>
        <w:rPr>
          <w:sz w:val="20"/>
          <w:szCs w:val="20"/>
          <w:color w:val="auto"/>
        </w:rPr>
      </w:pPr>
      <w:r>
        <w:rPr>
          <w:rFonts w:ascii="Arial" w:cs="Arial" w:eastAsia="Arial" w:hAnsi="Arial"/>
          <w:sz w:val="19"/>
          <w:szCs w:val="19"/>
          <w:color w:val="auto"/>
        </w:rPr>
        <w:t>Title:</w:t>
        <w:tab/>
        <w:t>President &amp; Chief Executive Officer</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EMPLOYEE</w:t>
      </w:r>
    </w:p>
    <w:p>
      <w:pPr>
        <w:spacing w:after="0" w:line="26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 Adrian Senderowicz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7620</wp:posOffset>
            </wp:positionV>
            <wp:extent cx="24009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Adrian Senderowicz,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652145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900"/>
          </w:cols>
          <w:pgMar w:left="1120" w:top="361" w:right="87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Non-Disclosure, Non-Competition, and Assignment of Intellectual Property Agreement</w:t>
      </w:r>
    </w:p>
    <w:p>
      <w:pPr>
        <w:sectPr>
          <w:pgSz w:w="11900" w:h="16838" w:orient="portrait"/>
          <w:cols w:equalWidth="0" w:num="1">
            <w:col w:w="9019"/>
          </w:cols>
          <w:pgMar w:left="1440" w:top="355"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D.T. Guiffre, certify that:</w:t>
      </w:r>
    </w:p>
    <w:p>
      <w:pPr>
        <w:spacing w:after="0" w:line="117" w:lineRule="exact"/>
        <w:rPr>
          <w:sz w:val="20"/>
          <w:szCs w:val="20"/>
          <w:color w:val="auto"/>
        </w:rPr>
      </w:pPr>
    </w:p>
    <w:p>
      <w:pPr>
        <w:ind w:left="1040" w:hanging="519"/>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Cerulean Pharma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2180" w:right="40" w:hanging="511"/>
        <w:spacing w:after="0" w:line="286" w:lineRule="auto"/>
        <w:tabs>
          <w:tab w:leader="none" w:pos="21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2180" w:right="240" w:hanging="511"/>
        <w:spacing w:after="0" w:line="264" w:lineRule="auto"/>
        <w:tabs>
          <w:tab w:leader="none" w:pos="21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180" w:right="280" w:hanging="511"/>
        <w:spacing w:after="0" w:line="312" w:lineRule="auto"/>
        <w:tabs>
          <w:tab w:leader="none" w:pos="21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040" w:right="2040" w:hanging="519"/>
        <w:spacing w:after="0" w:line="264"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180" w:right="20" w:hanging="511"/>
        <w:spacing w:after="0" w:line="264" w:lineRule="auto"/>
        <w:tabs>
          <w:tab w:leader="none" w:pos="21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180" w:right="40" w:hanging="511"/>
        <w:spacing w:after="0" w:line="277" w:lineRule="auto"/>
        <w:tabs>
          <w:tab w:leader="none" w:pos="21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117" w:lineRule="exact"/>
        <w:rPr>
          <w:sz w:val="20"/>
          <w:szCs w:val="20"/>
          <w:color w:val="auto"/>
        </w:rPr>
      </w:pPr>
    </w:p>
    <w:p>
      <w:pPr>
        <w:ind w:left="1040" w:hanging="519"/>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Cerulean Pharma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2180" w:right="40" w:hanging="511"/>
        <w:spacing w:after="0" w:line="286" w:lineRule="auto"/>
        <w:tabs>
          <w:tab w:leader="none" w:pos="21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2180" w:right="240" w:hanging="511"/>
        <w:spacing w:after="0" w:line="264" w:lineRule="auto"/>
        <w:tabs>
          <w:tab w:leader="none" w:pos="21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180" w:right="280" w:hanging="511"/>
        <w:spacing w:after="0" w:line="312" w:lineRule="auto"/>
        <w:tabs>
          <w:tab w:leader="none" w:pos="21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040" w:right="2040" w:hanging="519"/>
        <w:spacing w:after="0" w:line="264" w:lineRule="auto"/>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180" w:right="20" w:hanging="511"/>
        <w:spacing w:after="0" w:line="264" w:lineRule="auto"/>
        <w:tabs>
          <w:tab w:leader="none" w:pos="21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180" w:right="40" w:hanging="511"/>
        <w:spacing w:after="0" w:line="277" w:lineRule="auto"/>
        <w:tabs>
          <w:tab w:leader="none" w:pos="21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Gregg Beloff</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connection with the Quarterly Report on Form 10-Q of Cerulean Pharma Inc. (the “Company”) for the fiscal quarter ended September 30, 2015, as filed with the Securities and Exchange Commission on the date hereof (the “Report”), the undersigned, Christopher D.T. Guiffre, President and Chief Executive Officer of the Company, hereby certifies, pursuant to 18 U.S.C. Section 1350, that, to his knowledge on the date hereof:</w:t>
      </w:r>
    </w:p>
    <w:p>
      <w:pPr>
        <w:spacing w:after="0" w:line="166" w:lineRule="exact"/>
        <w:rPr>
          <w:sz w:val="20"/>
          <w:szCs w:val="20"/>
          <w:color w:val="auto"/>
        </w:rPr>
      </w:pPr>
    </w:p>
    <w:p>
      <w:pPr>
        <w:ind w:left="780" w:hanging="254"/>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526"/>
        <w:spacing w:after="0" w:line="516" w:lineRule="auto"/>
        <w:tabs>
          <w:tab w:leader="none" w:pos="77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16, 2015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connection with the Quarterly Report on Form 10-Q of Cerulean Pharma Inc. (the “Company”) for the fiscal quarter ended September 30, 2015, as filed with the Securities and Exchange Commission on the date hereof (the “Report”), the undersigned, Gregg Beloff, Interim Chief Financial Officer of the Company, hereby certifies, pursuant to 18 U.S.C. Section 1350, that, to his knowledge on the date hereof:</w:t>
      </w:r>
    </w:p>
    <w:p>
      <w:pPr>
        <w:spacing w:after="0" w:line="181" w:lineRule="exact"/>
        <w:rPr>
          <w:sz w:val="20"/>
          <w:szCs w:val="20"/>
          <w:color w:val="auto"/>
        </w:rPr>
      </w:pPr>
    </w:p>
    <w:p>
      <w:pPr>
        <w:ind w:left="780" w:hanging="254"/>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526"/>
        <w:spacing w:after="0" w:line="516" w:lineRule="auto"/>
        <w:tabs>
          <w:tab w:leader="none" w:pos="77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16, 2015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Gregg Beloff</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o"/>
      <w:numFmt w:val="bullet"/>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1."/>
      <w:numFmt w:val="decimal"/>
      <w:start w:val="2"/>
    </w:lvl>
  </w:abstractNum>
  <w:abstractNum w:abstractNumId="4">
    <w:nsid w:val="542289EC"/>
    <w:multiLevelType w:val="hybridMultilevel"/>
    <w:lvl w:ilvl="0">
      <w:lvlJc w:val="left"/>
      <w:lvlText w:val="%1."/>
      <w:numFmt w:val="decimal"/>
      <w:start w:val="3"/>
    </w:lvl>
  </w:abstractNum>
  <w:abstractNum w:abstractNumId="5">
    <w:nsid w:val="6DE91B18"/>
    <w:multiLevelType w:val="hybridMultilevel"/>
    <w:lvl w:ilvl="0">
      <w:lvlJc w:val="left"/>
      <w:lvlText w:val="%1."/>
      <w:numFmt w:val="decimal"/>
      <w:start w:val="4"/>
    </w:lvl>
  </w:abstractNum>
  <w:abstractNum w:abstractNumId="6">
    <w:nsid w:val="38437FDB"/>
    <w:multiLevelType w:val="hybridMultilevel"/>
    <w:lvl w:ilvl="0">
      <w:lvlJc w:val="left"/>
      <w:lvlText w:val="%1."/>
      <w:numFmt w:val="decimal"/>
      <w:start w:val="5"/>
    </w:lvl>
  </w:abstractNum>
  <w:abstractNum w:abstractNumId="7">
    <w:nsid w:val="7644A45C"/>
    <w:multiLevelType w:val="hybridMultilevel"/>
    <w:lvl w:ilvl="0">
      <w:lvlJc w:val="left"/>
      <w:lvlText w:val="%1."/>
      <w:numFmt w:val="decimal"/>
      <w:start w:val="6"/>
    </w:lvl>
  </w:abstractNum>
  <w:abstractNum w:abstractNumId="8">
    <w:nsid w:val="32FFF902"/>
    <w:multiLevelType w:val="hybridMultilevel"/>
    <w:lvl w:ilvl="0">
      <w:lvlJc w:val="left"/>
      <w:lvlText w:val="%1."/>
      <w:numFmt w:val="decimal"/>
      <w:start w:val="7"/>
    </w:lvl>
  </w:abstractNum>
  <w:abstractNum w:abstractNumId="9">
    <w:nsid w:val="684A481A"/>
    <w:multiLevelType w:val="hybridMultilevel"/>
    <w:lvl w:ilvl="0">
      <w:lvlJc w:val="left"/>
      <w:lvlText w:val="%1."/>
      <w:numFmt w:val="decimal"/>
      <w:start w:val="8"/>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lvl w:ilvl="1">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lowerRoman"/>
      <w:start w:val="2"/>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
    </w:lvl>
    <w:lvl w:ilvl="1">
      <w:lvlJc w:val="left"/>
      <w:lvlText w:val="(%2)"/>
      <w:numFmt w:val="lowerLetter"/>
      <w:start w:val="1"/>
    </w:lvl>
  </w:abstractNum>
  <w:abstractNum w:abstractNumId="48">
    <w:nsid w:val="100F8FCA"/>
    <w:multiLevelType w:val="hybridMultilevel"/>
    <w:lvl w:ilvl="0">
      <w:lvlJc w:val="left"/>
      <w:lvlText w:val="(%1)"/>
      <w:numFmt w:val="lowerLetter"/>
      <w:start w:val="2"/>
    </w:lvl>
  </w:abstractNum>
  <w:abstractNum w:abstractNumId="49">
    <w:nsid w:val="6590700B"/>
    <w:multiLevelType w:val="hybridMultilevel"/>
    <w:lvl w:ilvl="0">
      <w:lvlJc w:val="left"/>
      <w:lvlText w:val="%1."/>
      <w:numFmt w:val="decimal"/>
      <w:start w:val="3"/>
    </w:lvl>
  </w:abstractNum>
  <w:abstractNum w:abstractNumId="50">
    <w:nsid w:val="15014ACB"/>
    <w:multiLevelType w:val="hybridMultilevel"/>
    <w:lvl w:ilvl="0">
      <w:lvlJc w:val="left"/>
      <w:lvlText w:val="%1."/>
      <w:numFmt w:val="decimal"/>
      <w:start w:val="6"/>
    </w:lvl>
    <w:lvl w:ilvl="1">
      <w:lvlJc w:val="left"/>
      <w:lvlText w:val="-"/>
      <w:numFmt w:val="bullet"/>
      <w:start w:val="1"/>
    </w:lvl>
  </w:abstractNum>
  <w:abstractNum w:abstractNumId="51">
    <w:nsid w:val="5F5E7FD0"/>
    <w:multiLevelType w:val="hybridMultilevel"/>
    <w:lvl w:ilvl="0">
      <w:lvlJc w:val="left"/>
      <w:lvlText w:val="%1."/>
      <w:numFmt w:val="decimal"/>
      <w:start w:val="7"/>
    </w:lvl>
    <w:lvl w:ilvl="1">
      <w:lvlJc w:val="left"/>
      <w:lvlText w:val="-"/>
      <w:numFmt w:val="bullet"/>
      <w:start w:val="1"/>
    </w:lvl>
  </w:abstractNum>
  <w:abstractNum w:abstractNumId="52">
    <w:nsid w:val="98A3148"/>
    <w:multiLevelType w:val="hybridMultilevel"/>
    <w:lvl w:ilvl="0">
      <w:lvlJc w:val="left"/>
      <w:lvlText w:val="%1."/>
      <w:numFmt w:val="decimal"/>
      <w:start w:val="11"/>
    </w:lvl>
    <w:lvl w:ilvl="1">
      <w:lvlJc w:val="left"/>
      <w:lvlText w:val="-"/>
      <w:numFmt w:val="bullet"/>
      <w:start w:val="1"/>
    </w:lvl>
  </w:abstractNum>
  <w:abstractNum w:abstractNumId="53">
    <w:nsid w:val="799D0247"/>
    <w:multiLevelType w:val="hybridMultilevel"/>
    <w:lvl w:ilvl="0">
      <w:lvlJc w:val="left"/>
      <w:lvlText w:val="%1."/>
      <w:numFmt w:val="decimal"/>
      <w:start w:val="17"/>
    </w:lvl>
    <w:lvl w:ilvl="1">
      <w:lvlJc w:val="left"/>
      <w:lvlText w:val="-"/>
      <w:numFmt w:val="bullet"/>
      <w:start w:val="1"/>
    </w:lvl>
  </w:abstractNum>
  <w:abstractNum w:abstractNumId="54">
    <w:nsid w:val="6B94764"/>
    <w:multiLevelType w:val="hybridMultilevel"/>
    <w:lvl w:ilvl="0">
      <w:lvlJc w:val="left"/>
      <w:lvlText w:val="%1."/>
      <w:numFmt w:val="decimal"/>
      <w:start w:val="3"/>
    </w:lvl>
  </w:abstractNum>
  <w:abstractNum w:abstractNumId="55">
    <w:nsid w:val="42C296BD"/>
    <w:multiLevelType w:val="hybridMultilevel"/>
    <w:lvl w:ilvl="0">
      <w:lvlJc w:val="left"/>
      <w:lvlText w:val="%1."/>
      <w:numFmt w:val="decimal"/>
      <w:start w:val="4"/>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3"/>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decimal"/>
      <w:start w:val="4"/>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1"/>
    </w:lvl>
    <w:lvl w:ilvl="1">
      <w:lvlJc w:val="left"/>
      <w:lvlText w:val="(%2)"/>
      <w:numFmt w:val="lowerLetter"/>
      <w:start w:val="3"/>
    </w:lvl>
  </w:abstractNum>
  <w:abstractNum w:abstractNumId="66">
    <w:nsid w:val="42963E5A"/>
    <w:multiLevelType w:val="hybridMultilevel"/>
    <w:lvl w:ilvl="0">
      <w:lvlJc w:val="left"/>
      <w:lvlText w:val="(%1)"/>
      <w:numFmt w:val="lowerLetter"/>
      <w:start w:val="35"/>
    </w:lvl>
    <w:lvl w:ilvl="1">
      <w:lvlJc w:val="left"/>
      <w:lvlText w:val="%2"/>
      <w:numFmt w:val="lowerLetter"/>
      <w:start w:val="1"/>
    </w:lvl>
  </w:abstractNum>
  <w:abstractNum w:abstractNumId="67">
    <w:nsid w:val="A0382C5"/>
    <w:multiLevelType w:val="hybridMultilevel"/>
    <w:lvl w:ilvl="0">
      <w:lvlJc w:val="left"/>
      <w:lvlText w:val="%1."/>
      <w:numFmt w:val="decimal"/>
      <w:start w:val="5"/>
    </w:lvl>
  </w:abstractNum>
  <w:abstractNum w:abstractNumId="68">
    <w:nsid w:val="8F2B15E"/>
    <w:multiLevelType w:val="hybridMultilevel"/>
    <w:lvl w:ilvl="0">
      <w:lvlJc w:val="left"/>
      <w:lvlText w:val="%1."/>
      <w:numFmt w:val="decimal"/>
      <w:start w:val="6"/>
    </w:lvl>
  </w:abstractNum>
  <w:abstractNum w:abstractNumId="69">
    <w:nsid w:val="1A32234B"/>
    <w:multiLevelType w:val="hybridMultilevel"/>
    <w:lvl w:ilvl="0">
      <w:lvlJc w:val="left"/>
      <w:lvlText w:val="%1."/>
      <w:numFmt w:val="decimal"/>
      <w:start w:val="7"/>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lowerLetter"/>
      <w:start w:val="2"/>
    </w:lvl>
  </w:abstractNum>
  <w:abstractNum w:abstractNumId="72">
    <w:nsid w:val="4962813B"/>
    <w:multiLevelType w:val="hybridMultilevel"/>
    <w:lvl w:ilvl="0">
      <w:lvlJc w:val="left"/>
      <w:lvlText w:val="(%1)"/>
      <w:numFmt w:val="lowerLetter"/>
      <w:start w:val="4"/>
    </w:lvl>
  </w:abstractNum>
  <w:abstractNum w:abstractNumId="73">
    <w:nsid w:val="60B6DF70"/>
    <w:multiLevelType w:val="hybridMultilevel"/>
    <w:lvl w:ilvl="0">
      <w:lvlJc w:val="left"/>
      <w:lvlText w:val="(%1)"/>
      <w:numFmt w:val="lowerLetter"/>
      <w:start w:val="1"/>
    </w:lvl>
    <w:lvl w:ilvl="1">
      <w:lvlJc w:val="left"/>
      <w:lvlText w:val="(%2)"/>
      <w:numFmt w:val="lowerRoman"/>
      <w:start w:val="1"/>
    </w:lvl>
  </w:abstractNum>
  <w:abstractNum w:abstractNumId="74">
    <w:nsid w:val="6A5EE64"/>
    <w:multiLevelType w:val="hybridMultilevel"/>
    <w:lvl w:ilvl="0">
      <w:lvlJc w:val="left"/>
      <w:lvlText w:val="%1"/>
      <w:numFmt w:val="lowerLetter"/>
      <w:start w:val="1"/>
    </w:lvl>
    <w:lvl w:ilvl="1">
      <w:lvlJc w:val="left"/>
      <w:lvlText w:val="(%2)"/>
      <w:numFmt w:val="lowerLetter"/>
      <w:start w:val="61"/>
    </w:lvl>
  </w:abstractNum>
  <w:abstractNum w:abstractNumId="75">
    <w:nsid w:val="14330624"/>
    <w:multiLevelType w:val="hybridMultilevel"/>
    <w:lvl w:ilvl="0">
      <w:lvlJc w:val="left"/>
      <w:lvlText w:val="(%1)"/>
      <w:numFmt w:val="lowerLetter"/>
      <w:start w:val="2"/>
    </w:lvl>
    <w:lvl w:ilvl="1">
      <w:lvlJc w:val="left"/>
      <w:lvlText w:val="%2"/>
      <w:numFmt w:val="lowerLetter"/>
      <w:start w:val="1"/>
    </w:lvl>
  </w:abstractNum>
  <w:abstractNum w:abstractNumId="76">
    <w:nsid w:val="7FFFCA11"/>
    <w:multiLevelType w:val="hybridMultilevel"/>
    <w:lvl w:ilvl="0">
      <w:lvlJc w:val="left"/>
      <w:lvlText w:val="%1"/>
      <w:numFmt w:val="decimal"/>
      <w:start w:val="1"/>
    </w:lvl>
    <w:lvl w:ilvl="1">
      <w:lvlJc w:val="left"/>
      <w:lvlText w:val="(%2)"/>
      <w:numFmt w:val="lowerLetter"/>
      <w:start w:val="3"/>
    </w:lvl>
  </w:abstractNum>
  <w:abstractNum w:abstractNumId="77">
    <w:nsid w:val="1A27709E"/>
    <w:multiLevelType w:val="hybridMultilevel"/>
    <w:lvl w:ilvl="0">
      <w:lvlJc w:val="left"/>
      <w:lvlText w:val="%1."/>
      <w:numFmt w:val="decimal"/>
      <w:start w:val="8"/>
    </w:lvl>
    <w:lvl w:ilvl="1">
      <w:lvlJc w:val="left"/>
      <w:lvlText w:val="%2"/>
      <w:numFmt w:val="lowerLetter"/>
      <w:start w:val="1"/>
    </w:lvl>
  </w:abstractNum>
  <w:abstractNum w:abstractNumId="78">
    <w:nsid w:val="71EA1109"/>
    <w:multiLevelType w:val="hybridMultilevel"/>
    <w:lvl w:ilvl="0">
      <w:lvlJc w:val="left"/>
      <w:lvlText w:val="%1."/>
      <w:numFmt w:val="decimal"/>
      <w:start w:val="12"/>
    </w:lvl>
  </w:abstractNum>
  <w:abstractNum w:abstractNumId="79">
    <w:nsid w:val="100F59DC"/>
    <w:multiLevelType w:val="hybridMultilevel"/>
    <w:lvl w:ilvl="0">
      <w:lvlJc w:val="left"/>
      <w:lvlText w:val="%1."/>
      <w:numFmt w:val="decimal"/>
      <w:start w:val="17"/>
    </w:lvl>
    <w:lvl w:ilvl="1">
      <w:lvlJc w:val="left"/>
      <w:lvlText w:val="(%2)"/>
      <w:numFmt w:val="lowerLetter"/>
      <w:start w:val="1"/>
    </w:lvl>
  </w:abstractNum>
  <w:abstractNum w:abstractNumId="80">
    <w:nsid w:val="7FB7E0AA"/>
    <w:multiLevelType w:val="hybridMultilevel"/>
    <w:lvl w:ilvl="0">
      <w:lvlJc w:val="left"/>
      <w:lvlText w:val="(%1)"/>
      <w:numFmt w:val="lowerLetter"/>
      <w:start w:val="2"/>
    </w:lvl>
    <w:lvl w:ilvl="1">
      <w:lvlJc w:val="left"/>
      <w:lvlText w:val="(%2)"/>
      <w:numFmt w:val="lowerRoman"/>
      <w:start w:val="1"/>
    </w:lvl>
  </w:abstractNum>
  <w:abstractNum w:abstractNumId="81">
    <w:nsid w:val="6EB5BD4"/>
    <w:multiLevelType w:val="hybridMultilevel"/>
    <w:lvl w:ilvl="0">
      <w:lvlJc w:val="left"/>
      <w:lvlText w:val="(%1)"/>
      <w:numFmt w:val="lowerLetter"/>
      <w:start w:val="4"/>
    </w:lvl>
  </w:abstractNum>
  <w:abstractNum w:abstractNumId="82">
    <w:nsid w:val="6F6DD9AC"/>
    <w:multiLevelType w:val="hybridMultilevel"/>
    <w:lvl w:ilvl="0">
      <w:lvlJc w:val="left"/>
      <w:lvlText w:val="%1"/>
      <w:numFmt w:val="decimal"/>
      <w:start w:val="1"/>
    </w:lvl>
    <w:lvl w:ilvl="1">
      <w:lvlJc w:val="left"/>
      <w:lvlText w:val="(%2)"/>
      <w:numFmt w:val="lowerLetter"/>
      <w:start w:val="6"/>
    </w:lvl>
  </w:abstractNum>
  <w:abstractNum w:abstractNumId="83">
    <w:nsid w:val="94211F2"/>
    <w:multiLevelType w:val="hybridMultilevel"/>
    <w:lvl w:ilvl="0">
      <w:lvlJc w:val="left"/>
      <w:lvlText w:val="%1."/>
      <w:numFmt w:val="decimal"/>
      <w:start w:val="20"/>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2019-12-29T14:28:52Z</dcterms:created>
  <dcterms:modified xsi:type="dcterms:W3CDTF">2019-12-29T14:28:52Z</dcterms:modified>
</cp:coreProperties>
</file>