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86995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fiscal year ended December 31, 2014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43"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45" w:right="239" w:bottom="1440" w:gutter="0" w:footer="0" w:header="0"/>
        </w:sectPr>
      </w:pPr>
    </w:p>
    <w:p>
      <w:pPr>
        <w:spacing w:after="0" w:line="7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61" w:lineRule="exact"/>
        <w:rPr>
          <w:sz w:val="24"/>
          <w:szCs w:val="24"/>
          <w:color w:val="auto"/>
        </w:rPr>
      </w:pPr>
    </w:p>
    <w:p>
      <w:pPr>
        <w:sectPr>
          <w:pgSz w:w="11900" w:h="16838" w:orient="portrait"/>
          <w:cols w:equalWidth="0" w:num="2">
            <w:col w:w="5960" w:space="720"/>
            <w:col w:w="4740"/>
          </w:cols>
          <w:pgMar w:left="240" w:top="34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p>
      <w:pPr>
        <w:spacing w:after="0" w:line="137" w:lineRule="exact"/>
        <w:rPr>
          <w:sz w:val="24"/>
          <w:szCs w:val="24"/>
          <w:color w:val="auto"/>
        </w:rPr>
      </w:pPr>
    </w:p>
    <w:tbl>
      <w:tblPr>
        <w:tblLayout w:type="fixed"/>
        <w:tblInd w:w="1620" w:type="dxa"/>
        <w:tblCellMar>
          <w:top w:w="0" w:type="dxa"/>
          <w:left w:w="0" w:type="dxa"/>
          <w:bottom w:w="0" w:type="dxa"/>
          <w:right w:w="0" w:type="dxa"/>
        </w:tblCellMar>
      </w:tblPr>
      <w:tr>
        <w:trPr>
          <w:trHeight w:val="475"/>
        </w:trPr>
        <w:tc>
          <w:tcPr>
            <w:tcW w:w="6220" w:type="dxa"/>
            <w:vAlign w:val="bottom"/>
            <w:gridSpan w:val="3"/>
          </w:tcPr>
          <w:p>
            <w:pPr>
              <w:jc w:val="center"/>
              <w:ind w:left="1868"/>
              <w:spacing w:after="0"/>
              <w:rPr>
                <w:sz w:val="20"/>
                <w:szCs w:val="20"/>
                <w:color w:val="auto"/>
              </w:rPr>
            </w:pPr>
            <w:r>
              <w:rPr>
                <w:rFonts w:ascii="Times New Roman" w:cs="Times New Roman" w:eastAsia="Times New Roman" w:hAnsi="Times New Roman"/>
                <w:sz w:val="40"/>
                <w:szCs w:val="40"/>
                <w:b w:val="1"/>
                <w:bCs w:val="1"/>
                <w:color w:val="auto"/>
                <w:w w:val="99"/>
              </w:rPr>
              <w:t>Cerulean Pharma Inc.</w:t>
            </w:r>
          </w:p>
        </w:tc>
        <w:tc>
          <w:tcPr>
            <w:tcW w:w="1340" w:type="dxa"/>
            <w:vAlign w:val="bottom"/>
          </w:tcPr>
          <w:p>
            <w:pPr>
              <w:spacing w:after="0"/>
              <w:rPr>
                <w:sz w:val="24"/>
                <w:szCs w:val="24"/>
                <w:color w:val="auto"/>
              </w:rPr>
            </w:pPr>
          </w:p>
        </w:tc>
      </w:tr>
      <w:tr>
        <w:trPr>
          <w:trHeight w:val="190"/>
        </w:trPr>
        <w:tc>
          <w:tcPr>
            <w:tcW w:w="6220" w:type="dxa"/>
            <w:vAlign w:val="bottom"/>
            <w:gridSpan w:val="3"/>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340" w:type="dxa"/>
            <w:vAlign w:val="bottom"/>
          </w:tcPr>
          <w:p>
            <w:pPr>
              <w:spacing w:after="0"/>
              <w:rPr>
                <w:sz w:val="16"/>
                <w:szCs w:val="16"/>
                <w:color w:val="auto"/>
              </w:rPr>
            </w:pPr>
          </w:p>
        </w:tc>
      </w:tr>
      <w:tr>
        <w:trPr>
          <w:trHeight w:val="64"/>
        </w:trPr>
        <w:tc>
          <w:tcPr>
            <w:tcW w:w="29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9"/>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7"/>
                <w:szCs w:val="17"/>
                <w:b w:val="1"/>
                <w:bCs w:val="1"/>
                <w:color w:val="auto"/>
              </w:rPr>
              <w:t>20-4139823</w:t>
            </w:r>
          </w:p>
        </w:tc>
      </w:tr>
      <w:tr>
        <w:trPr>
          <w:trHeight w:val="149"/>
        </w:trPr>
        <w:tc>
          <w:tcPr>
            <w:tcW w:w="6220" w:type="dxa"/>
            <w:vAlign w:val="bottom"/>
            <w:gridSpan w:val="3"/>
          </w:tcPr>
          <w:p>
            <w:pPr>
              <w:jc w:val="center"/>
              <w:ind w:right="3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1"/>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w w:val="99"/>
              </w:rPr>
              <w:t>840 Memorial Drive</w:t>
            </w:r>
          </w:p>
        </w:tc>
        <w:tc>
          <w:tcPr>
            <w:tcW w:w="1340" w:type="dxa"/>
            <w:vAlign w:val="bottom"/>
          </w:tcPr>
          <w:p>
            <w:pPr>
              <w:spacing w:after="0"/>
              <w:rPr>
                <w:sz w:val="20"/>
                <w:szCs w:val="20"/>
                <w:color w:val="auto"/>
              </w:rPr>
            </w:pPr>
          </w:p>
        </w:tc>
      </w:tr>
      <w:tr>
        <w:trPr>
          <w:trHeight w:val="217"/>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w w:val="99"/>
              </w:rPr>
              <w:t>Cambridge, MA</w:t>
            </w:r>
          </w:p>
        </w:tc>
        <w:tc>
          <w:tcPr>
            <w:tcW w:w="1340" w:type="dxa"/>
            <w:vAlign w:val="bottom"/>
          </w:tcPr>
          <w:p>
            <w:pPr>
              <w:jc w:val="right"/>
              <w:ind w:right="263"/>
              <w:spacing w:after="0"/>
              <w:rPr>
                <w:sz w:val="20"/>
                <w:szCs w:val="20"/>
                <w:color w:val="auto"/>
              </w:rPr>
            </w:pPr>
            <w:r>
              <w:rPr>
                <w:rFonts w:ascii="Times New Roman" w:cs="Times New Roman" w:eastAsia="Times New Roman" w:hAnsi="Times New Roman"/>
                <w:sz w:val="17"/>
                <w:szCs w:val="17"/>
                <w:b w:val="1"/>
                <w:bCs w:val="1"/>
                <w:color w:val="auto"/>
              </w:rPr>
              <w:t>02139</w:t>
            </w:r>
          </w:p>
        </w:tc>
      </w:tr>
      <w:tr>
        <w:trPr>
          <w:trHeight w:val="190"/>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3"/>
        </w:trPr>
        <w:tc>
          <w:tcPr>
            <w:tcW w:w="5240" w:type="dxa"/>
            <w:vAlign w:val="bottom"/>
            <w:gridSpan w:val="2"/>
          </w:tcPr>
          <w:p>
            <w:pPr>
              <w:jc w:val="center"/>
              <w:ind w:left="2848"/>
              <w:spacing w:after="0"/>
              <w:rPr>
                <w:sz w:val="20"/>
                <w:szCs w:val="20"/>
                <w:color w:val="auto"/>
              </w:rPr>
            </w:pPr>
            <w:r>
              <w:rPr>
                <w:rFonts w:ascii="Times New Roman" w:cs="Times New Roman" w:eastAsia="Times New Roman" w:hAnsi="Times New Roman"/>
                <w:sz w:val="17"/>
                <w:szCs w:val="17"/>
                <w:b w:val="1"/>
                <w:bCs w:val="1"/>
                <w:color w:val="auto"/>
              </w:rPr>
              <w:t>617-551-9600</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3"/>
          </w:tcPr>
          <w:p>
            <w:pPr>
              <w:jc w:val="center"/>
              <w:ind w:right="95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0"/>
        </w:trPr>
        <w:tc>
          <w:tcPr>
            <w:tcW w:w="4580" w:type="dxa"/>
            <w:vAlign w:val="bottom"/>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60" w:type="dxa"/>
            <w:vAlign w:val="bottom"/>
            <w:gridSpan w:val="3"/>
          </w:tcPr>
          <w:p>
            <w:pPr>
              <w:jc w:val="center"/>
              <w:ind w:right="935"/>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r>
        <w:trPr>
          <w:trHeight w:val="231"/>
        </w:trPr>
        <w:tc>
          <w:tcPr>
            <w:tcW w:w="8700" w:type="dxa"/>
            <w:vAlign w:val="bottom"/>
            <w:gridSpan w:val="5"/>
          </w:tcPr>
          <w:p>
            <w:pPr>
              <w:jc w:val="center"/>
              <w:ind w:left="2637"/>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4120" w:type="dxa"/>
            <w:vAlign w:val="bottom"/>
            <w:gridSpan w:val="4"/>
          </w:tcPr>
          <w:p>
            <w:pPr>
              <w:jc w:val="center"/>
              <w:ind w:right="1781"/>
              <w:spacing w:after="0"/>
              <w:rPr>
                <w:sz w:val="20"/>
                <w:szCs w:val="20"/>
                <w:color w:val="auto"/>
              </w:rPr>
            </w:pPr>
            <w:r>
              <w:rPr>
                <w:rFonts w:ascii="Times New Roman" w:cs="Times New Roman" w:eastAsia="Times New Roman" w:hAnsi="Times New Roman"/>
                <w:sz w:val="17"/>
                <w:szCs w:val="17"/>
                <w:b w:val="1"/>
                <w:bCs w:val="1"/>
                <w:color w:val="auto"/>
              </w:rPr>
              <w:t>None</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4120" w:type="dxa"/>
            <w:vAlign w:val="bottom"/>
            <w:gridSpan w:val="4"/>
          </w:tcPr>
          <w:p>
            <w:pPr>
              <w:jc w:val="center"/>
              <w:ind w:right="1781"/>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80" w:type="dxa"/>
            <w:vAlign w:val="bottom"/>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1840" w:type="dxa"/>
            <w:vAlign w:val="bottom"/>
          </w:tcPr>
          <w:p>
            <w:pPr>
              <w:spacing w:after="0"/>
              <w:rPr>
                <w:sz w:val="6"/>
                <w:szCs w:val="6"/>
                <w:color w:val="auto"/>
              </w:rPr>
            </w:pPr>
          </w:p>
        </w:tc>
        <w:tc>
          <w:tcPr>
            <w:tcW w:w="68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04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700" w:type="dxa"/>
            <w:vAlign w:val="bottom"/>
            <w:gridSpan w:val="5"/>
          </w:tcPr>
          <w:p>
            <w:pPr>
              <w:ind w:left="52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2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700" w:type="dxa"/>
            <w:vAlign w:val="bottom"/>
            <w:gridSpan w:val="5"/>
          </w:tcPr>
          <w:p>
            <w:pPr>
              <w:ind w:left="52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68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040" w:type="dxa"/>
            <w:vAlign w:val="bottom"/>
          </w:tcPr>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20" w:firstLine="518"/>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120" w:firstLine="518"/>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60" w:firstLine="518"/>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2" w:lineRule="exact"/>
        <w:rPr>
          <w:sz w:val="24"/>
          <w:szCs w:val="24"/>
          <w:color w:val="auto"/>
        </w:rPr>
      </w:pPr>
    </w:p>
    <w:p>
      <w:pPr>
        <w:ind w:right="180" w:firstLine="518"/>
        <w:spacing w:after="0" w:line="27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45"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280" w:space="720"/>
            <w:col w:w="4400" w:space="720"/>
            <w:col w:w="2240" w:space="720"/>
            <w:col w:w="340"/>
          </w:cols>
          <w:pgMar w:left="240" w:top="345"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780"/>
        <w:spacing w:after="0"/>
        <w:tabs>
          <w:tab w:leader="none" w:pos="3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280" w:space="720"/>
            <w:col w:w="4400" w:space="720"/>
            <w:col w:w="2240" w:space="720"/>
            <w:col w:w="340"/>
          </w:cols>
          <w:pgMar w:left="240" w:top="345" w:right="239" w:bottom="1440" w:gutter="0" w:footer="0" w:header="0"/>
          <w:type w:val="continuous"/>
        </w:sectPr>
      </w:pP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5">
            <w:col w:w="8300" w:space="160"/>
            <w:col w:w="240" w:space="80"/>
            <w:col w:w="160" w:space="160"/>
            <w:col w:w="220" w:space="80"/>
            <w:col w:w="2020"/>
          </w:cols>
          <w:pgMar w:left="240" w:top="345" w:right="239" w:bottom="1440" w:gutter="0" w:footer="0" w:header="0"/>
          <w:type w:val="continuous"/>
        </w:sectPr>
      </w:pPr>
    </w:p>
    <w:p>
      <w:pPr>
        <w:ind w:right="540" w:firstLine="518"/>
        <w:spacing w:after="0" w:line="281"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as of June 30, 2014 was approximately $74,209,799.40, based on the closing price of the registrant’s common stock on The NASDAQ Global Market.</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March 16, 2015, there were 20,375,987 of the Registrant’s common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Risk Factors</w:t>
              </w:r>
            </w:hyperlink>
          </w:p>
        </w:tc>
        <w:tc>
          <w:tcPr>
            <w:tcW w:w="8860" w:type="dxa"/>
            <w:vAlign w:val="bottom"/>
            <w:gridSpan w:val="16"/>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Unresolved Staff Comments</w:t>
              </w:r>
            </w:hyperlink>
          </w:p>
        </w:tc>
        <w:tc>
          <w:tcPr>
            <w:tcW w:w="772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2">
              <w:r>
                <w:rPr>
                  <w:rFonts w:ascii="Times New Roman" w:cs="Times New Roman" w:eastAsia="Times New Roman" w:hAnsi="Times New Roman"/>
                  <w:sz w:val="18"/>
                  <w:szCs w:val="18"/>
                  <w:color w:val="0000EE"/>
                  <w:w w:val="98"/>
                </w:rPr>
                <w:t>Properties</w:t>
              </w:r>
            </w:hyperlink>
          </w:p>
        </w:tc>
        <w:tc>
          <w:tcPr>
            <w:tcW w:w="9040" w:type="dxa"/>
            <w:vAlign w:val="bottom"/>
            <w:gridSpan w:val="1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Legal Proceedings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Mine Safety Disclosures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318"/>
        </w:trPr>
        <w:tc>
          <w:tcPr>
            <w:tcW w:w="880" w:type="dxa"/>
            <w:vAlign w:val="bottom"/>
            <w:gridSpan w:val="6"/>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PART 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Market for Registrant’s Common Shares, Related Stockholder Matters and Issuer Purchases of Equity Securities</w:t>
              </w:r>
            </w:hyperlink>
          </w:p>
        </w:tc>
        <w:tc>
          <w:tcPr>
            <w:tcW w:w="16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81</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Selected Financial Data</w:t>
              </w:r>
            </w:hyperlink>
          </w:p>
        </w:tc>
        <w:tc>
          <w:tcPr>
            <w:tcW w:w="8060" w:type="dxa"/>
            <w:vAlign w:val="bottom"/>
            <w:gridSpan w:val="1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83</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320" w:type="dxa"/>
            <w:vAlign w:val="bottom"/>
            <w:gridSpan w:val="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0" w:type="dxa"/>
            <w:vAlign w:val="bottom"/>
          </w:tcPr>
          <w:p>
            <w:pPr>
              <w:spacing w:after="0"/>
              <w:rPr>
                <w:sz w:val="17"/>
                <w:szCs w:val="17"/>
                <w:color w:val="auto"/>
              </w:rPr>
            </w:pPr>
          </w:p>
        </w:tc>
        <w:tc>
          <w:tcPr>
            <w:tcW w:w="3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Financial Statements and Supplementary Data</w:t>
              </w:r>
            </w:hyperlink>
          </w:p>
        </w:tc>
        <w:tc>
          <w:tcPr>
            <w:tcW w:w="644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0" w:type="dxa"/>
            <w:vAlign w:val="bottom"/>
          </w:tcPr>
          <w:p>
            <w:pPr>
              <w:spacing w:after="0"/>
              <w:rPr>
                <w:sz w:val="17"/>
                <w:szCs w:val="17"/>
                <w:color w:val="auto"/>
              </w:rPr>
            </w:pPr>
          </w:p>
        </w:tc>
        <w:tc>
          <w:tcPr>
            <w:tcW w:w="6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280" w:type="dxa"/>
            <w:vAlign w:val="bottom"/>
            <w:gridSpan w:val="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Controls and Procedures</w:t>
              </w:r>
            </w:hyperlink>
          </w:p>
        </w:tc>
        <w:tc>
          <w:tcPr>
            <w:tcW w:w="8000" w:type="dxa"/>
            <w:vAlign w:val="bottom"/>
            <w:gridSpan w:val="1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Other Information</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318"/>
        </w:trPr>
        <w:tc>
          <w:tcPr>
            <w:tcW w:w="880" w:type="dxa"/>
            <w:vAlign w:val="bottom"/>
            <w:gridSpan w:val="6"/>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PART III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680" w:type="dxa"/>
            <w:vAlign w:val="bottom"/>
            <w:gridSpan w:val="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3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48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Certain Relationships and Related Transactions, and Director Independence</w:t>
              </w:r>
            </w:hyperlink>
          </w:p>
        </w:tc>
        <w:tc>
          <w:tcPr>
            <w:tcW w:w="432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Principal Accountant Fees and Services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318"/>
        </w:trPr>
        <w:tc>
          <w:tcPr>
            <w:tcW w:w="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146">
              <w:r>
                <w:rPr>
                  <w:rFonts w:ascii="Times New Roman" w:cs="Times New Roman" w:eastAsia="Times New Roman" w:hAnsi="Times New Roman"/>
                  <w:sz w:val="18"/>
                  <w:szCs w:val="18"/>
                  <w:color w:val="0000EE"/>
                  <w:w w:val="94"/>
                </w:rPr>
                <w:t>PART IV</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Exhibits and Financial Statement Schedules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ectPr>
          <w:pgSz w:w="11900" w:h="16838" w:orient="portrait"/>
          <w:cols w:equalWidth="0" w:num="1">
            <w:col w:w="11420"/>
          </w:cols>
          <w:pgMar w:left="240" w:top="54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 Looking Statements</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Any statements in this Annual Report on Form 10-K about our future expectations, plans and prospects, including statements about the clinical development of our product candidates, statements about our estimated research and development expenses and sufficiency of cash to fund specified use of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the uncertainties inherent in the initiation of clinical trials, availability and timing of data from ongoing and future clinical trials and the results of such trials, whether preliminary results from a clinical trial will be predictive of the final results of that trial or whether results of early clinical trials will be indicative of the results of later clinical trials, expectations for regulatory approvals, availability of funding sufficient for our foreseeable and unforeseeable operating expenses and capital expenditure requirements and other factors discussed in Item 1A of this Annual Report on Form 10-K under the heading “Risk Factors”. In addition, any forward-looking statements included in this Form 10-K represent our views only as of the date hereof and should not be relied upon as representing our views as of any subsequent date. We specifically disclaim any obligation to update any forward-looking statements.</w:t>
      </w:r>
    </w:p>
    <w:p>
      <w:pPr>
        <w:spacing w:after="0" w:line="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 Our platform utilizes nanoparticle-drug conjugates, or NDCs, which consist of proprietary polymers that are covalently linked to anti-cancer therapeutics, or payloads. We believe these NDCs dynamically target tumors by exploiting the leakiness of new blood vessels in tumors as an entry portal into tumor tissue, followed by active uptake into tumor cells and the sustained release of the anti-cancer payload inside the tumor cells. We believe that our NDCs are differentiated from other nanoparticle technologies by our linker technology, which allows for preferential delivery of our anti-cancer payloads.</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lead product candidate, CRLX101, is a dynamically tumor targeted NDC in Phase 2 clinical development and has the potential to improve outcomes for patients in combination with other cancer treatments. We believe CRLX101, which contains camptothecin as its anti-cancer payload, is a potent, durable and combinable inhibitor of topoisomerase 1, or topo 1, a commercially validated cancer target, and hypoxia inducible factor, or HIF, a novel target of increasing interest in cancer research. Two products that have been marketed by other companies, irinotecan and topotecan, inhibit topo 1, but their utility is limited by toxicities. Recent research suggests that HIF, and in particular the HIF subunit HIF-la, is a master regulator of multiple cancer cell survival pathways. Over 250 patients have been administered CRLX101 in multiple indications at several clinical trial sites. In clinical trials evaluating CRLX101 as a single agent, CRLX101 was generally well tolerated with a toxicity profile generally characterized by low-grade (Common Terminology Criteria for Adverse Events grade 1-2) adverse events. No treatment-related trial deaths have been observed to date. In ongoing clinical trials, CRLX101 also appears active and combinable with Avastin (bevacizumab) and chemoradiotherapy, or CRT, which is a combination of capecitabine and radiation. In addition, preclinical data indicate that CRLX101 may be combinable with other anti-cancer therapies. We are pursuing development of CRLX101 in combination with anti-cancer therapies in multiple ongoing clinical development programs that include a company-sponsored trial and investigator-sponsored trials, or ISTs. These trials consist of:</w:t>
      </w:r>
    </w:p>
    <w:p>
      <w:pPr>
        <w:spacing w:after="0" w:line="189" w:lineRule="exact"/>
        <w:rPr>
          <w:sz w:val="20"/>
          <w:szCs w:val="20"/>
          <w:color w:val="auto"/>
        </w:rPr>
      </w:pPr>
    </w:p>
    <w:p>
      <w:pPr>
        <w:ind w:left="1020" w:hanging="49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renal cell carcinoma:</w:t>
      </w:r>
    </w:p>
    <w:p>
      <w:pPr>
        <w:spacing w:after="0" w:line="144" w:lineRule="exact"/>
        <w:rPr>
          <w:rFonts w:ascii="Times New Roman" w:cs="Times New Roman" w:eastAsia="Times New Roman" w:hAnsi="Times New Roman"/>
          <w:sz w:val="18"/>
          <w:szCs w:val="18"/>
          <w:color w:val="auto"/>
        </w:rPr>
      </w:pPr>
    </w:p>
    <w:p>
      <w:pPr>
        <w:ind w:left="1520" w:right="80" w:hanging="473"/>
        <w:spacing w:after="0" w:line="25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Phase 2 randomized, controlled, company-sponsored trial is being conducted comparing CRLX101 administered in combination with</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Avastin to investigator’s choice of standard of care in patients with renal cell carcinoma, or RCC, who have received two or three prior lines of therapy. We refer to this study as the RCC Trial. The RCC Trial is currently being conducted at approximately 30 sites in the United States, with eight additional sites planned in the United States and five additional sites planned in South Korea. Based on results from the Phase 1b/2 IST in relapsed RCC, discussed below, we believe that the combination of CRLX101 and Avastin may provide therapeutic benefits to patients with RCC who have received two or three prior lines of therapy including a tyrosine kinase inhibitor, or TKI, and/or an inhibitor of a mammalian target of rapamycin, or an mTORI.</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333" w:right="259" w:bottom="1440" w:gutter="0" w:footer="0" w:header="0"/>
        </w:sectPr>
      </w:pPr>
    </w:p>
    <w:bookmarkStart w:id="3" w:name="page4"/>
    <w:bookmarkEnd w:id="3"/>
    <w:p>
      <w:pPr>
        <w:ind w:left="1520" w:right="20" w:hanging="477"/>
        <w:spacing w:after="0" w:line="252" w:lineRule="auto"/>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Avastin in patients with relapsed RCC is being conducted at the University of Pennsylvania and Thomas Jefferson University Hospital. A total of 22 patients were enrolled in this trial. The last patient was enrolled in December 2014, and the trial has met its primary endpoint of at least 50% of patients achieving four months progression free survival, or PFS. Preliminary data from this clinical trial has been submitted for presentation at the 2015 annual meeting of the American Society of Clinical Oncology, or ASCO. As of February 3, 2015, the date of the abstract submission to ASCO, the median PFS, or mPFS, of patients on trial was 9.9 months, with seven of the 22 patients still receiving treatment. Based on third-party published data, the mPFS of the standard of care in this setting is approximately 3.5 months. In addition, the Response Evaluation Criteria in Solid Tumor, or RECIST, partial response rate of patients on the trial as of February 3, 2015 was 23%. Several recent studies in advanced RCC suggest that after treatment with a TKI, subsequent therapies, including Avastin alone, achieve RECIST partial response rates of between 2% and 4%.</w:t>
      </w:r>
    </w:p>
    <w:p>
      <w:pPr>
        <w:spacing w:after="0" w:line="118" w:lineRule="exact"/>
        <w:rPr>
          <w:rFonts w:ascii="Courier New" w:cs="Courier New" w:eastAsia="Courier New" w:hAnsi="Courier New"/>
          <w:sz w:val="18"/>
          <w:szCs w:val="18"/>
          <w:color w:val="auto"/>
        </w:rPr>
      </w:pPr>
    </w:p>
    <w:p>
      <w:pPr>
        <w:ind w:left="1020" w:hanging="49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159" w:lineRule="exact"/>
        <w:rPr>
          <w:rFonts w:ascii="Times New Roman" w:cs="Times New Roman" w:eastAsia="Times New Roman" w:hAnsi="Times New Roman"/>
          <w:sz w:val="18"/>
          <w:szCs w:val="18"/>
          <w:color w:val="auto"/>
        </w:rPr>
      </w:pPr>
    </w:p>
    <w:p>
      <w:pPr>
        <w:ind w:left="1520" w:right="40" w:hanging="477"/>
        <w:spacing w:after="0" w:line="251" w:lineRule="auto"/>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single-arm IST of CRLX101 as monotherapy and in combination with Avastin in patients with relapsed ovarian cancer is being conducted at Massachusetts General Hospital and affiliated Harvard University teaching hospitals. As previously reported, the first stage of the trial, administering CRLX101 as monotherapy, met its primary endpoint of PFS at six months for at least four</w:t>
      </w:r>
    </w:p>
    <w:p>
      <w:pPr>
        <w:spacing w:after="0" w:line="1" w:lineRule="exact"/>
        <w:rPr>
          <w:rFonts w:ascii="Courier New" w:cs="Courier New" w:eastAsia="Courier New" w:hAnsi="Courier New"/>
          <w:sz w:val="18"/>
          <w:szCs w:val="18"/>
          <w:color w:val="auto"/>
        </w:rPr>
      </w:pPr>
    </w:p>
    <w:p>
      <w:pPr>
        <w:ind w:left="1520" w:right="80"/>
        <w:spacing w:after="0" w:line="261"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patients. RECIST responses, as well as encouraging PFS, were observed for several patients. Platinum-resistant ovarian cancer patients are being enrolled in the second stage of this trial, administering CRLX101 in combination with Avastin.</w:t>
      </w:r>
    </w:p>
    <w:p>
      <w:pPr>
        <w:spacing w:after="0" w:line="112" w:lineRule="exact"/>
        <w:rPr>
          <w:rFonts w:ascii="Courier New" w:cs="Courier New" w:eastAsia="Courier New" w:hAnsi="Courier New"/>
          <w:sz w:val="18"/>
          <w:szCs w:val="18"/>
          <w:color w:val="auto"/>
        </w:rPr>
      </w:pPr>
    </w:p>
    <w:p>
      <w:pPr>
        <w:jc w:val="both"/>
        <w:ind w:left="1520" w:right="320" w:hanging="477"/>
        <w:spacing w:after="0" w:line="257" w:lineRule="auto"/>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commenced start-up activities for a Phase 1b single-arm company-sponsored trial of CRLX101 in combination with weekly paclitaxel in patients with relapsed ovarian cancer conducted in collaboration with the GOG Foundation, Inc. (formerly known as the Gynecologic Oncology Group), or GOG.</w:t>
      </w:r>
    </w:p>
    <w:p>
      <w:pPr>
        <w:spacing w:after="0" w:line="113" w:lineRule="exact"/>
        <w:rPr>
          <w:rFonts w:ascii="Courier New" w:cs="Courier New" w:eastAsia="Courier New" w:hAnsi="Courier New"/>
          <w:sz w:val="18"/>
          <w:szCs w:val="18"/>
          <w:color w:val="auto"/>
        </w:rPr>
      </w:pPr>
    </w:p>
    <w:p>
      <w:pPr>
        <w:ind w:left="1020" w:hanging="49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Neoadjuvant rectal cancer:</w:t>
      </w:r>
    </w:p>
    <w:p>
      <w:pPr>
        <w:spacing w:after="0" w:line="159" w:lineRule="exact"/>
        <w:rPr>
          <w:rFonts w:ascii="Times New Roman" w:cs="Times New Roman" w:eastAsia="Times New Roman" w:hAnsi="Times New Roman"/>
          <w:sz w:val="18"/>
          <w:szCs w:val="18"/>
          <w:color w:val="auto"/>
        </w:rPr>
      </w:pPr>
    </w:p>
    <w:p>
      <w:pPr>
        <w:jc w:val="both"/>
        <w:ind w:left="1520" w:hanging="477"/>
        <w:spacing w:after="0" w:line="253" w:lineRule="auto"/>
        <w:tabs>
          <w:tab w:leader="none" w:pos="152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CRT in patients with non-metastatic rectal cancer is being conducted at the University of North Carolina at Chapel Hill and several other sites, including the University of Indiana, Wake Forest University, Rex Hospital Inc. and Southeastern Medical Oncology Center. No dose limiting toxicities, or DLTs, have been reported in the Phase 1b stage of the trial, in which a maximum tolerated dose, or MTD, and recommended Phase 2 dose, or RP2D, of 15 mg/m2 of CRLX101 was established when administered in combination with capecitabine and radiotherapy. Patients are currently being enrolled in the RP2D expansion Phase 2 stage of the trial.</w:t>
      </w:r>
    </w:p>
    <w:p>
      <w:pPr>
        <w:spacing w:after="0" w:line="33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hold issued patents in the United States, Japan and Europe covering the composition of matter of CRLX101 that expire in 2023 and 2024, excluding any potential patent term extension. Due to the ability of NDCs to target the “leaky” vasculature that is present in all solid tumors and CRLX101’s apparently favorable adverse event profile observed to date, we believe CRLX101 may have significant clinical utility in several cancer indications, particularly in combination with other cancer therapies. Our development focus is on tumor types where HIF is up-regulated, topo 1 inhibition is desirable, and drug combinations with CRLX101 can be pursued.</w:t>
      </w:r>
    </w:p>
    <w:p>
      <w:pPr>
        <w:spacing w:after="0" w:line="184"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CRLX301, our second platform-generated clinical candidate, is a dynamically tumor-targeted NDC in Phase 1 clinical development. CRLX301 is designed to concentrate in tumors and slowly release its anti-cancer payload, docetaxel, inside tumor cells. Docetaxel is a microtubule stabilizer that is extensively used in clinical practice and is approved by the FDA for the treatment of locally advanced or metastatic non-small cell lung cancer, locally advanced squamous cell carcinoma of the head and neck, androgen-independent prostate cancer, locally advanced or metastatic breast cancer and advanced gastric cancer. In preclinical studies, CRLX301 delivered up to ten times more docetaxel into tumors, compared to an equivalent milligram dose of commercially available docetaxel and was superior to docetaxel in seven of seven animal models, with a statistically significant survival benefit seen in five of the seven models. In addition, preclinical data show that CRLX301 had lower toxicity than has been reported with docetaxel in similar preclinical studies. We hold issued patents in the United States, Japan and Europe covering the composition of matter of CRLX301 that expire in 2023 and 2024, excluding any potential patent term extension.</w:t>
      </w:r>
    </w:p>
    <w:p>
      <w:pPr>
        <w:spacing w:after="0" w:line="18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If approved, we expect to commercialize our product candidates in the United States directly with a focused commercialization organization. We expect to seek one or more strategic partners for commercialization of our product candidates outside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goal is to be a leader in the discovery, development and commercialization of NDCs for the treatment of patients with inadequately treated forms of cancer. Key elements of our strategy to achieve this goal are to:</w:t>
      </w:r>
    </w:p>
    <w:p>
      <w:pPr>
        <w:spacing w:after="0" w:line="52" w:lineRule="exact"/>
        <w:rPr>
          <w:sz w:val="20"/>
          <w:szCs w:val="20"/>
          <w:color w:val="auto"/>
        </w:rPr>
      </w:pPr>
    </w:p>
    <w:p>
      <w:pPr>
        <w:ind w:left="1020" w:right="100" w:hanging="494"/>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the clinical development of our lead product candidate, CRLX101, in multiple tumor types. </w:t>
      </w:r>
      <w:r>
        <w:rPr>
          <w:rFonts w:ascii="Times New Roman" w:cs="Times New Roman" w:eastAsia="Times New Roman" w:hAnsi="Times New Roman"/>
          <w:sz w:val="18"/>
          <w:szCs w:val="18"/>
          <w:color w:val="auto"/>
        </w:rPr>
        <w:t>Based on confirmatory signals of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observed in the ongoing relapsed RCC IST, we initiated a randomized Phase 2 clinical trial of CRLX101 in combination with Avastin in this patient population in 2014. We are exploring development opportunities in two additional tumor types, and we intend to explore additional development opportunities, alone and in collaboration with strategic partners, to capitalize on the various opportunities to use CRLX101 in combination with other cancer treatments.</w:t>
      </w:r>
    </w:p>
    <w:p>
      <w:pPr>
        <w:spacing w:after="0" w:line="112" w:lineRule="exact"/>
        <w:rPr>
          <w:rFonts w:ascii="Times New Roman" w:cs="Times New Roman" w:eastAsia="Times New Roman" w:hAnsi="Times New Roman"/>
          <w:sz w:val="18"/>
          <w:szCs w:val="18"/>
          <w:color w:val="auto"/>
        </w:rPr>
      </w:pPr>
    </w:p>
    <w:p>
      <w:pPr>
        <w:ind w:left="1020" w:right="380" w:hanging="494"/>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the clinical development of our second product candidate, CRLX301, into selected indications. </w:t>
      </w:r>
      <w:r>
        <w:rPr>
          <w:rFonts w:ascii="Times New Roman" w:cs="Times New Roman" w:eastAsia="Times New Roman" w:hAnsi="Times New Roman"/>
          <w:sz w:val="18"/>
          <w:szCs w:val="18"/>
          <w:color w:val="auto"/>
        </w:rPr>
        <w:t>Assuming we are successful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establishing a safe maximum tolerated dose, or MTD, and/or a recommended Phase 2 dose in the Phase 1 trial, we plan to rapidly advance CRLX301 into Phase 2 development.</w:t>
      </w:r>
    </w:p>
    <w:p>
      <w:pPr>
        <w:spacing w:after="0" w:line="105" w:lineRule="exact"/>
        <w:rPr>
          <w:rFonts w:ascii="Times New Roman" w:cs="Times New Roman" w:eastAsia="Times New Roman" w:hAnsi="Times New Roman"/>
          <w:sz w:val="18"/>
          <w:szCs w:val="18"/>
          <w:color w:val="auto"/>
        </w:rPr>
      </w:pPr>
    </w:p>
    <w:p>
      <w:pPr>
        <w:ind w:left="1020" w:right="40" w:hanging="494"/>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 our platform to discover and develop a proprietary pipeline of highly differentiated product candidates with anti-cancer payloads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our Dynamic Tumor Targeting Platform, we have created two product candidates, CRLX101 and CRLX301. We have used our platform to create additional NDCs, and we intend over the longer term to develop additional product candidates from the platform.</w:t>
      </w:r>
    </w:p>
    <w:p>
      <w:pPr>
        <w:spacing w:after="0" w:line="105" w:lineRule="exact"/>
        <w:rPr>
          <w:rFonts w:ascii="Times New Roman" w:cs="Times New Roman" w:eastAsia="Times New Roman" w:hAnsi="Times New Roman"/>
          <w:sz w:val="18"/>
          <w:szCs w:val="18"/>
          <w:color w:val="auto"/>
        </w:rPr>
      </w:pPr>
    </w:p>
    <w:p>
      <w:pPr>
        <w:ind w:left="1020" w:hanging="494"/>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platform beyond our proprietary pipeline to enter into strategic partnerships for the development of product candidates.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our platform can be used with a wide range of payloads. While our focus is on oncology, our preclinical data demonstrates that our platform may also be applicable in certain inflammatory diseases. We plan to explore the possibility of entering into partnerships with companies that have proprietary active pharmaceutical ingredients, or APIs, that can be used as NDC payloads for use in the treatment of oncology or inflammation indications. We envision selective partnerships with pharmaceutical companies, in which we would leverage the partner’s expertise, in combination with our platform, to generate novel NDCs incorporating the partner’s approved therapeutic or development candidate.</w:t>
      </w:r>
    </w:p>
    <w:p>
      <w:pPr>
        <w:spacing w:after="0" w:line="115" w:lineRule="exact"/>
        <w:rPr>
          <w:rFonts w:ascii="Times New Roman" w:cs="Times New Roman" w:eastAsia="Times New Roman" w:hAnsi="Times New Roman"/>
          <w:sz w:val="18"/>
          <w:szCs w:val="18"/>
          <w:color w:val="auto"/>
        </w:rPr>
      </w:pPr>
    </w:p>
    <w:p>
      <w:pPr>
        <w:ind w:left="1020" w:right="240" w:hanging="494"/>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core capabilities that allow us to commercialize our products in the United States. </w:t>
      </w:r>
      <w:r>
        <w:rPr>
          <w:rFonts w:ascii="Times New Roman" w:cs="Times New Roman" w:eastAsia="Times New Roman" w:hAnsi="Times New Roman"/>
          <w:sz w:val="18"/>
          <w:szCs w:val="18"/>
          <w:color w:val="auto"/>
        </w:rPr>
        <w:t>In order to maximize the value of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if approved, we expect to commercialize our products in the United States with a focused commercialization organization and to seek one or more strategic partners for commercialization outside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Developing Dynamically Tumor Targeted NDCs</w:t>
      </w:r>
    </w:p>
    <w:p>
      <w:pPr>
        <w:spacing w:after="0" w:line="22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Dynamic Tumor Targeting Platform is designed to create NDCs with the aim of providing safer and/or more effective therapies for patients living with cancer. This platform has thus far generated a lead candidate, CRLX101, and a second candidate, CRLX301, and has the potential to expand our pipeline, alone and in combination with partners.</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proprietary Dynamic Tumor Targeting Platform utilizes cyclodextrin polymer, or CDP, technology, which we use to create NDCs that contain small molecules such as camptothecin in the case of CRLX101 and docetaxel in the case of CRLX301. NDCs use a covalent linker to attach an anti-cancer payload to a nanoparticle backbone. The linker determines the release speed of the anti-cancer payload from the nanoparticle backbone. After the anti-cancer payload is released from the nanoparticle backbone, we believe the nanoparticle backbone disassembles into its component polymer strands. The linker and polymer strands in CRLX101 and CRLX301—cyclodextrin, polyethylene glycol, cysteine and glycine—have been extensively used in human pharmaceuticals or are part of humans’ natural metabolism. Our NDCs are generally too large to be readily eliminated from the bloodstream, but the polymer strands are small enough to be eliminated by the kidneys into the urine. The released anti-cancer payload follows a separate metabolic pathway.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Dynamic Tumor Targeting</w:t>
      </w:r>
    </w:p>
    <w:p>
      <w:pPr>
        <w:spacing w:after="0" w:line="22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our dynamic tumor targeting exploits the leaky vasculature present in new blood vessels essential for tumor growth and results in selective uptake of the NDC and sustained release of the NDC’s anti-cancer payload into tumor cells. Based on our preclinical studies and the CRLX101 clinical trials, we believe dynamic tumor targeting involves a three-step process, as described and illustrated below, each of which contributes to the achievement of desirable anti-cancer payload exposure in tumors and the reduction of undesirable anti-cancer payload exposure in normal tissue.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549"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2721610</wp:posOffset>
            </wp:positionH>
            <wp:positionV relativeFrom="page">
              <wp:posOffset>303530</wp:posOffset>
            </wp:positionV>
            <wp:extent cx="2126615" cy="2143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2661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40" w:right="160" w:hanging="234"/>
        <w:spacing w:after="0" w:line="256"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Tumor targeting via leaky vasculature</w:t>
      </w:r>
      <w:r>
        <w:rPr>
          <w:rFonts w:ascii="Times New Roman" w:cs="Times New Roman" w:eastAsia="Times New Roman" w:hAnsi="Times New Roman"/>
          <w:sz w:val="18"/>
          <w:szCs w:val="18"/>
          <w:color w:val="auto"/>
        </w:rPr>
        <w:t>. After intravenous infusion, the NDCs circulate in the bloodstream. In contrast to typical small molecule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once in the bloodstream, our NDCs are generally too large to be rapidly eliminated by filtration in the kidneys and to escape from the bloodstream into normal tissue. However, they are small enough to exploit the leaky vasculature found in the immature blood vessels of growing tumors as a selective entry portal into tumor tissue. As tumors grow, they stimulate the formation of new, immature blood vessels, the inner surfaces of which are less densely lined by endothelial cells as compared to mature blood vessels. As a result, immature blood vessels of growing tumors have larger pores that confer leakiness. Generally, pore sizes of normal tissue are less than ten nanometers, and pore sizes of tumor tissue are greater than 100 nanometers. Our CDP-based NDCs are typically between 10 and 40 nanometers in diameter.</w:t>
      </w:r>
    </w:p>
    <w:p>
      <w:pPr>
        <w:spacing w:after="0" w:line="117" w:lineRule="exact"/>
        <w:rPr>
          <w:rFonts w:ascii="Times New Roman" w:cs="Times New Roman" w:eastAsia="Times New Roman" w:hAnsi="Times New Roman"/>
          <w:sz w:val="18"/>
          <w:szCs w:val="18"/>
          <w:color w:val="auto"/>
        </w:rPr>
      </w:pPr>
    </w:p>
    <w:p>
      <w:pPr>
        <w:ind w:left="240" w:right="1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CRLX101 has a relatively low tissue distribution. A compound’s volume of distribution refers to the theoretical fluid volume that would be required to contain the amount of drug present in the body at the same concentration as in the plasma, with higher volume of distribution values indicating more extensive distribution into tissue. In human patients, the volume of distribution of CRLX101 is approximately 2.4 liters. In contrast, in human patients, the volume of distribution of irinotecan, an analog of camptothecin approved for the treatment of metastatic colon cancer, is approximately 263 liters, and the volume of distribution of topotecan, which is approved for the treatment of ovarian, cervical and small cell lung cancer, is approximately 130 liters. This low tissue distribution of CRLX101 spares key organ systems from extensive drug exposure.</w:t>
      </w:r>
    </w:p>
    <w:p>
      <w:pPr>
        <w:spacing w:after="0" w:line="106" w:lineRule="exact"/>
        <w:rPr>
          <w:rFonts w:ascii="Times New Roman" w:cs="Times New Roman" w:eastAsia="Times New Roman" w:hAnsi="Times New Roman"/>
          <w:sz w:val="18"/>
          <w:szCs w:val="18"/>
          <w:color w:val="auto"/>
        </w:rPr>
      </w:pPr>
    </w:p>
    <w:p>
      <w:pPr>
        <w:ind w:left="24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NDCs are designed to be stealthy, meaning that they are designed to be not readily detected by the body’s immune cells and therefore avoid producing an immune response. This results in slow metabolism and long systemic circulation, allowing our NDCs to penetrate from the bloodstream into tumors via the leaky vasculature.</w:t>
      </w:r>
    </w:p>
    <w:p>
      <w:pPr>
        <w:spacing w:after="0" w:line="106" w:lineRule="exact"/>
        <w:rPr>
          <w:rFonts w:ascii="Times New Roman" w:cs="Times New Roman" w:eastAsia="Times New Roman" w:hAnsi="Times New Roman"/>
          <w:sz w:val="18"/>
          <w:szCs w:val="18"/>
          <w:color w:val="auto"/>
        </w:rPr>
      </w:pPr>
    </w:p>
    <w:p>
      <w:pPr>
        <w:ind w:left="240" w:right="60" w:hanging="234"/>
        <w:spacing w:after="0" w:line="257"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Transport into tumor cells</w:t>
      </w:r>
      <w:r>
        <w:rPr>
          <w:rFonts w:ascii="Times New Roman" w:cs="Times New Roman" w:eastAsia="Times New Roman" w:hAnsi="Times New Roman"/>
          <w:sz w:val="18"/>
          <w:szCs w:val="18"/>
          <w:color w:val="auto"/>
        </w:rPr>
        <w:t>. Once inside the tumor, tumor cells actively transport our NDCs into the interior of tumor cells. We believe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macropinocytosis acts as the primary mechanism of uptake. Macropinocytosis is a cellular uptake mechanism that allows small particles to be transported into cells. It is induced by the tumor’s rapid growth and ensuing demand for cellular building blocks. Macropinocytosis is up-regulated in tumor cells, and CRLX101 exploits this feature to drive active uptake of the NDC and its anti-cancer payload. Following their entry into the cancer cells, we believe our NDCs, due to their size, are not easily removed from cancer cells by their existing efflux pumps. Efflux is the process by which toxic substances are moved out of the cell and which confers tumor resistance against anti-cancer agents.</w:t>
      </w:r>
    </w:p>
    <w:p>
      <w:pPr>
        <w:spacing w:after="0" w:line="115" w:lineRule="exact"/>
        <w:rPr>
          <w:rFonts w:ascii="Times New Roman" w:cs="Times New Roman" w:eastAsia="Times New Roman" w:hAnsi="Times New Roman"/>
          <w:sz w:val="18"/>
          <w:szCs w:val="18"/>
          <w:color w:val="auto"/>
        </w:rPr>
      </w:pPr>
    </w:p>
    <w:p>
      <w:pPr>
        <w:ind w:left="240" w:hanging="234"/>
        <w:spacing w:after="0" w:line="254"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Sustained release of anti-cancer payload from within tumor cells</w:t>
      </w:r>
      <w:r>
        <w:rPr>
          <w:rFonts w:ascii="Times New Roman" w:cs="Times New Roman" w:eastAsia="Times New Roman" w:hAnsi="Times New Roman"/>
          <w:sz w:val="18"/>
          <w:szCs w:val="18"/>
          <w:color w:val="auto"/>
        </w:rPr>
        <w:t>. Since the anti-cancer payload is covalently linked to the polymer of the NDC,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anti-cancer payload has to be cleaved from the polymer to be active. We believe the cleavage of the linker connection between the anti-cancer payload and the NDC occurs primarily by hydrolysis and therefore is affected by pH. Typically, the pH level in tumors is lower than in the bloodstream, which further slows the cleavage of the linker and thereby prolongs the release of the anti-cancer payload within tumor cells. We believe sustained release contributes to enhanced anti-tumor activity. In rapidly proliferating cells, such as growing tumor cells, the cell replication cycle takes approximately 24 hours to complete, and the S-phase of the cell replication cycle, during which new DNA is synthesized, lasts for approximately five to eight hours. Many chemotherapeutics, including the camptothecin class, interfere with DNA synthesis during the S-phase, rendering cells more susceptible to inhibition if they are in S-phase and less susceptible to inhibition if they are not in S-phase. Since cells enter the cell replication cycle independently of each other, at any given time not all cells are susceptible to inhibition by an anti-cancer therapy that acts during the S-phase.</w:t>
      </w:r>
    </w:p>
    <w:p>
      <w:pPr>
        <w:spacing w:after="0" w:line="120" w:lineRule="exact"/>
        <w:rPr>
          <w:rFonts w:ascii="Times New Roman" w:cs="Times New Roman" w:eastAsia="Times New Roman" w:hAnsi="Times New Roman"/>
          <w:sz w:val="18"/>
          <w:szCs w:val="18"/>
          <w:color w:val="auto"/>
        </w:rPr>
      </w:pPr>
    </w:p>
    <w:p>
      <w:pPr>
        <w:ind w:left="24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sustained drug concentrations in tumors can be achieved for the entire duration of the replication cycle, the anti-cancer agent will only kill the cells that are in a susceptible phase while drug levels are above the minimum therapeutic threshold, thus allowing the replication and escape of tumor cells during intervals of low drug levels in tumors. For example, topotecan</w:t>
      </w:r>
    </w:p>
    <w:p>
      <w:pPr>
        <w:spacing w:after="0" w:line="3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760" w:top="1440" w:right="259" w:bottom="1440" w:gutter="0" w:footer="0" w:header="0"/>
        </w:sectPr>
      </w:pPr>
    </w:p>
    <w:bookmarkStart w:id="6" w:name="page7"/>
    <w:bookmarkEnd w:id="6"/>
    <w:p>
      <w:pPr>
        <w:ind w:left="760"/>
        <w:spacing w:after="0" w:line="261" w:lineRule="auto"/>
        <w:rPr>
          <w:sz w:val="20"/>
          <w:szCs w:val="20"/>
          <w:color w:val="auto"/>
        </w:rPr>
      </w:pPr>
      <w:r>
        <w:rPr>
          <w:rFonts w:ascii="Times New Roman" w:cs="Times New Roman" w:eastAsia="Times New Roman" w:hAnsi="Times New Roman"/>
          <w:sz w:val="18"/>
          <w:szCs w:val="18"/>
          <w:color w:val="auto"/>
        </w:rPr>
        <w:t>has a terminal half-life, which is the time required for the plasma drug concentration to reach half of its original value, of two to three hours in humans, whereas CRLX101 has a plasma terminal half-life of approximately 28 hours, covering the entire duration of a typical cell replication cycle. Therefore, the third step of dynamic tumor targeting leverages the enrichment of the NDCs within the tumor cells by releasing the payload in a sustained fashion to achieve durable drug concentrations for the entire duration of a typical cell replication cycle.</w:t>
      </w:r>
    </w:p>
    <w:p>
      <w:pPr>
        <w:spacing w:after="0" w:line="32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As initial clinical evidence of selective entry of CRLX101 in tumor tissue, we obtained differential post-therapy biopsies of tumor tissue and adjacent normal tissue from two gastric patients. These patient biopsies, taken between 24 and 48 hours after a single dose of CRLX101 was administered, indicated that camptothecin was present in the tumor tissue, and very little camptothecin was present in the adjacent normal tissue. These human data support our belief that our platform achieves higher drug concentrations in tumors compared to normal tissue. In addition, we believe that the observed safety profile of our lead drug candidate, CRLX101, across more than 250 cancer patients, can be explained by the targeted delivery of the anti-cancer payload and the sparing of key organ systems from extensive drug exposure.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Application of the Platform</w:t>
      </w:r>
    </w:p>
    <w:p>
      <w:pPr>
        <w:spacing w:after="0" w:line="227"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Our platform is applicable to a range of API payloads. It can be applied in oncology, and we believe it may also be applied in certain types of inflammatory diseases where leaky vascular occurs.</w:t>
      </w:r>
    </w:p>
    <w:p>
      <w:pPr>
        <w:spacing w:after="0" w:line="162"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have created NDCs with a variety of small molecule payloads, including camptothecin, docetaxel, Jevtana® (cabazitaxel), Gemzar® (gemcitabine), Trexall® (methotrexate) and Xeljanz® (tofacitinib). We select the small molecule payload based upon several factors, including our ability to conjugate the payload to our polymer, the biological rationale for prolonging circulation and providing sustained release of the payload, a relatively high potency of the payload, as well as intellectual property, regulatory and commercial considerations. As discussed below, in preclinical testing, our NDCs generally show improved pharmacokinetics, activity and tolerability as compared to the payload alone. We intend to develop NDCs alone and potentially in collaboration with partners.</w:t>
      </w:r>
    </w:p>
    <w:p>
      <w:pPr>
        <w:spacing w:after="0" w:line="188" w:lineRule="exact"/>
        <w:rPr>
          <w:sz w:val="20"/>
          <w:szCs w:val="20"/>
          <w:color w:val="auto"/>
        </w:rPr>
      </w:pPr>
    </w:p>
    <w:p>
      <w:pPr>
        <w:jc w:val="both"/>
        <w:ind w:right="140" w:firstLine="518"/>
        <w:spacing w:after="0" w:line="258" w:lineRule="auto"/>
        <w:rPr>
          <w:sz w:val="20"/>
          <w:szCs w:val="20"/>
          <w:color w:val="auto"/>
        </w:rPr>
      </w:pPr>
      <w:r>
        <w:rPr>
          <w:rFonts w:ascii="Times New Roman" w:cs="Times New Roman" w:eastAsia="Times New Roman" w:hAnsi="Times New Roman"/>
          <w:sz w:val="18"/>
          <w:szCs w:val="18"/>
          <w:color w:val="auto"/>
        </w:rPr>
        <w:t>In the future, we may expand beyond anti-cancer therapies to capitalize on the additional opportunities that our platform affords. As an example, in inflammatory diseases our NDCs may offer clinical advantages. Like tumor tissues, in certain inflammatory diseases the pores of blood vessels can become enlarged as part of the inflammatory process. We believe our platform may prove useful in inflammatory diseases characterized by leaky vasculature. While we do not intend to focus our business on inflammatory diseases, this aspect of our platform may afford us with future expansion opportunities by pursuing anti-inflammatory opportunities through collaborations with companies that have expertise in inflammation.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current development stage pipeline consists of CRLX101 and CRLX301. As described in more detail below, we are pursuing clinical development of CRLX101 in three lead indications, and we began clinical development of CRLX301 in 2014.</w:t>
      </w:r>
    </w:p>
    <w:p>
      <w:pPr>
        <w:spacing w:after="0" w:line="359" w:lineRule="exact"/>
        <w:rPr>
          <w:sz w:val="20"/>
          <w:szCs w:val="20"/>
          <w:color w:val="auto"/>
        </w:rPr>
      </w:pPr>
    </w:p>
    <w:tbl>
      <w:tblPr>
        <w:tblLayout w:type="fixed"/>
        <w:tblInd w:w="113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Candidate</w:t>
            </w:r>
          </w:p>
        </w:tc>
        <w:tc>
          <w:tcPr>
            <w:tcW w:w="12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Stage</w:t>
            </w:r>
          </w:p>
        </w:tc>
        <w:tc>
          <w:tcPr>
            <w:tcW w:w="42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Design of Ongoing Clinical Trials</w:t>
            </w:r>
          </w:p>
        </w:tc>
        <w:tc>
          <w:tcPr>
            <w:tcW w:w="0" w:type="dxa"/>
            <w:vAlign w:val="bottom"/>
          </w:tcPr>
          <w:p>
            <w:pPr>
              <w:spacing w:after="0"/>
              <w:rPr>
                <w:sz w:val="1"/>
                <w:szCs w:val="1"/>
                <w:color w:val="auto"/>
              </w:rPr>
            </w:pPr>
          </w:p>
        </w:tc>
      </w:tr>
      <w:tr>
        <w:trPr>
          <w:trHeight w:val="236"/>
        </w:trPr>
        <w:tc>
          <w:tcPr>
            <w:tcW w:w="800" w:type="dxa"/>
            <w:vAlign w:val="bottom"/>
            <w:tcBorders>
              <w:left w:val="single" w:sz="8" w:color="auto"/>
              <w:right w:val="single" w:sz="8" w:color="auto"/>
            </w:tcBorders>
          </w:tcPr>
          <w:p>
            <w:pPr>
              <w:spacing w:after="0"/>
              <w:rPr>
                <w:sz w:val="20"/>
                <w:szCs w:val="20"/>
                <w:color w:val="auto"/>
              </w:rPr>
            </w:pPr>
          </w:p>
        </w:tc>
        <w:tc>
          <w:tcPr>
            <w:tcW w:w="1260" w:type="dxa"/>
            <w:vAlign w:val="bottom"/>
            <w:tcBorders>
              <w:right w:val="single" w:sz="8" w:color="auto"/>
            </w:tcBorders>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Relapsed</w:t>
            </w:r>
          </w:p>
        </w:tc>
        <w:tc>
          <w:tcPr>
            <w:tcW w:w="9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•Ongoing randomized Phase 2 company-sponsored trial of</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2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CRLX101 in combination with Avastin</w:t>
            </w:r>
          </w:p>
        </w:tc>
        <w:tc>
          <w:tcPr>
            <w:tcW w:w="0" w:type="dxa"/>
            <w:vAlign w:val="bottom"/>
          </w:tcPr>
          <w:p>
            <w:pPr>
              <w:spacing w:after="0"/>
              <w:rPr>
                <w:sz w:val="1"/>
                <w:szCs w:val="1"/>
                <w:color w:val="auto"/>
              </w:rPr>
            </w:pPr>
          </w:p>
        </w:tc>
      </w:tr>
      <w:tr>
        <w:trPr>
          <w:trHeight w:val="89"/>
        </w:trPr>
        <w:tc>
          <w:tcPr>
            <w:tcW w:w="800" w:type="dxa"/>
            <w:vAlign w:val="bottom"/>
            <w:tcBorders>
              <w:left w:val="single" w:sz="8" w:color="auto"/>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w w:val="99"/>
              </w:rPr>
              <w:t>Renal Cell</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Phase 2</w:t>
            </w:r>
          </w:p>
        </w:tc>
        <w:tc>
          <w:tcPr>
            <w:tcW w:w="4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0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•Ongoing single-arm Phase 1b/2 IST of CRLX101 in</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Carcinoma</w:t>
            </w:r>
          </w:p>
        </w:tc>
        <w:tc>
          <w:tcPr>
            <w:tcW w:w="980" w:type="dxa"/>
            <w:vAlign w:val="bottom"/>
            <w:tcBorders>
              <w:right w:val="single" w:sz="8" w:color="auto"/>
            </w:tcBorders>
          </w:tcPr>
          <w:p>
            <w:pPr>
              <w:spacing w:after="0"/>
              <w:rPr>
                <w:sz w:val="11"/>
                <w:szCs w:val="11"/>
                <w:color w:val="auto"/>
              </w:rPr>
            </w:pPr>
          </w:p>
        </w:tc>
        <w:tc>
          <w:tcPr>
            <w:tcW w:w="4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42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combination with Avastin that has completed enrollment</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4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800" w:type="dxa"/>
            <w:vAlign w:val="bottom"/>
            <w:tcBorders>
              <w:left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800" w:type="dxa"/>
            <w:vAlign w:val="bottom"/>
            <w:tcBorders>
              <w:left w:val="single" w:sz="8" w:color="auto"/>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•Ongoing 2-part, single-arm Phase 2 IST of CRLX101 as</w:t>
            </w:r>
          </w:p>
        </w:tc>
        <w:tc>
          <w:tcPr>
            <w:tcW w:w="0" w:type="dxa"/>
            <w:vAlign w:val="bottom"/>
          </w:tcPr>
          <w:p>
            <w:pPr>
              <w:spacing w:after="0"/>
              <w:rPr>
                <w:sz w:val="1"/>
                <w:szCs w:val="1"/>
                <w:color w:val="auto"/>
              </w:rPr>
            </w:pPr>
          </w:p>
        </w:tc>
      </w:tr>
      <w:tr>
        <w:trPr>
          <w:trHeight w:val="210"/>
        </w:trPr>
        <w:tc>
          <w:tcPr>
            <w:tcW w:w="8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monotherapy and in combination with Avastin</w:t>
            </w:r>
          </w:p>
        </w:tc>
        <w:tc>
          <w:tcPr>
            <w:tcW w:w="0" w:type="dxa"/>
            <w:vAlign w:val="bottom"/>
          </w:tcPr>
          <w:p>
            <w:pPr>
              <w:spacing w:after="0"/>
              <w:rPr>
                <w:sz w:val="1"/>
                <w:szCs w:val="1"/>
                <w:color w:val="auto"/>
              </w:rPr>
            </w:pPr>
          </w:p>
        </w:tc>
      </w:tr>
      <w:tr>
        <w:trPr>
          <w:trHeight w:val="249"/>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CRLX101</w:t>
            </w:r>
          </w:p>
        </w:tc>
        <w:tc>
          <w:tcPr>
            <w:tcW w:w="126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rPr>
              <w:t>Relapsed</w:t>
            </w:r>
          </w:p>
        </w:tc>
        <w:tc>
          <w:tcPr>
            <w:tcW w:w="980" w:type="dxa"/>
            <w:vAlign w:val="bottom"/>
            <w:tcBorders>
              <w:right w:val="single" w:sz="8" w:color="auto"/>
            </w:tcBorders>
          </w:tcPr>
          <w:p>
            <w:pPr>
              <w:spacing w:after="0"/>
              <w:rPr>
                <w:sz w:val="21"/>
                <w:szCs w:val="21"/>
                <w:color w:val="auto"/>
              </w:rPr>
            </w:pPr>
          </w:p>
        </w:tc>
        <w:tc>
          <w:tcPr>
            <w:tcW w:w="4220" w:type="dxa"/>
            <w:vAlign w:val="bottom"/>
            <w:tcBorders>
              <w:right w:val="single" w:sz="8" w:color="auto"/>
            </w:tcBorders>
          </w:tcPr>
          <w:p>
            <w:pPr>
              <w:ind w:left="440"/>
              <w:spacing w:after="0"/>
              <w:rPr>
                <w:sz w:val="20"/>
                <w:szCs w:val="20"/>
                <w:color w:val="auto"/>
              </w:rPr>
            </w:pPr>
            <w:r>
              <w:rPr>
                <w:rFonts w:ascii="Courier New" w:cs="Courier New" w:eastAsia="Courier New" w:hAnsi="Courier New"/>
                <w:sz w:val="16"/>
                <w:szCs w:val="16"/>
                <w:color w:val="auto"/>
              </w:rPr>
              <w:t>o</w:t>
            </w:r>
            <w:r>
              <w:rPr>
                <w:rFonts w:ascii="Times New Roman" w:cs="Times New Roman" w:eastAsia="Times New Roman" w:hAnsi="Times New Roman"/>
                <w:sz w:val="16"/>
                <w:szCs w:val="16"/>
                <w:color w:val="auto"/>
              </w:rPr>
              <w:t>Part 1: monotherapy arm that met primary efficacy and</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vMerge w:val="continue"/>
          </w:tcPr>
          <w:p>
            <w:pPr>
              <w:spacing w:after="0"/>
              <w:rPr>
                <w:sz w:val="17"/>
                <w:szCs w:val="17"/>
                <w:color w:val="auto"/>
              </w:rPr>
            </w:pPr>
          </w:p>
        </w:tc>
        <w:tc>
          <w:tcPr>
            <w:tcW w:w="126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rPr>
              <w:t>Ovarian</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Phase 2</w:t>
            </w:r>
          </w:p>
        </w:tc>
        <w:tc>
          <w:tcPr>
            <w:tcW w:w="42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safety endpoints</w:t>
            </w: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Cancer</w:t>
            </w:r>
          </w:p>
        </w:tc>
        <w:tc>
          <w:tcPr>
            <w:tcW w:w="980" w:type="dxa"/>
            <w:vAlign w:val="bottom"/>
            <w:tcBorders>
              <w:right w:val="single" w:sz="8" w:color="auto"/>
            </w:tcBorders>
          </w:tcPr>
          <w:p>
            <w:pPr>
              <w:spacing w:after="0"/>
              <w:rPr>
                <w:sz w:val="22"/>
                <w:szCs w:val="22"/>
                <w:color w:val="auto"/>
              </w:rPr>
            </w:pPr>
          </w:p>
        </w:tc>
        <w:tc>
          <w:tcPr>
            <w:tcW w:w="4220" w:type="dxa"/>
            <w:vAlign w:val="bottom"/>
            <w:tcBorders>
              <w:right w:val="single" w:sz="8" w:color="auto"/>
            </w:tcBorders>
          </w:tcPr>
          <w:p>
            <w:pPr>
              <w:ind w:left="440"/>
              <w:spacing w:after="0"/>
              <w:rPr>
                <w:sz w:val="20"/>
                <w:szCs w:val="20"/>
                <w:color w:val="auto"/>
              </w:rPr>
            </w:pPr>
            <w:r>
              <w:rPr>
                <w:rFonts w:ascii="Courier New" w:cs="Courier New" w:eastAsia="Courier New" w:hAnsi="Courier New"/>
                <w:sz w:val="16"/>
                <w:szCs w:val="16"/>
                <w:color w:val="auto"/>
              </w:rPr>
              <w:t>o</w:t>
            </w:r>
            <w:r>
              <w:rPr>
                <w:rFonts w:ascii="Times New Roman" w:cs="Times New Roman" w:eastAsia="Times New Roman" w:hAnsi="Times New Roman"/>
                <w:sz w:val="16"/>
                <w:szCs w:val="16"/>
                <w:color w:val="auto"/>
              </w:rPr>
              <w:t>Part 2: ongoing single-arm of CRLX101 in combination</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with Avastin, for which the Avastin is provided by</w:t>
            </w:r>
          </w:p>
        </w:tc>
        <w:tc>
          <w:tcPr>
            <w:tcW w:w="0" w:type="dxa"/>
            <w:vAlign w:val="bottom"/>
          </w:tcPr>
          <w:p>
            <w:pPr>
              <w:spacing w:after="0"/>
              <w:rPr>
                <w:sz w:val="1"/>
                <w:szCs w:val="1"/>
                <w:color w:val="auto"/>
              </w:rPr>
            </w:pPr>
          </w:p>
        </w:tc>
      </w:tr>
      <w:tr>
        <w:trPr>
          <w:trHeight w:val="210"/>
        </w:trPr>
        <w:tc>
          <w:tcPr>
            <w:tcW w:w="80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Genentech</w:t>
            </w:r>
          </w:p>
        </w:tc>
        <w:tc>
          <w:tcPr>
            <w:tcW w:w="0" w:type="dxa"/>
            <w:vAlign w:val="bottom"/>
          </w:tcPr>
          <w:p>
            <w:pPr>
              <w:spacing w:after="0"/>
              <w:rPr>
                <w:sz w:val="1"/>
                <w:szCs w:val="1"/>
                <w:color w:val="auto"/>
              </w:rPr>
            </w:pPr>
          </w:p>
        </w:tc>
      </w:tr>
      <w:tr>
        <w:trPr>
          <w:trHeight w:val="60"/>
        </w:trPr>
        <w:tc>
          <w:tcPr>
            <w:tcW w:w="800" w:type="dxa"/>
            <w:vAlign w:val="bottom"/>
            <w:tcBorders>
              <w:left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80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Neoadjuvant Rectal</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Phase 2</w:t>
            </w:r>
          </w:p>
        </w:tc>
        <w:tc>
          <w:tcPr>
            <w:tcW w:w="4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•Ongoing single-arm Phase 1b/2 IST of CRLX101 in</w:t>
            </w:r>
          </w:p>
        </w:tc>
        <w:tc>
          <w:tcPr>
            <w:tcW w:w="0" w:type="dxa"/>
            <w:vAlign w:val="bottom"/>
          </w:tcPr>
          <w:p>
            <w:pPr>
              <w:spacing w:after="0"/>
              <w:rPr>
                <w:sz w:val="1"/>
                <w:szCs w:val="1"/>
                <w:color w:val="auto"/>
              </w:rPr>
            </w:pPr>
          </w:p>
        </w:tc>
      </w:tr>
      <w:tr>
        <w:trPr>
          <w:trHeight w:val="102"/>
        </w:trPr>
        <w:tc>
          <w:tcPr>
            <w:tcW w:w="800" w:type="dxa"/>
            <w:vAlign w:val="bottom"/>
            <w:tcBorders>
              <w:left w:val="single" w:sz="8" w:color="auto"/>
              <w:right w:val="single" w:sz="8" w:color="auto"/>
            </w:tcBorders>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Cancer</w:t>
            </w:r>
          </w:p>
        </w:tc>
        <w:tc>
          <w:tcPr>
            <w:tcW w:w="980" w:type="dxa"/>
            <w:vAlign w:val="bottom"/>
            <w:tcBorders>
              <w:right w:val="single" w:sz="8" w:color="auto"/>
            </w:tcBorders>
            <w:vMerge w:val="continue"/>
          </w:tcPr>
          <w:p>
            <w:pPr>
              <w:spacing w:after="0"/>
              <w:rPr>
                <w:sz w:val="8"/>
                <w:szCs w:val="8"/>
                <w:color w:val="auto"/>
              </w:rPr>
            </w:pPr>
          </w:p>
        </w:tc>
        <w:tc>
          <w:tcPr>
            <w:tcW w:w="42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combination with CRT</w:t>
            </w:r>
          </w:p>
        </w:tc>
        <w:tc>
          <w:tcPr>
            <w:tcW w:w="0" w:type="dxa"/>
            <w:vAlign w:val="bottom"/>
          </w:tcPr>
          <w:p>
            <w:pPr>
              <w:spacing w:after="0"/>
              <w:rPr>
                <w:sz w:val="1"/>
                <w:szCs w:val="1"/>
                <w:color w:val="auto"/>
              </w:rPr>
            </w:pPr>
          </w:p>
        </w:tc>
      </w:tr>
      <w:tr>
        <w:trPr>
          <w:trHeight w:val="108"/>
        </w:trPr>
        <w:tc>
          <w:tcPr>
            <w:tcW w:w="80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CRLX301</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Solid</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Phase 1</w:t>
            </w:r>
          </w:p>
        </w:tc>
        <w:tc>
          <w:tcPr>
            <w:tcW w:w="4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•Ongoing Phase 1 dose-escalation trial of CRLX301 as</w:t>
            </w:r>
          </w:p>
        </w:tc>
        <w:tc>
          <w:tcPr>
            <w:tcW w:w="0" w:type="dxa"/>
            <w:vAlign w:val="bottom"/>
          </w:tcPr>
          <w:p>
            <w:pPr>
              <w:spacing w:after="0"/>
              <w:rPr>
                <w:sz w:val="1"/>
                <w:szCs w:val="1"/>
                <w:color w:val="auto"/>
              </w:rPr>
            </w:pPr>
          </w:p>
        </w:tc>
      </w:tr>
      <w:tr>
        <w:trPr>
          <w:trHeight w:val="102"/>
        </w:trPr>
        <w:tc>
          <w:tcPr>
            <w:tcW w:w="800" w:type="dxa"/>
            <w:vAlign w:val="bottom"/>
            <w:tcBorders>
              <w:left w:val="single" w:sz="8" w:color="auto"/>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Tumors</w:t>
            </w:r>
          </w:p>
        </w:tc>
        <w:tc>
          <w:tcPr>
            <w:tcW w:w="980" w:type="dxa"/>
            <w:vAlign w:val="bottom"/>
            <w:tcBorders>
              <w:right w:val="single" w:sz="8" w:color="auto"/>
            </w:tcBorders>
            <w:vMerge w:val="continue"/>
          </w:tcPr>
          <w:p>
            <w:pPr>
              <w:spacing w:after="0"/>
              <w:rPr>
                <w:sz w:val="8"/>
                <w:szCs w:val="8"/>
                <w:color w:val="auto"/>
              </w:rPr>
            </w:pPr>
          </w:p>
        </w:tc>
        <w:tc>
          <w:tcPr>
            <w:tcW w:w="42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monotherapy</w:t>
            </w:r>
          </w:p>
        </w:tc>
        <w:tc>
          <w:tcPr>
            <w:tcW w:w="0" w:type="dxa"/>
            <w:vAlign w:val="bottom"/>
          </w:tcPr>
          <w:p>
            <w:pPr>
              <w:spacing w:after="0"/>
              <w:rPr>
                <w:sz w:val="1"/>
                <w:szCs w:val="1"/>
                <w:color w:val="auto"/>
              </w:rPr>
            </w:pPr>
          </w:p>
        </w:tc>
      </w:tr>
      <w:tr>
        <w:trPr>
          <w:trHeight w:val="108"/>
        </w:trPr>
        <w:tc>
          <w:tcPr>
            <w:tcW w:w="80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CRLX101</w:t>
      </w:r>
    </w:p>
    <w:p>
      <w:pPr>
        <w:spacing w:after="0" w:line="22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CRLX101 is a dynamically tumor targeted NDC that is administered intravenously. It includes a CDP to which camptothecin is covalently linked. We have demonstrated in preclinical studies that CRLX101 is a potent, durable and combinable inhibitor of topo 1 and HIF. We believe that the properties of CRLX101 could translate into important benefits for patients. We are focusing the clinical development of CRLX101 on cancer indications in which we expect the durable inhibition of topo 1 and HIF, in combination with other cancer treatments, will lead to differentiated efficacy. Initially, we are focusing on combinations with vascular endothelial growth factor inhibitors, or VEGF inhibitors, or CRT. Accordingly, we are currently developing CRLX101 in combination with Avastin in relapsed RCC and relapsed ovarian cancer, and in combination with CRT in rectal cancer in the neoadjuvant setting.</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Preclinical Efficacy, Potency and Selectivity of CRLX101</w:t>
      </w:r>
    </w:p>
    <w:p>
      <w:pPr>
        <w:spacing w:after="0" w:line="22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Camptothecin is a natural product and a potent inhibitor of topo 1. Camptothecin can exist in two forms: an active lactone form that inhibits topo 1, and an inactive carboxylate form. In human plasma, camptothecin is rapidly converted from its active form to its inactive form. This rapid conversion was not appreciated when camptothecin was originally developed, and in clinical trials patients were dosed until unacceptable toxicities of hemorrhagic cystitis and bone marrow suppression were observed. As a result, camptothecin has never been approved for use by the FDA or any other regulatory agency. To address the issue of rapid conversion of camptothecin to its inactive form, CRLX101 covalently binds camptothecin in its active lactone form to a polymer system that protects camptothecin from metabolism in the plasma, drives delivery of the active form of camptothecin into tumors and tumor cells and minimizes tissue distribution and toxicity related to camptothecin. Our hypothesis is that this delivery mechanism results in the release of the active form of camptothecin into the tumor cells, allowing it to exert its anti-cancer effects.</w:t>
      </w:r>
    </w:p>
    <w:p>
      <w:pPr>
        <w:spacing w:after="0" w:line="185" w:lineRule="exact"/>
        <w:rPr>
          <w:sz w:val="20"/>
          <w:szCs w:val="20"/>
          <w:color w:val="auto"/>
        </w:rPr>
      </w:pPr>
    </w:p>
    <w:p>
      <w:pPr>
        <w:jc w:val="both"/>
        <w:ind w:right="140" w:firstLine="518"/>
        <w:spacing w:after="0" w:line="258" w:lineRule="auto"/>
        <w:rPr>
          <w:sz w:val="20"/>
          <w:szCs w:val="20"/>
          <w:color w:val="auto"/>
        </w:rPr>
      </w:pPr>
      <w:r>
        <w:rPr>
          <w:rFonts w:ascii="Times New Roman" w:cs="Times New Roman" w:eastAsia="Times New Roman" w:hAnsi="Times New Roman"/>
          <w:sz w:val="18"/>
          <w:szCs w:val="18"/>
          <w:color w:val="auto"/>
        </w:rPr>
        <w:t>Topo 1 is an essential enzyme required for DNA replication and transcription. In the nucleus, DNA exists as a supercoiled double helix. Topo 1 cuts one DNA strand of the double helix to allow the DNA to uncoil such that the enzyme complexes that drive DNA replication and transcription can access the DNA template. Once these processes are complete, topo 1 re-ligates the DNA back into its super-coiled form. Camptothecin and its analogs, irinotecan and topotecan, bind to the topo 1 DNA complex and prevent the re-ligation of the DNA. The accumulation of unrepaired DNA breaks causes the cell to undergo apoptosis, or cell death. Since tumor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49" w:right="239" w:bottom="1440" w:gutter="0" w:footer="0" w:header="0"/>
        </w:sectPr>
      </w:pPr>
    </w:p>
    <w:bookmarkStart w:id="8" w:name="page9"/>
    <w:bookmarkEnd w:id="8"/>
    <w:p>
      <w:pPr>
        <w:ind w:right="100"/>
        <w:spacing w:after="0" w:line="282" w:lineRule="auto"/>
        <w:rPr>
          <w:sz w:val="20"/>
          <w:szCs w:val="20"/>
          <w:color w:val="auto"/>
        </w:rPr>
      </w:pPr>
      <w:r>
        <w:rPr>
          <w:rFonts w:ascii="Times New Roman" w:cs="Times New Roman" w:eastAsia="Times New Roman" w:hAnsi="Times New Roman"/>
          <w:sz w:val="18"/>
          <w:szCs w:val="18"/>
          <w:color w:val="auto"/>
        </w:rPr>
        <w:t>cells replicate and transcribe their DNA more frequently than normal cells, they require frequent re-ligation of broken DNA strands and are more sensitive to topo 1 inhibitors than normal cells.</w:t>
      </w:r>
    </w:p>
    <w:p>
      <w:pPr>
        <w:spacing w:after="0" w:line="16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FDA has approved topotecan for the treatment of ovarian cancer, cervical cancer and small cell lung cancer, and irinotecan for the treatment of metastatic colorectal cancer. Compared to CRLX101, both of these drugs have shorter half-lives, more extensive toxicities and lack of tumor targeting. However, topotecan and irinotecan clinically and commercially validate the inhibition of topo 1 as an important anti-cancer target.</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CRLX101 demonstrates a linear and predictable pharmacokinetic, or PK, profile across a number of animal species and in humans. There is little PK variability between doses, between patients and between single and multi-dose administration in patients.</w:t>
      </w:r>
    </w:p>
    <w:p>
      <w:pPr>
        <w:spacing w:after="0" w:line="162" w:lineRule="exact"/>
        <w:rPr>
          <w:sz w:val="20"/>
          <w:szCs w:val="20"/>
          <w:color w:val="auto"/>
        </w:rPr>
      </w:pPr>
    </w:p>
    <w:p>
      <w:pPr>
        <w:ind w:right="80" w:firstLine="560"/>
        <w:spacing w:after="0" w:line="254" w:lineRule="auto"/>
        <w:rPr>
          <w:sz w:val="20"/>
          <w:szCs w:val="20"/>
          <w:color w:val="auto"/>
        </w:rPr>
      </w:pPr>
      <w:r>
        <w:rPr>
          <w:rFonts w:ascii="Times New Roman" w:cs="Times New Roman" w:eastAsia="Times New Roman" w:hAnsi="Times New Roman"/>
          <w:sz w:val="18"/>
          <w:szCs w:val="18"/>
          <w:color w:val="auto"/>
        </w:rPr>
        <w:t>We conducted a preclinical study in which rats were dosed with 2.59 mg/kg of CRLX101, and the concentrations of camptothecin, total and unconjugated, meaning after its release from CRLX101, were measured using liquid chromatography/tandem mass spectrometry. As illustrated in the graph below, plasma concentration of camptothecin in the rats following dosing of CRLX101 declined gradually and lacked a rapid distribution phase. Specifically, the half-life of total camptothecin in the rats in this study was 24 hours following a single dose of CRLX101, whereas the published half-life of camptothecin in rats is only 1.3 hours. Consistent with this prolonged half-life, the clearance of total camptothecin in the study was 1.2 milliliters per hour following a single dose of CRLX101, whereas the published clearance of camptothecin in rats is 1,534 milliliters per hour. The volume of distribution for CRLX101 in rats in the study was 37 milliliters following a single dose of CRLX101, whereas the published volume of distribution of camptothecin in rats is 1,306 milliliters, suggesting less camptothecin is distributed in tissue following a single dose of CRLX101 as compared to camptothecin. The graph below shows the plasma concentration of camptothecin in rats, total and unconjugated, over time following administration of a single dose of CRLX101.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CRLX101 Rat Pharmacokinetic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196215</wp:posOffset>
            </wp:positionV>
            <wp:extent cx="1903730" cy="135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73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results from this pharmacokinetic rat study, demonstrating long half-life, slow clearance and low volume of distribution, were consistent with the results of our Phase 1/2a clinical trial of CRLX101 in advanced multiply pre-treated solid tumor malignancies, in which human patients were dosed with 15 mg/m2 of CRLX101 which is the single agent maximum tolerated dose. In the Phase 2a trial, blood was drawn from 36 patients after their first dose of CRLX101 and analyzed for total and unconjugated camptothecin using liquid chromatography/tandem mass spectrometry. The half-life of conjugated camptothecin following the first dose of CLRX101 in human patients in the trial was 28 hours, the clearance was 91 milliliters per hour and the volume of distribution was 2418 milliliters. The graph below shows the plasma concentration of camptothecin in human patients in the trial, total and unconjugated, over time following administration of a single dose of CRLX101.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132080</wp:posOffset>
            </wp:positionV>
            <wp:extent cx="1903730" cy="1595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373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53" w:right="239" w:bottom="1440" w:gutter="0" w:footer="0" w:header="0"/>
        </w:sectPr>
      </w:pPr>
    </w:p>
    <w:bookmarkStart w:id="9" w:name="page10"/>
    <w:bookmarkEnd w:id="9"/>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have conducted preclinical testing of CRLX101 as monotherapy in over 15 xenograft tumor models, which is a model in which human tumor tissue is transplanted into animals, encompassing colorectal cancer, gastric cancer, head and neck cancer, lymphoma, ovarian cancer, pancreatic cancer, NSCLC, RCC, small cell lung cancer and triple negative breast cancer. In our xenograft tumor model studies, CRLX101 demonstrated superiority over commercial comparator drugs as measured by median survival, tumor shrinkage and tumor growth delay. In these tumor model studies, the commercial drugs were administered at their respective optimal doses and dosing schedules, as determined by the literature. In several of these tumor model studies, CRLX101 achieved complete tumor eradication, which was not achieved by the commercial drugs tested in these models.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following graphs illustrate the tumor volume results and post-treatment survival rates in a preclinical study comparing CRLX101 to Paraplatin® (carboplatin) and cisplatin, which are platinum-based chemotherapeutic agents, in an ovarian xenograft model. In this study, we treated nude mouse xenograft models in which human A2780 ovarian cancer tumor cells were implanted subcutaneously in mice and allowed to establish tumors. We administered 10 mg/kg of CRLX101, 7 mg/kg of cisplatin, 100 mg/kg of carboplatin or saline, which we also refer to as the vehicle, by intravenous infusion. Each dose group consisted of ten animals and all mice were treated weekly for three weeks. All dose levels were close to the MTD in this model. CRLX101, carboplatin and cisplatin all delayed tumor growth and improved survival rates as compared to the saline-treated mice, however, as compared to both carboplatin and cisplatin, the CRLX101-treated mice displayed much higher tumor regression, and 100% tumor-free survivors at the conclusion of the study. These results are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129540</wp:posOffset>
            </wp:positionV>
            <wp:extent cx="3430270" cy="157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027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Our preclinical testing of CRLX101 in combination therapy in multiple subcutaneous and orthotopic xenograft models, which is a model in which a tumor is grafted into the animal in its natural location, encompassing RCC, ovarian cancer, head and neck cancer, and triple negative breast cancer, demonstrated additive or synergistic effect, meaning greater than additive effect, when CRLX101 was combined with chemotherapy, platinum, VEGF inhibitors or radiotherapy.</w:t>
      </w:r>
    </w:p>
    <w:p>
      <w:pPr>
        <w:spacing w:after="0" w:line="180" w:lineRule="exact"/>
        <w:rPr>
          <w:sz w:val="20"/>
          <w:szCs w:val="20"/>
          <w:color w:val="auto"/>
        </w:rPr>
      </w:pPr>
    </w:p>
    <w:p>
      <w:pPr>
        <w:ind w:right="20" w:firstLine="560"/>
        <w:spacing w:after="0" w:line="256" w:lineRule="auto"/>
        <w:rPr>
          <w:sz w:val="20"/>
          <w:szCs w:val="20"/>
          <w:color w:val="auto"/>
        </w:rPr>
      </w:pPr>
      <w:r>
        <w:rPr>
          <w:rFonts w:ascii="Times New Roman" w:cs="Times New Roman" w:eastAsia="Times New Roman" w:hAnsi="Times New Roman"/>
          <w:sz w:val="18"/>
          <w:szCs w:val="18"/>
          <w:color w:val="auto"/>
        </w:rPr>
        <w:t>We conducted a preclinical study in which a single 6 mg dose of CRLX101 reduced available topo 1 protein for at least one week. We treated 18 nude mouse xenograft models (three per time point) in which human NCI-H1299 non-small cell lung cancer tumor cells were implanted subcutaneously in mice and allowed to establish tumors. We administered a single dose of 6 mg/kg CRLX101 or saline (vehicle) to the control group and collected tumors at various time points, including one, three, five, seven and nine days after treatment using western blot analysis. Tumors were flash-frozen and topo 1 protein levels were measured and calculated as a percentage of topo 1 protein levels in saline-treated mice. As shown in the graph below, a single 6 mg/kg dose of CRLX101 reduced available topo 1 protein, and topo 1 protein recovered to baseline levels by nine days after treatment.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Topo 1 Protein in Tumors After CRXL101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157480</wp:posOffset>
            </wp:positionV>
            <wp:extent cx="1912620" cy="1337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262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729" w:right="259" w:bottom="1440" w:gutter="0" w:footer="0" w:header="0"/>
        </w:sectPr>
      </w:pPr>
    </w:p>
    <w:bookmarkStart w:id="10" w:name="page11"/>
    <w:bookmarkEnd w:id="10"/>
    <w:p>
      <w:pPr>
        <w:ind w:right="120" w:firstLine="518"/>
        <w:spacing w:after="0" w:line="277" w:lineRule="auto"/>
        <w:rPr>
          <w:sz w:val="20"/>
          <w:szCs w:val="20"/>
          <w:color w:val="auto"/>
        </w:rPr>
      </w:pPr>
      <w:r>
        <w:rPr>
          <w:rFonts w:ascii="Times New Roman" w:cs="Times New Roman" w:eastAsia="Times New Roman" w:hAnsi="Times New Roman"/>
          <w:sz w:val="17"/>
          <w:szCs w:val="17"/>
          <w:color w:val="auto"/>
        </w:rPr>
        <w:t>In addition to inhibiting topo 1, CRLX101 is a potent, durable and combinable inhibitor of HIF-1α and HIF-2α protein expression. The compounds in the camptothecin compound family, including camptothecin and topotecan, have been described as inhibitors of HIF-1α in the past. However, the literature suggests that to achieve durable inhibition of HIF-1α, sustained concentrations of camptothecin or topotecan must be achieved within tumor cells. Due to its short half-life, low tumor targeting and high toxicities, topotecan cannot effectively achieve durable HIF-1α inhibition unless it is dosed metronomically (continuous or frequent treatment with low doses of anti-cancer drugs), which is not considered to be clinically feasible given its toxicity profile.</w:t>
      </w:r>
    </w:p>
    <w:p>
      <w:pPr>
        <w:spacing w:after="0" w:line="16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HIF-1α has recently become a target of increasing interest in cancer research. The literature on the subject has grown substantially and, as summarized in a review paper published in Nature Reviews Clinical Oncology in 2012, many believe that HIF-1α is a master regulator for several key cancer cell survival pathways. When cancer cells proliferate, they can become starved of oxygen, or hypoxic, as tumor growth outpaces the growth of new blood vessels. The lack of oxygen can be exacerbated when new blood vessel formation is inhibited by anti-angiogenesis drugs, such as Avastin, Zaltrap and Votrient, or as a consequence of radiotherapy. Under hypoxic conditions, the normal degradation of HIF-1α slows down, thus leading to a buildup of HIF-1α. According to the Nature Reviews Clinical Oncology paper, independent researchers demonstrated that the buildup of HIF-1α in turn up-regulates cancer cell survival pathways such as angiogenesis, drug resistance, radiotherapy resistance, cancer stem cell formation and metastasis. Cancer stem cells are associated with chemo and radiotherapy resistance and cancer metastasis. While anti-angiogenesis drugs can achieve impressive tumor shrinkage and PFS benefits in patients, they often fail to improve overall survival. This lack of consistent correlation of tumor response to survival following treatment with anti-angiogenesis drugs may be ascribed to hypoxia-induced up-regulation of HIF-1α and the consequent triggering of cancer cell survival pathways that permit a sub-population of cells to survive treatment and regrow the tumor in a more aggressive form.</w:t>
      </w:r>
    </w:p>
    <w:p>
      <w:pPr>
        <w:spacing w:after="0" w:line="20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schematic below illustrates the role of HIF-1a in up-regulating cancer cell survival pathways in hypoxic conditions in tumor cells, which are exacerbated by radiotherapy and angiogenesis inhibitors, such as Avastin, Zaltrap and Votrient.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114300</wp:posOffset>
            </wp:positionV>
            <wp:extent cx="3893185" cy="1457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931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518"/>
        <w:spacing w:after="0" w:line="273" w:lineRule="auto"/>
        <w:rPr>
          <w:sz w:val="20"/>
          <w:szCs w:val="20"/>
          <w:color w:val="auto"/>
        </w:rPr>
      </w:pPr>
      <w:r>
        <w:rPr>
          <w:rFonts w:ascii="Times New Roman" w:cs="Times New Roman" w:eastAsia="Times New Roman" w:hAnsi="Times New Roman"/>
          <w:sz w:val="17"/>
          <w:szCs w:val="17"/>
          <w:color w:val="auto"/>
        </w:rPr>
        <w:t>HIF-1a may be a major factor in explaining why oxygen-deprived tumors can survive and trigger the formation of heterogeneous, resistant and distant tumors. Therefore, HIF-1a has emerged as an important target for cancer research. To effectively inhibit HIF-1a, however, we believe durable target inhibition is required. Topotecan and irinotecan have been shown to inhibit HIF-1a only transiently and metronomic dosing of topotecan and irinotecan is believed to provide a more durable inhibition of HIF-1a, but these dosing regimens have not been shown to be clinically feasible due to excessive toxicity encountered at the approved doses of these drugs. To our knowledge, there is no other durable and tumor targeted inhibitor of HIF-1a currently on the market or in advanced clinical development, thus making CRLX101 unique in this respect. We hypothesize that the simultaneous inhibition of topo 1 and HIF-1a by CRLX101 will lead to significant clinical benefit, particularly if combined with anti-cancer therapies that are known to create hypoxia and up-regulate HIF-1a.</w:t>
      </w:r>
    </w:p>
    <w:p>
      <w:pPr>
        <w:spacing w:after="0" w:line="172"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addition to showing that CRLX101 inhibits HIF-1a in preclinical tumor models, we have further demonstrated that the NDC is synergistic with Avastin in an ovarian xenograft model. We believe that this synergy is at least partly caused by the ability of CRLX101 to inhibit the up-regulation of HIF-1a caused by anti-angiogenic therapy. We have further confirmed this synergy in a highly metastatic ovarian cancer orthotopic tumor model, as well as in a triple-negative breast cancer orthotopic tumor model. Finally, we have also observed the synergy of CRLX101 with other VEGF inhibitors such as Votrient and Zaltrap.</w:t>
      </w:r>
    </w:p>
    <w:p>
      <w:pPr>
        <w:spacing w:after="0" w:line="184"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We have conducted animal tumor model studies comparing CRLX101 to certain leading anti-angiogenesis drugs and the combination of CRLX101 and these anti-angiogenesis drugs. In these studies, we treated nude mouse xenograft models in which human A2780 ovarian cancer tumor cells were implanted subcutaneously in mice and allowed to establish tumors. We administered 5 mg/kg CRLX101 weekly by intravenous infusion alone or in combination with one of three different antiangiogenic drugs: Avastin, Zaltrap or Votrient. Avastin was dosed intravenously at 5 mg/kg twice per week. Zaltrap was dosed intraperitoneally at 25 mg/kg twice per week. Votrient was dosed orally at 150 mg/kg daily. Vehicle-treated mice were dosed with saline. Each dose group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53" w:right="239" w:bottom="1440" w:gutter="0" w:footer="0" w:header="0"/>
        </w:sectPr>
      </w:pPr>
    </w:p>
    <w:bookmarkStart w:id="11" w:name="page12"/>
    <w:bookmarkEnd w:id="11"/>
    <w:p>
      <w:pPr>
        <w:ind w:right="60"/>
        <w:spacing w:after="0" w:line="256" w:lineRule="auto"/>
        <w:rPr>
          <w:sz w:val="20"/>
          <w:szCs w:val="20"/>
          <w:color w:val="auto"/>
        </w:rPr>
      </w:pPr>
      <w:r>
        <w:rPr>
          <w:rFonts w:ascii="Times New Roman" w:cs="Times New Roman" w:eastAsia="Times New Roman" w:hAnsi="Times New Roman"/>
          <w:sz w:val="18"/>
          <w:szCs w:val="18"/>
          <w:color w:val="auto"/>
        </w:rPr>
        <w:t>consisted of ten animals. We administered a CRLX101 dose level that was half the maximum-tolerated dose so that we could compare the effect of the applicable CRLX101 combination to CRLX101 as monotherapy. All other dose levels were the maximum effective dose in this model, as indicated by the literature. For the analysis of HIF-1a in tumors, mice were dosed for ten days, and three days following the final dose tumors were flash-frozen and HIF-1a protein levels were measured via western blot analysis, quantified using infrared fluorescence detection, normalized to actin levels and compared to HIF-1a protein levels from saline-treated mice. For the survival analysis, mice were dosed for three weeks, tumors were measured using calipers twice per week, and each animal was euthanized at the earlier of the time when its tumor reached a volume of 2,000 cubic millimeters or the end of the study.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these animal tumor model studies:</w:t>
      </w:r>
    </w:p>
    <w:p>
      <w:pPr>
        <w:spacing w:after="0" w:line="117" w:lineRule="exact"/>
        <w:rPr>
          <w:sz w:val="20"/>
          <w:szCs w:val="20"/>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HIF-1α protein expression was significantly up-regulated in the presence of each tested anti-angiogenesis drug;</w:t>
      </w:r>
    </w:p>
    <w:p>
      <w:pPr>
        <w:spacing w:after="0" w:line="15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HIF-1α protein expression was significantly down-regulated when exposed to a low dose of CRLX101;</w:t>
      </w:r>
    </w:p>
    <w:p>
      <w:pPr>
        <w:spacing w:after="0" w:line="157" w:lineRule="exact"/>
        <w:rPr>
          <w:rFonts w:ascii="Times New Roman" w:cs="Times New Roman" w:eastAsia="Times New Roman" w:hAnsi="Times New Roman"/>
          <w:sz w:val="18"/>
          <w:szCs w:val="18"/>
          <w:color w:val="auto"/>
        </w:rPr>
      </w:pPr>
    </w:p>
    <w:p>
      <w:pPr>
        <w:jc w:val="both"/>
        <w:ind w:left="1020" w:hanging="494"/>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CRLX101 was combined with any of the tested anti-angiogenesis drugs, HIF-1α protein expression was down-regulated compared to control, thus confirming that the CRLX101 down-regulation can counteract the HIF-1α protein expression up-regulation normally produced by these anti-angiogenesis drugs alone; and</w:t>
      </w:r>
    </w:p>
    <w:p>
      <w:pPr>
        <w:spacing w:after="0" w:line="108" w:lineRule="exact"/>
        <w:rPr>
          <w:rFonts w:ascii="Times New Roman" w:cs="Times New Roman" w:eastAsia="Times New Roman" w:hAnsi="Times New Roman"/>
          <w:sz w:val="18"/>
          <w:szCs w:val="18"/>
          <w:color w:val="auto"/>
        </w:rPr>
      </w:pPr>
    </w:p>
    <w:p>
      <w:pPr>
        <w:ind w:left="1020" w:hanging="49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a low dose of CRLX101 with the anti-angiogenesis drugs was synergistic and resulted in markedly longer animal survival than either drug by itself.</w:t>
      </w:r>
    </w:p>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HIF-1a protein expression and survival rate results are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have achieved similar results in a preclinical study of the effect on cancer stem cells of exposure to CRLX101 alone and CRLX101 in combination with Avastin. In this study, we treated nude mouse xenograft models in which human SUM159 triple-negative breast cancer tumor cells were implanted orthotopically in mice and allowed to establish tumors. We administered 6 mg/kg of CRLX101 weekly by intravenous infusion alone or in combination with Avastin. Avastin was dosed intravenously at 5 mg/kg twice per week. Each dose group consisted of 20 or more mice. We administered a CRLX101 dose level that was half the maximum-tolerated dose so that we could compare the effect of the CRLX101-Avastin combination to CRLX101 as monotherapy. The Avastin dose level was close to the maximum effective dose in this model, as indicated by the literature. Vehicle-treated mice were dosed with saline. Mice in the primary tumor group were dosed for two weeks and tumor volume was measured. As can be observed in the primary tumor growth plot below, CRLX101 as monotherapy and Avastin as monotherapy each resulted in some tumor growth inhibition, and the combination of CRLX101 and Avastin resulted in increased tumor growth inhibition. At the end of these two weeks, tumors were extracted and 100 tumor cells were implanted orthotopically into new, untreated mice. This secondary group of mice was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53" w:right="259" w:bottom="144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observed for 90 days without treatment, and the percentage of these mice that grew new tumors is plotted in the graph below as the percentage of tumor formation. Tumors that are enriched for cancer stem cells in the primary tumor model are more likely to grow new tumors in the secondary tumor model, that is, tumors enriched for cancer stem cells have a greater tumor-initiating capacity, and tumors that have lower numbers of cancer stem cells in the primary tumor model will have a lower tumor-initiating capacity.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these cancer stem cell functional experiments:</w:t>
      </w:r>
    </w:p>
    <w:p>
      <w:pPr>
        <w:spacing w:after="0" w:line="117" w:lineRule="exact"/>
        <w:rPr>
          <w:sz w:val="20"/>
          <w:szCs w:val="20"/>
          <w:color w:val="auto"/>
        </w:rPr>
      </w:pPr>
    </w:p>
    <w:p>
      <w:pPr>
        <w:ind w:left="900" w:right="100" w:hanging="374"/>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pre-treatment with CRLX101 led to a reduction in tumor-initiating capacity, consistent with a reduction in the number of cancer stem cells in the primary tumors;</w:t>
      </w:r>
    </w:p>
    <w:p>
      <w:pPr>
        <w:spacing w:after="0" w:line="94" w:lineRule="exact"/>
        <w:rPr>
          <w:rFonts w:ascii="Times New Roman" w:cs="Times New Roman" w:eastAsia="Times New Roman" w:hAnsi="Times New Roman"/>
          <w:sz w:val="18"/>
          <w:szCs w:val="18"/>
          <w:color w:val="auto"/>
        </w:rPr>
      </w:pPr>
    </w:p>
    <w:p>
      <w:pPr>
        <w:ind w:left="900" w:right="100" w:hanging="374"/>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pre-treatment with Avastin led to greater tumor-initiating capacity compared to control, consistent with an increase in the number of cancer stem cells in the primary tumors; and</w:t>
      </w:r>
    </w:p>
    <w:p>
      <w:pPr>
        <w:spacing w:after="0" w:line="94" w:lineRule="exact"/>
        <w:rPr>
          <w:rFonts w:ascii="Times New Roman" w:cs="Times New Roman" w:eastAsia="Times New Roman" w:hAnsi="Times New Roman"/>
          <w:sz w:val="18"/>
          <w:szCs w:val="18"/>
          <w:color w:val="auto"/>
        </w:rPr>
      </w:pPr>
    </w:p>
    <w:p>
      <w:pPr>
        <w:ind w:left="900" w:right="380" w:hanging="374"/>
        <w:spacing w:after="0" w:line="313"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pre-treatment with a combination of CRLX101 and Avastin led to a reduction in the tumor-initiating capacity compared to Avastin treatment alone, thus demonstrating that CRLX101 may reduce the number of cancer stem cells in primary tumors induced by Avastin pre-treatment.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and secondary tumor model results from these cancer stem cell functional experiments are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154940</wp:posOffset>
            </wp:positionV>
            <wp:extent cx="4305300" cy="180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0530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to inhibiting HIF-1α CRLX101 also appears to durably inhibit HIF-2α. In a preclinical study, we treated nude mouse xenograft models in which human HCT-116 colorectal cancer tumor cells were implanted subcutaneously in mice and allowed to establish tumors. We administered a single dose of 6 mg/kg CRLX101 or saline (vehicle) to the control group and collected tumors at four different time points: one, three, five and seven days after treatment using western blot analysis. Tumors were flash-frozen and HIF-1α and HIF-2α protein levels were measured via western blot analysis, quantified using infrared fluorescence detection, normalized to actin levels and calculated as a percentage of HIF protein levels in saline-treated mice. As shown in the graph below, in each case, a single 6 mg/kg dose of CRLX101 reduced HIF-1α by over 90%, and reduced HIF-2α by approximately 80% in tumor tissue, in each case compared to control beginning three days after treatment and continuing for as long as one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132080</wp:posOffset>
            </wp:positionV>
            <wp:extent cx="3893185" cy="1149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9318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Radiotherapy is frequently used for the treatment of solid tumor malignancies that have not extensively metastasized and are accessible, and thus a radiation beam can be deployed with the goal of destroying the tumor. For example, rectal cancer and head and neck cancers are often treated with radiotherapy. Radiotherapy causes single strand DNA breaks in the irradiated tumor cells and, if not repaired, these DNA single strand breaks lead to the death of the irradiated tumor cells. It is well documented that topo 1 inhibitors can enhance the effects of radiotherapy, i.e. act as a radiosensitizer. However, the combined toxicities of radiotherapy and either irinotecan or topotecan, the two approved topo 1 inhibitors, are often too severe for this therapy to be clinically useful.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53" w:right="259" w:bottom="1440" w:gutter="0" w:footer="0" w:header="0"/>
        </w:sectPr>
      </w:pPr>
    </w:p>
    <w:bookmarkStart w:id="13" w:name="page14"/>
    <w:bookmarkEnd w:id="13"/>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Radiotherapy also causes extensive cell damage, which leads to hypoxic regions in the irradiated tumors. This hypoxia results in the up-regulation of HIF-1a, which in turn has been shown to up-regulate cancer cell survival pathways and thereby reduce the effectiveness of radiotherapy. Thus, a beneficial chemotherapeutic agent to combine with radiotherapy would be (1) a topo 1 inhibitor to enhance the effects of radiation, (2) a HIF-1a inhibitor to prevent the radiotherapy-induced up-regulation of HIF-1a and its associated induced resistance to radiotherapy, (3) a tumor targeted agent that focuses the radiosensitization in the tumors, (4) an agent with a favorable safety profile to allow the combination with radiotherapy and (5) an agent with durable topo 1 and HIF-1a inhibition since radiotherapy is frequently administered daily and thus requires durable counteracting of DNA repair and HIF-1a up-regulation. We believe that CRLX101 may be a beneficial agent for combination with radiotherapy since it satisfies all of the above criteria. This is evidenced by animal tumor models of head and neck cancer and colorectal cancer in which CRLX101 was shown to be a potent radiosensitizer, thus suggesting that CRLX101 may have clinical utility in combination with radiotherapy in certain cancer types.</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believe there are other possible combinations for CRLX101, including with Poly ADP ribose polymerase inhibitors, or PARP inhibitors. PARP inhibitors hinder a cell’s ability to repair single-strand DNA breaks. Topo 1 inhibitors, such as camptothecin and its analogs, create persistent single-strand DNA breaks, and preclinical experiments have shown that PARP inhibition potentiates the DNA damage resulting from topo 1 inhibition. Results from preclinical studies have established the combined activity of topo 1 inhibition and PARP inhibition, however, clinical trials of this combination approach, including clinical trials of veliparib plus topotecan and Lynparza® (olaparib) plus topotecan in solid tumors, resulted in significant toxicities that necessitated dose reductions, which in turn resulted in sub-therapeutic dose levels for both drugs and limited clinical development progress. CRLX101 has been shown to be generally well-tolerated as monotherapy and appears to be a combinable topo-1 inhibitor at its MTD. The observed safety profile of CLRX101, along with clinical experience combining CRLX101 (at its MTD) with other agents, supports our hypothesis that CRLX101 may facilitate PARP inhibitor and topo 1 inhibitor combinations that are not possible with the currently approved topo 1 inhibitors.</w:t>
      </w:r>
    </w:p>
    <w:p>
      <w:pPr>
        <w:spacing w:after="0" w:line="189" w:lineRule="exact"/>
        <w:rPr>
          <w:sz w:val="20"/>
          <w:szCs w:val="20"/>
          <w:color w:val="auto"/>
        </w:rPr>
      </w:pPr>
    </w:p>
    <w:p>
      <w:pPr>
        <w:ind w:firstLine="518"/>
        <w:spacing w:after="0" w:line="218" w:lineRule="exact"/>
        <w:rPr>
          <w:sz w:val="20"/>
          <w:szCs w:val="20"/>
          <w:color w:val="auto"/>
        </w:rPr>
      </w:pPr>
      <w:r>
        <w:rPr>
          <w:rFonts w:ascii="Times New Roman" w:cs="Times New Roman" w:eastAsia="Times New Roman" w:hAnsi="Times New Roman"/>
          <w:sz w:val="18"/>
          <w:szCs w:val="18"/>
          <w:color w:val="auto"/>
        </w:rPr>
        <w:t>The graphs below show data from mouse experiments we conducted in which CRLX101 was combined with each of two different PARP inhibitors. In the study with the first PARP inhibitor, nude mouse xenograft models were implanted subcutaneously with human NCI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H1048 small cell lung cancer tumor cells and allowed to establish tumors. The mice were divided into three dose groups, with each dose group consisting of three animals. We administered one intravenous dose of 5 mg/kg of CRLX101 to the first dose group, ten daily oral doses of the PARP inhibitor at its MTD to the second dose group, and one dose of 5 mg/kg of CRLX101 in combination with 10 daily doses of the PARP inhibitor 1 at 75% of its MTD to the third dose group. The graphs in the top row reflect the results of the combination of CRLX101 and the first PARP inhibitor in the mice. As illustrated in these graphs, treatment with CLRX101 and the PARP inhibitor resulted in a mean bodyweight loss in the mice of approximately 10% that was recoverable. In addition, the mice in this experiment experienced tumor growth delay and survival rates that were superior to the tumor growth delay and survival rates experienced by the mice that received placebo, CRLX101 or the PARP inhibitor alone.</w:t>
      </w:r>
    </w:p>
    <w:p>
      <w:pPr>
        <w:spacing w:after="0" w:line="205" w:lineRule="exact"/>
        <w:rPr>
          <w:sz w:val="20"/>
          <w:szCs w:val="20"/>
          <w:color w:val="auto"/>
        </w:rPr>
      </w:pPr>
    </w:p>
    <w:p>
      <w:pPr>
        <w:ind w:firstLine="518"/>
        <w:spacing w:after="0" w:line="218" w:lineRule="exact"/>
        <w:rPr>
          <w:sz w:val="20"/>
          <w:szCs w:val="20"/>
          <w:color w:val="auto"/>
        </w:rPr>
      </w:pPr>
      <w:r>
        <w:rPr>
          <w:rFonts w:ascii="Times New Roman" w:cs="Times New Roman" w:eastAsia="Times New Roman" w:hAnsi="Times New Roman"/>
          <w:sz w:val="18"/>
          <w:szCs w:val="18"/>
          <w:color w:val="auto"/>
        </w:rPr>
        <w:t>In the study with the second PARP inhibitor, nude mouse xenograft models in two separate experiments were implanted subcutaneously with human NCI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H1048 small cell lung cancer tumor cells and allowed to establish tumors. In one experiment, the mice were divided into three dose groups, with each dose group consisting of six animals. Mice in the first dose group were administered one intravenous dose of 5 mg/kg CRLX101, mice in the second dose group were administered ten daily oral doses of the second PARP inhibitor at 66% of the MTD and mice in the third dose group were administered one dose of 5 mg/kg CRLX101 in combination with ten daily doses of the PARP inhibitor 2 at 33% of its MTD. In the second experiment, the mice were divided into three dose groups, with each dose group consisting of six animals. Mice in the first dose group were administered one intravenous dose of 50 mg/kg irinotecan, mice in the second dose group were administered ten daily oral doses of the second PARP inhibitor at 66% of its MTD, and mice in the third dose group were administered one dose of 50 mg/kg irinotecan in combination with ten daily doses of the PARP inhibitor at 66% of its MTD. The three graphs in the bottom row reflect the results of CRLX101 and the second PARP inhibitor in the mice and also show the results of the same PARP inhibitor and irinotecan in a separate experiment. As illustrated in these graphs, the mice dosed with the MTD of CRLX101 and 33% of the MTD of the second PARP inhibitor experienced tumor regression after a single dose, and the mean tumor volume did not return to its size at the onset of dosing until day 33 of the study. In contrast, mice dosed with 66% of the MTD of this second PARP inhibitor together with a sub-MTD dose of irinotecan did not achieve the same extent of tumor growth inhibition, and two of the six mice died during treatment.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53"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526415</wp:posOffset>
            </wp:positionH>
            <wp:positionV relativeFrom="page">
              <wp:posOffset>226060</wp:posOffset>
            </wp:positionV>
            <wp:extent cx="5462905" cy="362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6290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Irinotecan and PARP Inhibitor 2 experiments were not performed at the same time as CRLX101 and PARP Inhibitor 2 experiments.</w:t>
      </w: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CRLX101 Clinical Development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the properties of CRLX101, we have prioritized its clinical development in accordance with the following criteria:</w:t>
      </w:r>
    </w:p>
    <w:p>
      <w:pPr>
        <w:spacing w:after="0" w:line="27" w:lineRule="exact"/>
        <w:rPr>
          <w:sz w:val="20"/>
          <w:szCs w:val="20"/>
          <w:color w:val="auto"/>
        </w:rPr>
      </w:pPr>
    </w:p>
    <w:p>
      <w:pPr>
        <w:ind w:left="900" w:hanging="37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Topo 1-sensitive tumor types;</w:t>
      </w:r>
    </w:p>
    <w:p>
      <w:pPr>
        <w:spacing w:after="0" w:line="139"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HIF-driven tumor types;</w:t>
      </w:r>
    </w:p>
    <w:p>
      <w:pPr>
        <w:spacing w:after="0" w:line="15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tumors with increased hypoxia as a result of radiotherapy or anti-angiogenic drugs;</w:t>
      </w:r>
    </w:p>
    <w:p>
      <w:pPr>
        <w:spacing w:after="0" w:line="15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synergy in combination with chemoradiotherapy or VEGF inhibitors that increase levels of HIF; and</w:t>
      </w:r>
    </w:p>
    <w:p>
      <w:pPr>
        <w:spacing w:after="0" w:line="157" w:lineRule="exact"/>
        <w:rPr>
          <w:rFonts w:ascii="Times New Roman" w:cs="Times New Roman" w:eastAsia="Times New Roman" w:hAnsi="Times New Roman"/>
          <w:sz w:val="18"/>
          <w:szCs w:val="18"/>
          <w:color w:val="auto"/>
        </w:rPr>
      </w:pPr>
    </w:p>
    <w:p>
      <w:pPr>
        <w:ind w:left="900" w:hanging="374"/>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lines of therapy with less advanced tumors in which the durable inhibition of HIF may confer greater benefit in preventing therapy resistance and metastases.</w:t>
      </w:r>
    </w:p>
    <w:p>
      <w:pPr>
        <w:spacing w:after="0" w:line="31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Accordingly, we currently are focusing on combinations with other cancer therapies in three indications: relapsed RCC in combination with Avastin, relapsed ovarian cancer in combination with Avastin and neoadjuvant rectal cancer in combination with CRT.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CRLX101 Phase 1/2a Clinical Trial</w:t>
      </w:r>
    </w:p>
    <w:p>
      <w:pPr>
        <w:spacing w:after="0" w:line="22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2011, we completed a Phase 1/2a clinical trial of CRLX101 in 62 patients with advanced multiply pre-treated solid tumor malignancies. This clinical trial began in June 2006. From June 2006 to June 2009, Calando Pharmaceuticals, Inc., or Calando, conducted a Phase 1 trial of CRLX101, in which it dosed 18 patients. We continued the Phase 1 trial from June 2009 to April 2010 and then began the Phase 2a portion of the trial. Ultimately, the Phase 1 portion of the trial enrolled a total of 24 patients, and from April 2010 to January 2011, we enrolled 38 patients in the Phase 2a portion.</w:t>
      </w:r>
    </w:p>
    <w:p>
      <w:pPr>
        <w:spacing w:after="0" w:line="180"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Results from the Phase 1 portion of the clinical trial showed that patients were able to tolerate CRLX101 administered intravenously at an MTD of 15mg/m2 camptothecin equivalent every two weeks and that toxicities at this dose were generally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440" w:right="259" w:bottom="1440" w:gutter="0" w:footer="0" w:header="0"/>
        </w:sectPr>
      </w:pPr>
    </w:p>
    <w:bookmarkStart w:id="15" w:name="page16"/>
    <w:bookmarkEnd w:id="15"/>
    <w:p>
      <w:pPr>
        <w:ind w:right="160"/>
        <w:spacing w:after="0" w:line="266" w:lineRule="auto"/>
        <w:rPr>
          <w:sz w:val="20"/>
          <w:szCs w:val="20"/>
          <w:color w:val="auto"/>
        </w:rPr>
      </w:pPr>
      <w:r>
        <w:rPr>
          <w:rFonts w:ascii="Times New Roman" w:cs="Times New Roman" w:eastAsia="Times New Roman" w:hAnsi="Times New Roman"/>
          <w:sz w:val="18"/>
          <w:szCs w:val="18"/>
          <w:color w:val="auto"/>
        </w:rPr>
        <w:t>grade and reversible upon termination of treatment. The primary dose limiting toxicity identified in the Phase 1 portion of the clinical trial was myelosuppression, which is a well-documented side effect of many chemotherapeutic agents and is considered an on-target effect resulting from the activity of topo 1 inhibitors, such as camptothecin, in the bone marrow.</w:t>
      </w:r>
    </w:p>
    <w:p>
      <w:pPr>
        <w:spacing w:after="0" w:line="176"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After determination of the MTD in the Phase 1 portion of the clinical trial, an additional 38 patients were enrolled in a Phase 2a MTD expansion cohort, with a focused selection of patients with cancer types that historically have demonstrated sensitivity to topo 1 inhibitors, including 21 NSCLC patients. Pursuant to the design of the trial, CRLX101 treatment continued until disease progression, which was determined based on RECIST criteria, (as described below) patient withdrawal, excessive toxicity or adverse events delaying treatment for 28 days or resulting in death. Patients continuing CRLX101 treatment also received additional supportive care. A total of 44 patients, six of whom were in the Phase 1 portion and 38 of whom were in the Phase 2a portion of the trial, with an average of 3.5 prior regimens of therapy, received CRLX101 at the MTD of 15mg/m2. Mean elimination unconjugated Tmax values, which is the time after administration of a drug when the maximum plasma concentration is reached, generally ranged from 17.7 to 24.5 hours, confirming the sustained release of camptothecin. Maximum plasma concentrations and areas under the curve were generally proportional to dose for both conjugated and unconjugated camptothecin confirming consistent camptothecin release at different dose levels. The primary objectives of the Phase 1/2a clinical trial were to determine the safety, toxicity, MTD and plasma PK of CRLX101 when administered intravenously to patients with advanced solid tumor malignancies. All of the objectives of the Phase 1/2a trial were met.</w:t>
      </w:r>
    </w:p>
    <w:p>
      <w:pPr>
        <w:spacing w:after="0" w:line="193" w:lineRule="exact"/>
        <w:rPr>
          <w:sz w:val="20"/>
          <w:szCs w:val="20"/>
          <w:color w:val="auto"/>
        </w:rPr>
      </w:pPr>
    </w:p>
    <w:p>
      <w:pPr>
        <w:ind w:right="20" w:firstLine="563"/>
        <w:spacing w:after="0" w:line="255" w:lineRule="auto"/>
        <w:rPr>
          <w:sz w:val="20"/>
          <w:szCs w:val="20"/>
          <w:color w:val="auto"/>
        </w:rPr>
      </w:pPr>
      <w:r>
        <w:rPr>
          <w:rFonts w:ascii="Times New Roman" w:cs="Times New Roman" w:eastAsia="Times New Roman" w:hAnsi="Times New Roman"/>
          <w:sz w:val="18"/>
          <w:szCs w:val="18"/>
          <w:color w:val="auto"/>
        </w:rPr>
        <w:t>RECIST defines disease progression and tumor response based on the sum of the longest diameters of a set of target tumor lesions identified when the patient enters the trial, which we refer to as baseline. A 20% or greater increase in the sum of diameters in target lesions as compared to baseline, or unequivocal progression in non-target lesions, or the appearance of a new lesion, is defined as progressive disease. A reduction in the sum of the diameters of at least 30% as compared to baseline and no new lesions is defined as a partial response. A complete disappearance of target and non-target lesions, and the normalization of any tumor markers, constitutes a complete response. Both partial and complete responses must be confirmed by repeat assessments at least four weeks after the partial or complete response is first documented. Stable disease refers to patients who exhibit neither response nor disease progression. Objective response rate is typically defined as the sum of the patients with partial and complete response divided by the number of patients.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Median progression free survival, or mPFS, for patients treated in the Phase 1/2a trial at the MTD was 3.7 months. The best response per RECIST criteria was stable disease in 28 patients, or 64%, treated at the MTD, of which 15 patients, or 34%, had confirmed stable disease at subsequent evaluations. Six patients went on to receive treatment with CRLX101 for longer than six months, and one such patient with pancreatic cancer with liver and lung metastases experienced stable disease and received a total of 24 cycles of CRLX101 at 6 mg/m2 weekly dosing prior to discontinuing for progressive disease, or PD. In a subset of 22 patients with NSCLC, mPFS was 4.4 months for all patients and 4.8 months for patients with non-squamous histology, and stable disease was reported in 16 patients, or 73%, eight of whom had confirmed stable disease at subsequent evaluations. None of the patients treated in the Phase 1/2a trial reported excessive treatment-related toxicities or treatment-related adverse events resulting in death.</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CRLX101 Phase 2 Clinical Trial in NSCLC</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2011, we began an open-label, randomized Phase 2 clinical trial of CRLX101 as monotherapy in patients with advanced NSCLC who had progressed through one or two prior regimens, which we also refer to as second and third line therapy, respectively, of chemotherapy. This clinical trial was conducted under an investigational new drug application, or IND, and we enrolled 157 patients between July 2011 and April 2012 at sites in Russia and the Ukraine. The trial had a treatment arm, which consisted of patients treated with CRLX101 and best supportive care, and a comparator arm, which consisted of patients receiving best supportive care. For every two patients enrolled in the CRLX101 treatment arm, one patient was enrolled in the best supportive care comparator arm.</w:t>
      </w:r>
    </w:p>
    <w:p>
      <w:pPr>
        <w:spacing w:after="0" w:line="188"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This Phase 2 clinical trial failed to meet its primary endpoint, which was improvement in overall survival of the CRLX101 intention to treat group as compared to the best supportive care arm of the trial. The difference in the overall survival of the CRLX101 intention to treat group as compared to the best supportive care arm of the trial was analyzed with a log rank test in a Kaplan-Meier survival model. The p-value associated with this test was not statistically significant (p=0.14). In clinical trials comparing CRLX101 to a control using a specified endpoint, the p-value is a measure of compatibility between the observed outcomes and the hypothesis that there is no treatment effect attributable to CRLX101; the p-value represents the likelihood that the observed outcome occurred by chance alone. Adverse events experienced in the CRLX101 arm of the trial were generally low grade and manageable and were similar to the adverse events experienced on the best supportive care arm of the trial. This adverse event profile was consistent with the adverse events seen in other clinical trials of CRLX101. Secondary endpoints of the trial included safety, tolerability, mPFS, objective response rate and overall survival in particular patient subgroups. Although the trial failed to meet its primary endpoint, we observed evidence of activity for CRLX101 as measured by RECIST responses and observed PFS and overall survival comparable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53" w:right="259" w:bottom="1440" w:gutter="0" w:footer="0" w:header="0"/>
        </w:sectPr>
      </w:pPr>
    </w:p>
    <w:bookmarkStart w:id="16" w:name="page17"/>
    <w:bookmarkEnd w:id="16"/>
    <w:p>
      <w:pPr>
        <w:ind w:right="720"/>
        <w:spacing w:after="0" w:line="282" w:lineRule="auto"/>
        <w:rPr>
          <w:sz w:val="20"/>
          <w:szCs w:val="20"/>
          <w:color w:val="auto"/>
        </w:rPr>
      </w:pPr>
      <w:r>
        <w:rPr>
          <w:rFonts w:ascii="Times New Roman" w:cs="Times New Roman" w:eastAsia="Times New Roman" w:hAnsi="Times New Roman"/>
          <w:sz w:val="18"/>
          <w:szCs w:val="18"/>
          <w:color w:val="auto"/>
        </w:rPr>
        <w:t>the PFS and overall survival observed in approved cancer therapies in this setting. Disease progression and tumor response rates were determined in accordance with RECIST criteria.</w:t>
      </w:r>
    </w:p>
    <w:p>
      <w:pPr>
        <w:spacing w:after="0" w:line="162"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Median overall survival for patients administered CRLX101 was 6.3 months compared to 11.9 months for patients administered best supportive care. However, the best supportive care population was significantly enriched for more slowly progressing patients primarily because of (1) selective patient withdrawal, which was possible due to the open-label protocol of the trial, and (2) access to post-treatment therapy; we did not anticipate either of these factors when the trial protocol was developed. An analysis of the patient populations indicated that 16% of the best supportive care patients, versus 5% of the CRLX101 treated patients, withdrew from the trial before or during the first treatment cycle, which was four weeks in duration. The patients who withdrew from the best supportive care arm were more rapidly progressing than the remaining patients in the best supportive care arm, as measured by prognostic factors including a high percentage of males, a shorter time since initial diagnosis and a shorter time since relapse. The result was that rapid progressors tended to withdraw from the best supportive care arm while slower progressors tended to remain in the best supportive care arm. A time to treatment failure analysis confirmed the impact of the selective withdrawal of the best supportive care patients since the median time to treatment failure for best supportive care patients was 1.7 months, compared to 2.1 months for the CRLX101 patients. In addition, 40% of the best supportive care patients received post-trial cancer therapy, versus 28% of the CRLX101 treated patients.</w:t>
      </w:r>
    </w:p>
    <w:p>
      <w:pPr>
        <w:spacing w:after="0" w:line="193"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believe these imbalances in withdrawal rates and post-trial cancer treatment between the CRLX101 and best supportive care arms caused an upward skewing of the median overall survival of the best supportive care population. This belief is supported by benchmark data on median overall survival in previous second and third line registration trials of Iressa® (gefitinib), Tarceva® (erlotinib) and docetaxel in NSCLC. For example, the 11.9 month median overall survival of the best supportive care population observed in our trial (1) is more than double the median overall survival for the relevant second and third line best supportive care benchmarks in NSCLC, which range from 4.6 to 5.1 months; and (2) greatly exceeds the median overall survival for second and third line approved treatments for NSCLC, which range from 5.6 to 7.5 months.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Even if the best supportive care arm of the trial had performed in line with Phase 3 benchmarks, we believe the NSCLC trial would have failed to meet its endpoint because the results of the CRLX101 treatment arm did not meet our expectations. As a result, we are not planning further clinical development in this indication, however, based on several analyses, we believe that this trial of CRLX101 as monotherapy provides important information for the CRLX101 development program (1) suggesting CRLX101 is active in a refractory solid tumor patient population and (2) reinforcing CRX101’s apparently favorable safety profile.</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following graph shows the change in tumor size for the 81 NSCLC patients who received computed tomography, or CT, scans on the CRLX101 arm of the NSCLC trial. Each vertical bar in the graph represents the percentage change in tumor size from the time when the patient entered the clinical trial until the largest tumor size reduction or smallest tumor size growth, as applicable, was measured for that patient in accordance with RECIST. These results reflect that the majority of patients treated with CRLX101 in the trial achieved disease control, which includes stable disease, partial responses and complete responses. Six of the eight RECIST responses were confirmed by a subsequent CT scan, one of which was a complete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42545</wp:posOffset>
            </wp:positionV>
            <wp:extent cx="4116705" cy="1363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670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adverse events experienced in the CRLX101 arm of the clinical trial were generally low grade and manageable. They were similar to the adverse events experienced on the best supportive care arm of the trial, and they were relatively less severe than the adverse events experienced in clinical trials of docexatel, Tarceva and Iressa, as illustrated by the graphs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53"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1864360</wp:posOffset>
            </wp:positionH>
            <wp:positionV relativeFrom="page">
              <wp:posOffset>277495</wp:posOffset>
            </wp:positionV>
            <wp:extent cx="3841750" cy="1680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84175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for Combinability</w:t>
      </w:r>
    </w:p>
    <w:p>
      <w:pPr>
        <w:spacing w:after="0" w:line="22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A drug eligible for combination therapy should demonstrate a safety profile that does not overlap with or exacerbate the safety profile of the combination agent. The visual depiction below represents the adverse events experienced by patients in the CRLX101 arm of the NSCLC trial and the adverse events experienced by patients in clinical trials of approved camptothecin-class therapeutics, irinotecan and topotecan. As CRLX101 was generally well tolerated in the NSCLC trial, we believe this early safety profile supports our view that CRLX101 may be combinable with anti-cancer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125730</wp:posOffset>
            </wp:positionV>
            <wp:extent cx="3053080" cy="1938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308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CRLX101 Clinical Trials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Relapsed Renal Cell Carcinoma</w:t>
      </w:r>
    </w:p>
    <w:p>
      <w:pPr>
        <w:spacing w:after="0" w:line="22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Current Treatments for Renal Cell Carcinoma: </w:t>
      </w:r>
      <w:r>
        <w:rPr>
          <w:rFonts w:ascii="Times New Roman" w:cs="Times New Roman" w:eastAsia="Times New Roman" w:hAnsi="Times New Roman"/>
          <w:sz w:val="18"/>
          <w:szCs w:val="18"/>
          <w:color w:val="auto"/>
        </w:rPr>
        <w:t>The American Cancer Society estimates that 62,000 new cases of kidney cancer will occur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in 2015 and that approximately 14,000 people will die from kidney cancer in 2015. According to the most recently available data from Surveillance, Epidemiology, and End Results Program of the United States National Cancer Institute, the incidence of kidney cancer has been generally rising each year. RCC is by far the most common type of kidney cancer, accounting for nine out of every ten kidney cases. Up to 30% of patients with RCC present with metastatic disease and five-year survival among these patients is less than 10%. There is currently no cure for RCC that has metastasized beyond the lymph nodes to one or more distant organs, which we refer to as metastatic RCC. There is currently no treatment specifically approved for the treatment of RCC in patients who have progressed on two or more prior lines of therapy. This unmet need creates an opportunity for a new class of therapies in this indication.</w:t>
      </w:r>
    </w:p>
    <w:p>
      <w:pPr>
        <w:spacing w:after="0" w:line="189"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Systemic therapeutic options for advanced stage RCC include molecularly targeted therapies and, less often, chemotherapy and immunomodulatory therapies such as interferon alpha and interleukin-2. Molecularly targeted therapies used for the treatment of RCC have only modestly extended the median overall survival of patients.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440" w:right="279" w:bottom="1440" w:gutter="0" w:footer="0" w:header="0"/>
        </w:sectPr>
      </w:pPr>
    </w:p>
    <w:bookmarkStart w:id="18" w:name="page19"/>
    <w:bookmarkEnd w:id="18"/>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While there are currently six FDA-approved therapies commonly used for the treatment of RCC, they represent only two mechanistic classes – those that target VEGF signaling, including tyrosine kinase inhibitors, or TKIs, and those that inhibit the mammalian target of rapamycin, or mTORIs. Recent drug development has focused on improvements within these classes but has produced only incremental gains such as the two-month PFS advantage of Inlyta® (axitinib) over Nexavar® (sorafenib) in the second-line treatment of advanced RCC. No new class of targeted therapy has been introduced in the field since the mTORI, Torisel® (temsirolimus), in 2007. A second mTORI, Afinitor® (everolimus), was shown to extend PFS only modestly over placebo in the second-line setting, from 1.9 months to 4.9 months. We believe that there is a significant need for therapeutics with novel properties, such as CRLX101, to treat relapsed RCC.</w:t>
      </w:r>
    </w:p>
    <w:p>
      <w:pPr>
        <w:spacing w:after="0" w:line="18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Rationale for Use of CRLX101 for Relapsed RCC: </w:t>
      </w:r>
      <w:r>
        <w:rPr>
          <w:rFonts w:ascii="Times New Roman" w:cs="Times New Roman" w:eastAsia="Times New Roman" w:hAnsi="Times New Roman"/>
          <w:sz w:val="18"/>
          <w:szCs w:val="18"/>
          <w:color w:val="auto"/>
        </w:rPr>
        <w:t>A variety of renal epithelial cell types can transform into RCC. Clear cell RCC comprises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85% of renal cell carcinomas. The most commonly identified genetic aberrations in clear cell tumors are those resulting in loss of the von Hippel Lindau tumor suppressor gene. This loss in turn leads to higher intracellular levels of HIF-1α and HIF-2α, resulting in paracrine signaling, which is a form of cell-to-cell communication in which a cell produces a signal that alters the behavior or differentiation of nearby cells, by tissue growth factors such as VEGF, a key mediator of angiogenesis. Therefore, angiogenesis is an early pathophysiologic step in the tumorigenesis and disease progression in many renal cell carcinomas.</w:t>
      </w:r>
    </w:p>
    <w:p>
      <w:pPr>
        <w:spacing w:after="0" w:line="18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As highlighted above, CRLX101 appears to durably suppress HIF-1α and HIF-2α in preclinical animal studies and has demonstrated notable synergy in combination with VEGF inhibitors including Avastin. We hypothesize that a CRLX101-mediated override of acquired resistance to Avastin, achieved through the inhibition of HIF, could facilitate the translation of PFS and response rate benefits achieved with Avastin in this setting into meaningful overall survival benefits for RCC patients.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preclinical data suggest that CRLX101 is an inhibitor of both HIF-1α and HIF-2α protein expression. While the role of HIF-1α as a master regulator of cancer cell survival pathways is well documented, the exact role of HIF-2α is generally less well described. Both HIF-1α and HIF-2α expression have been shown to correlate with poor prognosis in multiple tumor types. But in the case of RCC, the specific roles of HIF-1α and HIF-2α are not yet well understood. Some leading oncologists and researchers have suggested that inhibiting HIF-1α and HIF-2α simultaneously may be better than inhibiting HIF-1α or HIF-2α individually.</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have chosen Avastin as a CRLX101 combination therapeutic for several reasons. Avastin is a monoclonal antibody with affinity for VEGF that demonstrates clinically worthwhile activity in the treatment of advanced RCC and is approved by the FDA for use in the treatment of patients with metastatic RCC. Additionally, Avastin is generally well tolerated and its adverse event profile does not appear to overlap to a large extent with the adverse event profile of CRLX101. Avastin has a track record of success in enhancing the activity of chemotherapy in the treatment of solid tumors, and it is an active compound. By contrast, the less selective orally available small molecule inhibitors have been difficult to combine with chemotherapy and have shown mixed clinical activity usually accompanied by enhanced toxicity. In addition, Avastin has been successfully combined with multiple chemotherapeutic agents, including the topo 1 inhibitor irinotecan. Finally, Avastin is administered by intravenous infusion once every two weeks, as is CRLX101, facilitating the administration of CRLX101 and Avastin as combination therapy.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Development of CRLX101 in Relapsed Renal Cell Carcinoma:</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currently enrolling a Phase 2 randomized company-sponsored trial of CRLX101 in combination with Avastin in relapsed RCC. This trial is currently being conducted in approximately 30 cancer centers in the United States, with eight additional sites planned in the United States and five additional sites planned in South Korea, and is designed to enroll 110 patients with unresectable metastatic RCC who have completed 2 or 3 prior regimens of therapy. The primary endpoint of this trial will compare PFS among 90 clear cell RCC patients treated with concurrently administered CRLX101 and Avastin versus an investigator’s choice of standard of care agent not previously used in the same patient. Statistical power is set at 80% to detect a 2.3 month improvement in mPFS over an expected 3.5 months in the comparator arm. Secondary and exploratory endpoints include overall survival, response rate, safety, pharmacokinetics, and plasma biomarkers of efficacy. Additionally, 20 patients with non-clear cell RCC histologies will be evaluated independently.</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Laying the foundation for this randomized trial, a single arm Phase 1b/2 IST of CRLX101 in combination with Avastin was conducted and has now completed enrollment at the University of Pennsylvania and Thomas Jefferson University Hospital. Relapsed RCC patients with metastatic or locally advanced disease who were previously treated with at least one prior molecularly targeted therapy, such as a TKI or mTORI, were eligible to participate. Two dose-levels of CRLX101, 12 mg/m2 and 15 mg/m2, delivered intravenously once every two weeks, were evaluated in combination with standard Avastin dosing of 10 mg/kg delivered intravenously once every two weeks. This clinical trial employed a two-stage design, with 12 patients to be treated in an initial dose-finding stage and an additional ten patients to be treated at the MTD of CRLX101 administered in combination with Avastin. CT-based tumor evaluations occurred every two cycles. The primary endpoint of the Phase 1b stage was to identify the MTD of CRLX101 in combination with Avastin in this indication, and the primary endpoint of the Phase 2 stage was PFS at four months. Secondary objectives include objective response rate and assessment of toxicity.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53" w:right="259" w:bottom="1440" w:gutter="0" w:footer="0" w:header="0"/>
        </w:sectPr>
      </w:pPr>
    </w:p>
    <w:bookmarkStart w:id="19" w:name="page20"/>
    <w:bookmarkEnd w:id="19"/>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last patient was enrolled in this Phase 1b/2 IST in December 2014, and the trial has met its primary endpoint of at least 50% of patients achieving four months PFS. Preliminary data from this clinical trial has been submitted for presentation at the 2015 annual meeting of the American Society of Clinical Oncology, or ASCO. As of February 3, 2015, the date of the abstract submission to ASCO, the mPFS of patients on the trial was 9.9 months, with seven of the 22 patients still receiving treatment. Based on third-party published data, the mPFS of the standard of care in this setting is approximately 3.5 months. In addition, the RECIST partial response rate of patients on the trial as of February 3, 2015 was 23%. Several recent studies in advanced RCC suggest that after treatment with a TKI, subsequent therapies, including Avastin alone, achieve RECIST partial response rates of between 2% and 4%. CRLX101 in combination with Avastin was generally well tolerated in this trial. Full data for all 22 patients has been submitted for presentation at the 2015 annual meeting of ASCO.</w:t>
      </w:r>
    </w:p>
    <w:p>
      <w:pPr>
        <w:spacing w:after="0" w:line="185"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Our planned initial indication for CRLX101 in the treatment of RCC is in combination with Avastin in patients who have progressed to a third or fourth line treatment regimen.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Relapsed Ovarian Cancer</w:t>
      </w:r>
    </w:p>
    <w:p>
      <w:pPr>
        <w:spacing w:after="0" w:line="223" w:lineRule="exact"/>
        <w:rPr>
          <w:sz w:val="20"/>
          <w:szCs w:val="20"/>
          <w:color w:val="auto"/>
        </w:rPr>
      </w:pPr>
    </w:p>
    <w:p>
      <w:pPr>
        <w:ind w:right="32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Current Treatments for Ovarian Cancer: </w:t>
      </w:r>
      <w:r>
        <w:rPr>
          <w:rFonts w:ascii="Times New Roman" w:cs="Times New Roman" w:eastAsia="Times New Roman" w:hAnsi="Times New Roman"/>
          <w:sz w:val="18"/>
          <w:szCs w:val="18"/>
          <w:color w:val="auto"/>
        </w:rPr>
        <w:t>The American Cancer Society estimates that approximately 21,000 women in the United States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new diagnosis of ovarian cancer in 2015 and that approximately 14,000 women in the United States will die from ovarian cancer in 2015, which would make ovarian cancer the leading cause of death among gynecologic malignancies in the United States.</w:t>
      </w:r>
    </w:p>
    <w:p>
      <w:pPr>
        <w:spacing w:after="0" w:line="17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First-line therapy for ovarian cancer, including epithelial, tubal and peritoneal cancers, is typically inclusive of a platinum and taxane containing therapy with or without Avastin; however, Avastin was not approved for use in ovarian cancer until November 2014. Some patients will be primary refractory, meaning they will never achieve a RECIST-based response to initial therapy; the prognosis for these patients is extremely poor.</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majority of patients with advanced ovarian cancer who achieve a RECIST-based response will eventually experience cancer recurrence. Therapy selected for later-line treatment of patients who achieve a RECIST-based response to frontline therapy depends on whether the patient is defined as platinum sensitive or platinum resistant. Platinum sensitive includes those patients who achieved initial response and whose cancer does not recur for six months or longer after completing platinum-based therapy. Resistant disease includes those who experience recurrence in less than six months. Treatment of patients with platinum-sensitive disease will typically include another platinum containing therapy, usually a doublet where the second agent is a taxane or Gemzar. Alternatively, Doxil (liposomal doxorubicin) may be used. Avastin may also be considered, although it was not FDA approved for this indication until November 2014 when it was approved in combination with any one of three chemo therapies based on data from the AURELIA trial, which is described below. Treatment of patients with platinum-resistant disease is more challenging and may include one of several agents, including Avastin, Doxil, topotecan, docetaxel, gemcitabine, weekly paclitaxel and etoposide, none of which have been established to prolong survival. There remains considerable unmet medical need for patients with recurrent ovarian cancer and in particular for those who are platinum resistant.</w:t>
      </w:r>
    </w:p>
    <w:p>
      <w:pPr>
        <w:spacing w:after="0" w:line="182"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Rationale for use of CRLX101 for Relapsed Ovarian Cancer: </w:t>
      </w:r>
      <w:r>
        <w:rPr>
          <w:rFonts w:ascii="Times New Roman" w:cs="Times New Roman" w:eastAsia="Times New Roman" w:hAnsi="Times New Roman"/>
          <w:sz w:val="18"/>
          <w:szCs w:val="18"/>
          <w:color w:val="auto"/>
        </w:rPr>
        <w:t>Publicly released data from an international Phase 3 randomized clinical trial,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referred to as the AURELIA trial, for the treatment of patients with second and third line platinum-resistant ovarian cancer conducted by Genentech, Inc. indicated that the addition of Avastin to chemotherapy provided notable response rates and PFS and a trend toward improvements in overall survival in particular patient sub-groups. Although the AURELIA trial did not achieve a statistically significant improvement in overall survival among all patients, it was the basis for FDA approval of Avastin in combination with any one of three chemotherapies in November 2014. Based on the AURELIA data and other trials evaluating the use of Avastin in ovarian cancer, it appears that benefits of VEGF inhibitors such as Avastin are suggested in this setting. We hypothesize that HIF-1α contributes to resistance to VEGF inhibitors, including Avastin. Furthermore, a comprehensive analysis of over-represented genes in ovarian cancer identifies HIF-1α as a highly active pathway common to both basal breast and serous ovarian cancers and suggests that HIF-1α may be an important therapeutic target in ovarian cancer. As highlighted above, CRLX101 appears to durably suppress HIF-1α and demonstrates notable synergy in combination with VEGF inhibitors, including Avastin, in preclinical tumor models of ovarian cancer. We hypothesize that a CRLX101-mediated override of acquired resistance to Avastin, facilitated through the inhibition of HIF-1α, will potentiate the translation of PFS and response rate benefits achieved with Avastin in relapsed platinum-resistant ovarian cancer into meaningful and statistically significant overall survival benefits for these patients.</w:t>
      </w:r>
    </w:p>
    <w:p>
      <w:pPr>
        <w:spacing w:after="0" w:line="195" w:lineRule="exact"/>
        <w:rPr>
          <w:sz w:val="20"/>
          <w:szCs w:val="20"/>
          <w:color w:val="auto"/>
        </w:rPr>
      </w:pPr>
    </w:p>
    <w:p>
      <w:pPr>
        <w:jc w:val="both"/>
        <w:ind w:right="800" w:firstLine="518"/>
        <w:spacing w:after="0" w:line="266" w:lineRule="auto"/>
        <w:rPr>
          <w:sz w:val="20"/>
          <w:szCs w:val="20"/>
          <w:color w:val="auto"/>
        </w:rPr>
      </w:pPr>
      <w:r>
        <w:rPr>
          <w:rFonts w:ascii="Times New Roman" w:cs="Times New Roman" w:eastAsia="Times New Roman" w:hAnsi="Times New Roman"/>
          <w:sz w:val="18"/>
          <w:szCs w:val="18"/>
          <w:color w:val="auto"/>
        </w:rPr>
        <w:t>The combination of CRLX101 with Avastin in platinum-resistant ovarian cancer capitalizes on several important aspects of this indication, specifically: ovarian cancer is a HIF overexpressing tumor type, the combination of CRLX101 with Avastin in preclinical ovarian cancer models is synergistic, and preliminary clinical evaluation of this combination appears to be generally well tolerated thus far.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553" w:right="259" w:bottom="1440" w:gutter="0" w:footer="0" w:header="0"/>
        </w:sectPr>
      </w:pPr>
    </w:p>
    <w:bookmarkStart w:id="20" w:name="page21"/>
    <w:bookmarkEnd w:id="20"/>
    <w:p>
      <w:pPr>
        <w:jc w:val="both"/>
        <w:ind w:right="80" w:firstLine="518"/>
        <w:spacing w:after="0" w:line="257" w:lineRule="auto"/>
        <w:rPr>
          <w:sz w:val="20"/>
          <w:szCs w:val="20"/>
          <w:color w:val="auto"/>
        </w:rPr>
      </w:pPr>
      <w:r>
        <w:rPr>
          <w:rFonts w:ascii="Times New Roman" w:cs="Times New Roman" w:eastAsia="Times New Roman" w:hAnsi="Times New Roman"/>
          <w:sz w:val="18"/>
          <w:szCs w:val="18"/>
          <w:color w:val="auto"/>
        </w:rPr>
        <w:t>We also believe that CRLX101 could provide benefit to patients with relapsed ovarian cancer in combination with other cancer treatments, including paclitaxel. Weekly dosing of paclitaxel demonstrates both cytotoxic and anti-angiogenic activity in ovarian cancer and clinical trials have demonstrated both PFS and overall survival benefits of weekly paclitaxel dosing in this setting, even among patients with prior progression through dose-dense paclitaxel.</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Therefore, we hypothesize that CRLX101’s potential to overcome HIF-related chemotherapy resistance is relevant to weekly paclitaxel and this combination has demonstrated greater than additive activity in pre-clinical models. We have commenced start-up activities for a company sponsored Phase 1b clinical trial, conducted in collaboration with GOG, evaluating CRLX101 in combination with weekly paclitaxel in relapsed ovarian cancer.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Development of CRLX101 in Relapsed Ovarian Cancer.</w:t>
      </w:r>
    </w:p>
    <w:p>
      <w:pPr>
        <w:spacing w:after="0" w:line="22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 single-arm Phase 2 IST of CRLX101 as monotherapy in 29 advanced relapsed ovarian cancer patients was conducted at Massachusetts General Hospital and affiliated Harvard teaching hospitals in Boston, Massachusetts. The primary endpoint of this trial was to achieve PFS at six months for at least four patients.</w:t>
      </w:r>
    </w:p>
    <w:p>
      <w:pPr>
        <w:spacing w:after="0" w:line="176"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primary PFS endpoint was met with seven patients having achieved PFS of six months or longer. In addition, 15 patients achieved net tumor shrinkages, with four patients having achieved RECIST-based partial responses. In addition, two patients remained active on trial for more than one year. In the platinum-resistant patient subpopulation (22 of 29 patients), 19 of 22 patients were receiving CRLX101 as third or later line of therapy, and three of 22 patients received CLRX101 as second line therapy. Of the 19 evaluable platinum-resistant patients, 18 demonstrated scan results showing stable disease or better for their target lesions, with three of these 19 patients having achieved a RECIST partial response.</w:t>
      </w:r>
    </w:p>
    <w:p>
      <w:pPr>
        <w:spacing w:after="0" w:line="184" w:lineRule="exact"/>
        <w:rPr>
          <w:sz w:val="20"/>
          <w:szCs w:val="20"/>
          <w:color w:val="auto"/>
        </w:rPr>
      </w:pPr>
    </w:p>
    <w:p>
      <w:pPr>
        <w:ind w:right="80" w:firstLine="560"/>
        <w:spacing w:after="0" w:line="261" w:lineRule="auto"/>
        <w:rPr>
          <w:sz w:val="20"/>
          <w:szCs w:val="20"/>
          <w:color w:val="auto"/>
        </w:rPr>
      </w:pPr>
      <w:r>
        <w:rPr>
          <w:rFonts w:ascii="Times New Roman" w:cs="Times New Roman" w:eastAsia="Times New Roman" w:hAnsi="Times New Roman"/>
          <w:sz w:val="18"/>
          <w:szCs w:val="18"/>
          <w:color w:val="auto"/>
        </w:rPr>
        <w:t>The graph below shows the change in tumor size for the 19 evaluable platinum-resistant patients in this trial. Each vertical bar in the graph represents the percentage change in tumor size from the time when the patient entered the clinical trial until the largest tumor size reduction or smallest tumor size growth, as applicable, was measured for that patient in accordance with RECIST. The changes in tumor size are unaudited and based on CT-scan assessment performed at the treating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125730</wp:posOffset>
            </wp:positionV>
            <wp:extent cx="4288155" cy="272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815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These data suggest activity of CRLX101 as monotherapy in relapsed ovarian cancer. Since ovarian cancer has been identified as a HIF overexpressing tumor type and CRLX101 was generally well tolerated in this trial, we are also supporting a combination IST of CRLX101 with Avastin in relapsed platinum-resistant ovarian cancer. This ongoing single arm Phase 2 clinical trial of CRLX101 dosed at 15mg/m2 every two weeks in combination with Avastin dosed at 10mg/kg every two weeks in second and third line platinum-resistant ovarian cancer patients has been initiated at Massachusetts General Hospital and affiliated Harvard teaching hospitals in Boston, Massachusetts. The primary endpoint of the trial is PFS at six months in eight patients, and secondary objectives include assessment of response rates and toxicities as assessed by the National Cancer Institute’s Common Terminology Criteria for Adverse Events, Version 4.0. A maximum of 43 patients will be enrolled in the trial.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553" w:right="259" w:bottom="1440" w:gutter="0" w:footer="0" w:header="0"/>
        </w:sectPr>
      </w:pPr>
    </w:p>
    <w:bookmarkStart w:id="21" w:name="page22"/>
    <w:bookmarkEnd w:id="21"/>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Our planned initial indication for CRLX101 in the treatment of ovarian cancer is not yet determined. We intend to use data from the ongoing IST in combination with Avastin and data from the planned trial in combination with weekly paclitaxel to help us determine the optimal approach to developing CRLX101 in ovarian cancer.</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Neoadjuvant Rectal Cancer</w:t>
      </w:r>
    </w:p>
    <w:p>
      <w:pPr>
        <w:spacing w:after="0" w:line="223"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Current Treatments for Neoadjuvant Rectal Cancer: </w:t>
      </w:r>
      <w:r>
        <w:rPr>
          <w:rFonts w:ascii="Times New Roman" w:cs="Times New Roman" w:eastAsia="Times New Roman" w:hAnsi="Times New Roman"/>
          <w:sz w:val="18"/>
          <w:szCs w:val="18"/>
          <w:color w:val="auto"/>
        </w:rPr>
        <w:t>The American Cancer Society estimates that approximately 39,600 people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will be newly diagnosed with rectal cancer in 2015. Patients without distant metastases are candidates for neoadjuvant therapy, which consists of approximately six weeks of CRT. The goal of CRT is to shrink the tumors as much as possible prior to surgical resection. In clinically manageable treatment therapies that have been evaluated, a pathologic complete response, or pCR, is observed in approximately 10% to 20% of patients. A pCR following neoadjuvant chemoradiotherapy is associated with excellent long-term survival versus patients who do not achieve pCR (five-year odds ratio of 3.28, p=0.001), long-term disease free survival (five year odds ratio of 4.33, p &lt; 0.001) and lower rates of local recurrence and distant failure.</w:t>
      </w:r>
    </w:p>
    <w:p>
      <w:pPr>
        <w:spacing w:after="0" w:line="183"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Rationale for use of CRLX101 in Neoadjuvant Rectal Cancer: </w:t>
      </w:r>
      <w:r>
        <w:rPr>
          <w:rFonts w:ascii="Times New Roman" w:cs="Times New Roman" w:eastAsia="Times New Roman" w:hAnsi="Times New Roman"/>
          <w:sz w:val="18"/>
          <w:szCs w:val="18"/>
          <w:color w:val="auto"/>
        </w:rPr>
        <w:t>Radiotherapy causes DNA single strand breaks which, if not repaired, lead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desired apoptosis of radiated tumor cells. Since it is well documented that topo 1 inhibitors can enhance the effects of radiotherapy, we expect CRLX101 to be an effective and well-tolerated radiosensitizer. In fact, combinations of irinotecan plus capecitabine or 5-FU plus radiotherapy have demonstrated pCR rates between 21% and 37% across various trials, which is greater than the pCR rates that have been demonstrated across various trials using capecitabine or 5-FU plus radiotherapy. However, the toxicity of irinotecan prevents its addition to this therapy beyond clinical trial settings. CRLX101 in combination with radiotherapy in a head and neck cancer animal model and in combination with CRT in a colorectal animal model demonstrated notable synergy, which we believe was due to direct anti-cancer effects and enhanced radiosensitization. In addition, local tumor hypoxia is a byproduct of radiotherapy, and there is a well-documented role of hypoxia-induced HIF-1α up-regulation in causing resistance to radiotherapy. Accordingly, we believe that CRLX101, with its durable topo 1 and HIF-1α inhibition, as well as its favorable safety profile, offers strong potential as an add-on drug to standard of care CRT in neoadjuvant rectal cancer.</w:t>
      </w:r>
    </w:p>
    <w:p>
      <w:pPr>
        <w:spacing w:after="0" w:line="186"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Clinical Development of CRLX101 in Neoadjuvant Rectal Cancer: </w:t>
      </w:r>
      <w:r>
        <w:rPr>
          <w:rFonts w:ascii="Times New Roman" w:cs="Times New Roman" w:eastAsia="Times New Roman" w:hAnsi="Times New Roman"/>
          <w:sz w:val="18"/>
          <w:szCs w:val="18"/>
          <w:color w:val="auto"/>
        </w:rPr>
        <w:t>A single-arm open-label Phase 1b/2 IST of CRLX101 in combination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capecitabine and radiotherapy in patients with non-metastatic rectal cancer is being conducted at the University of North Carolina at Chapel Hill and other sites, including the University of Indiana, Wake Forest University, Rex Hospital Inc. and Southeastern Medical Oncology Center. This clinical trial is designed to identify the MTD of CRLX101 administered in combination with capecitabine and radiotherapy and to detect signals of increased clinical benefit over capecitabine and radiotherapy alone. The trial is designed to enroll up to 53 patients and has a primary endpoint of pCR rate as well as secondary endpoints of disease free survival and overall survival.</w:t>
      </w:r>
    </w:p>
    <w:p>
      <w:pPr>
        <w:spacing w:after="0" w:line="187" w:lineRule="exact"/>
        <w:rPr>
          <w:sz w:val="20"/>
          <w:szCs w:val="20"/>
          <w:color w:val="auto"/>
        </w:rPr>
      </w:pPr>
    </w:p>
    <w:p>
      <w:pPr>
        <w:ind w:right="640" w:firstLine="518"/>
        <w:spacing w:after="0" w:line="266" w:lineRule="auto"/>
        <w:rPr>
          <w:sz w:val="20"/>
          <w:szCs w:val="20"/>
          <w:color w:val="auto"/>
        </w:rPr>
      </w:pPr>
      <w:r>
        <w:rPr>
          <w:rFonts w:ascii="Times New Roman" w:cs="Times New Roman" w:eastAsia="Times New Roman" w:hAnsi="Times New Roman"/>
          <w:sz w:val="18"/>
          <w:szCs w:val="18"/>
          <w:color w:val="auto"/>
        </w:rPr>
        <w:t>The MTD and recommended Phase 2 dose were established in the Phase 1b stage of the trial. The trial has therefore progressed to the Phase 2 stage. If we see pCR rates in excess of 30% for a limited number of patients in the IST, we expect to transition into a randomized Phase 2 trial of approximately 80 to 120 patients. This randomized trial would compare the safety and efficacy of CRLX101 plus CRT to CRT alone.</w:t>
      </w:r>
    </w:p>
    <w:p>
      <w:pPr>
        <w:spacing w:after="0" w:line="176"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Assuming supportive data, we intend to transition into the Phase 2 randomized clinical trial. We also expect to engage with the FDA prior to the initiation of a Phase 2 randomized clinical trial to understand whether the agency agrees that pCR is an appropriate surrogate endpoint for use in connection with treatment of patients in the neoadjuvant setting as the basis for accelerated approval.</w:t>
      </w:r>
    </w:p>
    <w:p>
      <w:pPr>
        <w:spacing w:after="0" w:line="17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planned initial indication for CRLX101 in the treatment of rectal cancer is in combination with CRT in patients being treated in the neoadjuvant setting.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ISTs</w:t>
      </w:r>
    </w:p>
    <w:p>
      <w:pPr>
        <w:spacing w:after="0" w:line="22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Gastric Cancer. </w:t>
      </w:r>
      <w:r>
        <w:rPr>
          <w:rFonts w:ascii="Times New Roman" w:cs="Times New Roman" w:eastAsia="Times New Roman" w:hAnsi="Times New Roman"/>
          <w:sz w:val="18"/>
          <w:szCs w:val="18"/>
          <w:color w:val="auto"/>
        </w:rPr>
        <w:t>A single-arm Phase 2 pharmacodynamic clinical trial of CRLX101 in advanced HER 2 negative gastric cancer patients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in an IST at the City of Hope National Comprehensive Cancer Center in Duarte, California. The trial objectives were to utilize tumor biopsies to establish differential NDC penetration between tumor and adjacent normal tissue and to establish signals of activity in HER-2 negative gastric cancer patients. Biopsies have been analyzed for differential drug accumulation between tumor and normal tissue using immunoflourescence techniques. Data from patient-samples measuring camptothecin levels in tumor and adjacent normal tissue between 24 and 48 hours after a single dose of CLRX101 was administered indicated that camptothecin was present in the tumor tissue and very little camptothecin was present in the adjacent normal tissue. We believe these data illustrate Dynamic Tumor Targeting of CRLX101 in patients and confirm in human patients results we have observed in animal tumor models. We believe that these CRLX101 data in human cancer patients validate the Dynamic Tumor Targeting properties of our platform.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53" w:right="239" w:bottom="1440" w:gutter="0" w:footer="0" w:header="0"/>
        </w:sectPr>
      </w:pPr>
    </w:p>
    <w:bookmarkStart w:id="22" w:name="page23"/>
    <w:bookmarkEnd w:id="22"/>
    <w:p>
      <w:pPr>
        <w:ind w:right="10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Small Cell Lung Cancer. </w:t>
      </w:r>
      <w:r>
        <w:rPr>
          <w:rFonts w:ascii="Times New Roman" w:cs="Times New Roman" w:eastAsia="Times New Roman" w:hAnsi="Times New Roman"/>
          <w:sz w:val="18"/>
          <w:szCs w:val="18"/>
          <w:color w:val="auto"/>
        </w:rPr>
        <w:t>A randomized Phase 2 clinical trial of 112 patients comparing CRLX101 as monotherapy to topotecan in advanced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lung cancer, or SCLC, was conducted in an IST at the University of Chicago and at other major medical centers in the United States. The trial objectives were to establish feasibility of enrolling this advanced patient population and to differentiate the safety and efficacy of CRLX101 at 15mg/m2 dosed every two weeks versus topotecan, the only approved second line SCLC agent. We expect this trial to close due to slow enrollment sometime in the second quarter of 2015.</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CRLX101 Development Opportunities</w:t>
      </w:r>
    </w:p>
    <w:p>
      <w:pPr>
        <w:spacing w:after="0" w:line="227" w:lineRule="exact"/>
        <w:rPr>
          <w:sz w:val="20"/>
          <w:szCs w:val="20"/>
          <w:color w:val="auto"/>
        </w:rPr>
      </w:pPr>
    </w:p>
    <w:p>
      <w:pPr>
        <w:ind w:right="480" w:firstLine="518"/>
        <w:spacing w:after="0" w:line="266" w:lineRule="auto"/>
        <w:rPr>
          <w:sz w:val="20"/>
          <w:szCs w:val="20"/>
          <w:color w:val="auto"/>
        </w:rPr>
      </w:pPr>
      <w:r>
        <w:rPr>
          <w:rFonts w:ascii="Times New Roman" w:cs="Times New Roman" w:eastAsia="Times New Roman" w:hAnsi="Times New Roman"/>
          <w:sz w:val="18"/>
          <w:szCs w:val="18"/>
          <w:color w:val="auto"/>
        </w:rPr>
        <w:t>There are several factors that may allow combinations of CRLX101 with anti-cancer therapies beyond Avastin and CRT. This may include combinations with other chemotherapeutics, targeted chemotherapeutics, molecularly targeted agents and nanoparticles, and may extend CRLX101 into indications beyond our current target indications.</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Several approved anti-cancer therapeutics work by reducing blood vessel formation, and thus we believe CRLX101 may be combinable with approved anti-angiogenesis inhibitors other than Avastin, such as Zaltrap, Sutent, Nexavar and Votrient, among others. In preclinical tumor models, in addition to Avastin, we have tested the combination of CRLX101 with Votrient and Zaltrap and have observed synergy between CRLX101 and each of these agents. HIF-1α assays across multiple tumor models have shown CRLX101 to be a durable inhibitor of HIF-1α and to provide synergistic HIF-1α inhibition when combined with Avastin.</w:t>
      </w:r>
    </w:p>
    <w:p>
      <w:pPr>
        <w:spacing w:after="0" w:line="184" w:lineRule="exact"/>
        <w:rPr>
          <w:sz w:val="20"/>
          <w:szCs w:val="20"/>
          <w:color w:val="auto"/>
        </w:rPr>
      </w:pPr>
    </w:p>
    <w:p>
      <w:pPr>
        <w:jc w:val="both"/>
        <w:ind w:right="460" w:firstLine="518"/>
        <w:spacing w:after="0" w:line="261" w:lineRule="auto"/>
        <w:rPr>
          <w:sz w:val="20"/>
          <w:szCs w:val="20"/>
          <w:color w:val="auto"/>
        </w:rPr>
      </w:pPr>
      <w:r>
        <w:rPr>
          <w:rFonts w:ascii="Times New Roman" w:cs="Times New Roman" w:eastAsia="Times New Roman" w:hAnsi="Times New Roman"/>
          <w:sz w:val="18"/>
          <w:szCs w:val="18"/>
          <w:color w:val="auto"/>
        </w:rPr>
        <w:t>Beyond exploiting the apparent synergies from combining topo 1 and HIF inhibition with VEGF inhibition or radiotherapy, as is the focus of our current combination clinical trials, extensive preclinical modeling of CRLX101 combinations with other agents that demonstrate synergistic or additive properties with traditional chemotherapeutic agents, such as taxanes and platinum-based agents. These combinations could further enhance the utility of CRLX101 as a backbone agent in combination therapies.</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future, we may investigate combinations of CRLX101 with poly ADP Ribose Polymerase, or PARP, inhibitors. PARP’s main role is to detect and signal single-strand DNA breaks to the enzymatic complex that repairs single strand DNA breaks. A combined inhibition of PARP and topo 1 has been shown to be a well-established cooperative interaction in preclinical research because PARP inhibitors prevent repair to single strand DNA breaks caused by topo 1 inhibitors. To date, the clinical potential of this combination has remained unrealized, as Phase 1 trials of PARP inhibitors with topotecan conducted by others have shown toxicities necessitating dose reductions to sub-therapeutic levels, limiting the ability to readily progress in further clinical development. We believe that, due to its potential for improved tolerability as compared to approved topo 1 inhibitors, CRLX101 may be combinable with PARP inhibitors at therapeutically active doses. The FDA recently approved the first PARP inhibitor, AstraZeneca’s Lynparza, as monotherapy in patients with deleterious or suspected deleterious germline BRCA mutated (as detected by an FDA-approved test) advanced ovarian cancer who have been treated with three or more prior lines of chemotherapy.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CRLX301</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CRLX301 is an NDC with docetaxel as its anti-cancer payload. Docetaxel, a member of the taxane family, is a highly active chemotherapeutic that binds to microtubules to trigger cell death in dividing cells. Docetaxel is extensively used in clinical practice and is FDA approved for the treatment of locally advanced or metastatic NSCLC, locally advanced squamous cell carcinoma of the head and neck, androgen-independent prostate cancer, locally advanced or metastatic breast cancer and advanced gastric cancer. Docetaxel causes toxicities, including death attributable to toxicities, hepatotoxicity, neutropenia, hypersensitivity, severe fluid retention and peripheral neuropathy. These toxicities lead to dose adjustments, treatment discontinuation and extensive supportive care.</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Because CRLX301 is synthesized in a similar manner as CRLX101, we can utilize some common intermediates and manufacturing facilities, thereby creating manufacturing synergies across the two programs. We believe the clinical development risk of CRLX301 is somewhat mitigated because the efficacy of docetaxel in humans is extensively validated. In addition, the safety risk of the nanopharmaceutical is reduced since CRLX101, sharing the identical nanopharmaceutical backbone, has been tested in over 250 patients without serious toxicities attributed to the nanopharmaceutical backbone.</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target product profile for CRLX301 aims to demonstrate improved efficacy, safety and combinability over docetaxel. The potential advantages of CRLX301 would be to increase docetaxel’s proven anti-tumor activity by targeting sustained release of docetaxel from within tumor cells, thereby achieving sustained drug concentrations in tumor cells. We expect lower tissue distribution with CRLX301 compared to docetaxel, based on preclinical studies, potentially enhancing tolerability.</w:t>
      </w:r>
    </w:p>
    <w:p>
      <w:pPr>
        <w:spacing w:after="0" w:line="180" w:lineRule="exact"/>
        <w:rPr>
          <w:sz w:val="20"/>
          <w:szCs w:val="20"/>
          <w:color w:val="auto"/>
        </w:rPr>
      </w:pPr>
    </w:p>
    <w:p>
      <w:pPr>
        <w:ind w:right="760" w:firstLine="560"/>
        <w:spacing w:after="0" w:line="282" w:lineRule="auto"/>
        <w:rPr>
          <w:sz w:val="20"/>
          <w:szCs w:val="20"/>
          <w:color w:val="auto"/>
        </w:rPr>
      </w:pPr>
      <w:r>
        <w:rPr>
          <w:rFonts w:ascii="Times New Roman" w:cs="Times New Roman" w:eastAsia="Times New Roman" w:hAnsi="Times New Roman"/>
          <w:sz w:val="18"/>
          <w:szCs w:val="18"/>
          <w:color w:val="auto"/>
        </w:rPr>
        <w:t>We believe that enhanced therapeutic benefit and a favorable safety profile for CRLX301 would enable combination therapies incorporating CRLX301 with other anti-cancer therapies that may not be combinable today due to docetaxel’s toxicities.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49" w:right="2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color w:val="auto"/>
        </w:rPr>
        <w:t>CRLX301 Preclinical and IND-Enabling Data</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conducted the following PK studies in mice, rats and dogs in which CRLX301 demonstrated prolonged circulation as compared to docetaxel:</w:t>
      </w:r>
    </w:p>
    <w:p>
      <w:pPr>
        <w:spacing w:after="0" w:line="117" w:lineRule="exact"/>
        <w:rPr>
          <w:sz w:val="20"/>
          <w:szCs w:val="20"/>
          <w:color w:val="auto"/>
        </w:rPr>
      </w:pPr>
    </w:p>
    <w:p>
      <w:pPr>
        <w:ind w:left="900" w:right="20" w:hanging="374"/>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in which 40 mice were administered a single dose of 15 mg/kg CRLX301 and the PK levels of such mice were compared to the PK levels of 40 mice that received the same dose of docetaxel;</w:t>
      </w:r>
    </w:p>
    <w:p>
      <w:pPr>
        <w:spacing w:after="0" w:line="94"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in which 18 rats were administered a single dose of 10 mg/kg CRLX301 and the PK levels of such rats were compared to the PK of docetaxel obtained from published data in rats that received the same dose of docetaxel; and</w:t>
      </w:r>
    </w:p>
    <w:p>
      <w:pPr>
        <w:spacing w:after="0" w:line="94" w:lineRule="exact"/>
        <w:rPr>
          <w:rFonts w:ascii="Times New Roman" w:cs="Times New Roman" w:eastAsia="Times New Roman" w:hAnsi="Times New Roman"/>
          <w:sz w:val="18"/>
          <w:szCs w:val="18"/>
          <w:color w:val="auto"/>
        </w:rPr>
      </w:pPr>
    </w:p>
    <w:p>
      <w:pPr>
        <w:ind w:left="900" w:hanging="374"/>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in which six dogs were administered a single dose of 0.75 mg/kg CRLX301 and the PK levels of such dogs were compared to the PK of docetaxel obtained from published data in dogs that received the same dose of docetaxel.</w:t>
      </w:r>
    </w:p>
    <w:p>
      <w:pPr>
        <w:spacing w:after="0" w:line="31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each of these studies, the concentrations of docetaxel, total and unconjugated, were measured using liquid chromatography/tandem mass spectrometry. As illustrated in the graphs below, plasma concentration of docetaxel in the mice following dosing of CRLX301 was prolonged, lacked a rapid distribution phase and resulted in an approximately 500-fold increase in plasma exposure of total drug compared to docetaxel in mice treated with docetaxel. We also observed similar increases in exposure when we compared CRLX301 PK data to published data for docetaxel in dog and rat, also as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128270</wp:posOffset>
            </wp:positionV>
            <wp:extent cx="4751070" cy="1595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5107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have also measured tumor levels of CRLX301 that were approximately ten-times the tumor levels of docetaxel in a mouse tumor PK study. We measured concentrations of docetaxel in mice following administration of a single dose of either CRLX301 or docetaxel in mice, in which certain mouse melanoma tumor cells were implanted subcutaneously and allowed to establish tumors. After administration of a single dose of 15 mg/kg docetaxel or 15 mg/kg CRLX301, tumors were extracted from the mice at various time points up to one week post-administration, frozen and homogenized, and unconjugated docetaxel concentrations were measured using liquid chromatography/tandem mass spectrometry. These data were then multiplied by the tumor weight to estimate the amount of docetaxel delivered to the tumor. As shown in the figure below, approximately ten times the amount of docetaxel released from CRLX301 was detected in tumors of the mice that were dosed with CRLX301 as compared to the mice that were dosed with the same amount of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129540</wp:posOffset>
            </wp:positionV>
            <wp:extent cx="2126615" cy="1577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661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tested the anti-tumor activity of CRLX301 in animal xenograft models of prostate cancer, squamous non-small cell lung cancer, adenocarcinoma non-small cell lung cancer, ovarian cancer, multi-drug resistant ovarian cancer, triple-negative breast cancer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49" w:right="239" w:bottom="1440" w:gutter="0" w:footer="0" w:header="0"/>
        </w:sectPr>
      </w:pPr>
    </w:p>
    <w:bookmarkStart w:id="24" w:name="page25"/>
    <w:bookmarkEnd w:id="24"/>
    <w:p>
      <w:pPr>
        <w:ind w:right="240"/>
        <w:spacing w:after="0" w:line="282" w:lineRule="auto"/>
        <w:rPr>
          <w:sz w:val="20"/>
          <w:szCs w:val="20"/>
          <w:color w:val="auto"/>
        </w:rPr>
      </w:pPr>
      <w:r>
        <w:rPr>
          <w:rFonts w:ascii="Times New Roman" w:cs="Times New Roman" w:eastAsia="Times New Roman" w:hAnsi="Times New Roman"/>
          <w:sz w:val="18"/>
          <w:szCs w:val="18"/>
          <w:color w:val="auto"/>
        </w:rPr>
        <w:t>and in a syngeneic melanoma model. In all of these models, CRLX301 was either superior or comparable to docetaxel in either delay of tumor progression and/or complete response rate.</w:t>
      </w:r>
    </w:p>
    <w:p>
      <w:pPr>
        <w:spacing w:after="0" w:line="16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one such study, we treated nude mouse xenograft models in which human DU-145 prostate cancer tumor cells were implanted subcutaneously into mice and allowed to establish tumors. We administered 30 mg/kg of CRLX301, 30 mg/kg of docetaxel or saline (vehicle) by intravenous infusion. Each dose group consisted of eight animals, and all mice were treated weekly for three weeks. Both CRLX101 and docetaxel delayed tumor growth and improved survival rates as compared to the saline-treated mice, but only CRLX301-treated mice displayed complete tumor regression and 100% tumor-free survival at the conclusion of the study. These results are illustrated in the graphs below and are representative of the other animal xenograft models tested. In all such models, we observed longer lasting or equivalent tumor growth inhibition and higher or equivalent survival rates with CRLX301 as compared to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130810</wp:posOffset>
            </wp:positionV>
            <wp:extent cx="3704590" cy="1569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459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These preclinical studies were not designed to demonstrate a statistically significant effect of treatment with CLRX301 as compared to treatment with docetaxel. Nonetheless, in four of the seven animal xenograft models we conducted, CRLX301 demonstrated superior tumor growth inhibition, which was statistically significant (in each case, p&lt;.05). CRLX301 also demonstrated a statistically significant survival advantage in five of these seven animal xenograft models (in each case, p&lt;.05).</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have conducted Good Laboratory Practice, or GLP, toxicology studies in 148 rats and 32 dogs that revealed similar target organ effects for CRLX301 as compared to docetaxel; however, the MTD for CRLX301 was approximately 20% higher compared to published data of the MTD for docetaxel in dogs. We observed no evidence of platform-based toxicities. The higher MTD for CRLX301 and a greater than 50-fold reduced volume of distribution in plasma PK studies in rats and dogs are consistent with a decreased tissue distribution of CRLX301 compared to published data for docetaxel, as measured by a volume of distribution that is 50 and 138 times lower for rats and dogs,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Development of CRLX301</w:t>
      </w:r>
    </w:p>
    <w:p>
      <w:pPr>
        <w:spacing w:after="0" w:line="22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our clinical development of CRLX301, we plan to focus on the utility of this NDC to provide effective delivery of docetaxel into tumors for prolonged periods of time with reduced tissue distribution, enhancing anti-tumor activity while potentially reducing the toxicity observed with traditional taxanes. We commenced the Phase 1 portion of a Phase 1/2a clinical trial at two cancer centers in Australia in December 2014. This clinical trial allows first-in-human dosing of CRLX301 in patients with advanced solid tumor malignancies in order to evaluate the safety of the drug and establish an MTD. Patients in this Phase 1 portion of the clinical trial receive an intravenous infusion of CRLX301 on day one of a 21-day cycle and continue treatment every three weeks until progression of disease or excessive toxicity is observed. Tumor response evaluations are performed using RECIST guidelines, and patients are considered evaluable for efficacy if at least one dose of study drug is received.</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Phase 1 patients are being enrolled, initially in single patient cohorts, and starting with the third cohort, in the standard three-plus-three dose escalation format. Enrollment in a particular dosing cohort will be halted when two or more out of six patients in a cohort experience a dose-limiting toxicity during cycle one following initiation of study drug. The MTD will be defined as the highest dosing level in which fewer than two out of six patients experience a dose-limiting toxicity during cycle one of therapy. Up to 36 evaluable patients may be enrolled in these Phase 1 dose escalation cohorts, with the exact number being dependent on the actual number of patients per cohort and the number of cohorts investigated.</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began Phase 1 clinical testing in Australia, and we submitted an IND to the FDA in February 2015, which will allow us to include additional cancer centers in the United States to the clinical trial. The Phase 2a portion of the trial is expected to enroll an additional 24 to 30 patients so that CRLX301 can be evaluated at the recommended Phase 2 dose established in the Phase 1 portion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53" w:right="259" w:bottom="1440" w:gutter="0" w:footer="0" w:header="0"/>
        </w:sectPr>
      </w:pPr>
    </w:p>
    <w:bookmarkStart w:id="25" w:name="page26"/>
    <w:bookmarkEnd w:id="25"/>
    <w:p>
      <w:pPr>
        <w:spacing w:after="0" w:line="274" w:lineRule="auto"/>
        <w:rPr>
          <w:sz w:val="20"/>
          <w:szCs w:val="20"/>
          <w:color w:val="auto"/>
        </w:rPr>
      </w:pPr>
      <w:r>
        <w:rPr>
          <w:rFonts w:ascii="Times New Roman" w:cs="Times New Roman" w:eastAsia="Times New Roman" w:hAnsi="Times New Roman"/>
          <w:sz w:val="17"/>
          <w:szCs w:val="17"/>
          <w:color w:val="auto"/>
        </w:rPr>
        <w:t>the trial in tumor types of interest. Tumor types of interest will be determined based on biological rationale, clinical need, regulatory path, commercial opportunity and results observed during the Phase 1 portion of the trial. For clinical development of CRLX301, we expect to choose from among those tumor types in which docetaxel is approved and active, in which docetaxel is not approved but where taxanes have demonstrated efficacy or in which resistance to prior taxanes has been established. Such possible tumor types include, among others, ovarian cancer, cervical cancer, breast cancer, gastric cancer, prostate cancer, melanoma and head and neck cancer. In addition, once we have established a MTD, we may choose to conduct a randomized Phase 2 clinical trial in a pre-identified lead indication of interest in order to conduct a head-to-head comparison of CRLX301 against the standard of care in this tumor type of interest.</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4" w:lineRule="exact"/>
        <w:rPr>
          <w:sz w:val="20"/>
          <w:szCs w:val="20"/>
          <w:color w:val="auto"/>
        </w:rPr>
      </w:pPr>
    </w:p>
    <w:p>
      <w:pPr>
        <w:jc w:val="both"/>
        <w:ind w:right="160" w:firstLine="563"/>
        <w:spacing w:after="0" w:line="26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manufacturing, marketing, drug development, technical and human resources than we do.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Due to the large unmet medical need, global demographics and relatively attractive reimbursement dynamics, the oncology market is fiercely competitive. In each indication we are pursuing, there are approved cancer therapeutics and agents under clinical development for use as monotherapy and combination therapy. Each of the top ten global pharmaceutical companies and most of the mid-size pharmaceutical companies has a strong research and development and commercial presence in oncology. Smaller companies also focus on oncology, including companies such as Agios Pharmaceuticals, Inc., ARIAD Pharmaceuticals, Inc., BIND Therapeutics, Inc., Clovis Oncology, Inc., Endocyte, Inc., Epizyme, Inc., ImmunoGen, Inc., Incyte Corporation, Infinity Pharmaceuticals, Inc., MacroGenics, Inc., Merrimack Pharmaceuticals, Inc., OncoMed Pharmaceuticals, Inc., Onconova Therapeutics, Inc., Pharmacyclics, Inc., Puma Biotechnology, Inc., Seattle Genetics, Inc., TESARO, Inc. and Verastem, Inc.</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Several companies are developing and marketing oncology products. Companies with marketed nanopharmaceutical oncology products include Celgene Corporation (Abraxane (nab-paclitaxel) indicated for breast cancer, NSCLC and pancreatic cancer) and Spectrum Pharmaceuticals (Marqibo (vincristine sulfate liposome injection) indicated for relapsed Philadelphia chromosome-negative acute lymphoblastic leukemia). Companies with nanopharmaceutical oncology product candidates in clinical development include BIND Therapeutics, Inc. (BIND 014 for squamous and KRAS mutated NSCLC), Celator Pharmaceuticals, Inc. (CPX-351 for acute myeloid leukemia), Celsion Corporation (ThermoDox (lyso-thermosensitive liposomal doxorubicin) for liver cancer and breast cancer), Cytimmune Sciences, Inc. (CYT-6091 for NSCLC) and Supratek Pharma Inc. (SP1049C for solid tumors). In addition, at least two companies have oncology product candidates in clinical development that are irinotecan reformulations: Merrimack Pharmaceuticals’ liposomal irinotecan (MM-398 for pancreatic and colorectal cancer) and Nektar Therapeutics’ etirinotecan pegol (NKTR-102 for breast cancer).</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CRLX101 is the only non-nucleotide oncology product candidate in clinical development that targets the HIF pathway. F. Hoffmann-La Roche Ltd acquired a Locked Nucleic Acid oncology product candidate that targets HIF-1α (SPC-2968, which was referred to as EZN-2968 when it was being developed by Enzon Pharmaceuticals, Inc. and Santaris Pharma A/S). In addition, there are drugs and biologics in development that could compete with CRLX101 in each of its lead indications: relapsed RCC, relapsed ovarian cancer and neoadjuvant rectal cancer.</w:t>
      </w:r>
    </w:p>
    <w:p>
      <w:pPr>
        <w:spacing w:after="0" w:line="180"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In relapsed RCC, the six FDA-approved therapies commonly used for treatment represent only two mechanistic classes—VEGF inhibitors and mTORIs—and there are no approved cytotoxic drugs. Antibodies against PD-1/PD-L1 are in late stage development in relapsed RCC. Exelixis’ TKI, cabozantinib, TRACON Pharmaceuticals, Inc.’s TRC105, and Acceleron Pharma, Inc.’s dalantercept (the latter two are in combination with axitinib) are in development in second line or later stage relapsed RCC. Regardless of the results of these trials, we believe that there will remain a place for VEGF targeted therapies, and therefore a role for CRLX101, if approved, in treating patients who progress on a VEGF targeted agent. In relapsed ovarian cancer, there are multiple approved therapies, including most recently Avastin, in combination with chemotherapy, and Lynparza, and multiple companies developing therapeutic candidates in various stages of development. For example, OncoMed Pharmaceuticals is developing demcizumab, and Genentech, Inc. is developing DMOT4039A. Although each of these agents has the potential to be used in combination with CRLX101, thereby expanding the market for CRLX101, they also have the potential to compete with CRLX101.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553" w:right="259" w:bottom="1440" w:gutter="0" w:footer="0" w:header="0"/>
        </w:sectPr>
      </w:pPr>
    </w:p>
    <w:bookmarkStart w:id="26" w:name="page27"/>
    <w:bookmarkEnd w:id="26"/>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neoadjuvant rectal cancer, capecitabine, which is marketed by Genentech, Inc., was approved for use in rectal cancer in 2005. Capecitabine is used in the neoadjuvant setting in combination with radiotherapy, and this chemo-radiotherapeutic regimen represents the current standard of care in the United States. CRLX101 is being developed as a combination agent to be used with radiotherapy and capecitabine. There are also several development programs for the treatment of rectal cancer in the neoadjuvant setting. Isofol Medical is developing a molecule that is currently labeled to [6R] 5,10-methylenetetrahydrofolate, Karyopharm Therapeutics, Inc. is developing Selinexor in combination with chemoradiation, Merck KgAA is developing Tecemotide with chemoradiotherapy, Genentech, Inc. is testing Avastin in combination with capecitabine, and Kadmon is developing KD018 in combination with capecitabine and radiation. Immunomedics, Inc. has IMMU-130, an anti-CEACAM5 antibody conjugated to SN-38, a topo 1 inhibiting drug. This program is currently in Phase 2 trials in metastatic colorectal cancer.</w:t>
      </w:r>
    </w:p>
    <w:p>
      <w:pPr>
        <w:spacing w:after="0" w:line="18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Several companies are developing taxane-containing nanoparticles for oncology that are competitors to CRLX301. For example, BIND Therapeutics Inc.’s BIND-014 is a docetaxel containing nanoparticle in active clinical development in squamous and KRAS NSCLC. Nippon Kayaku’s NK105 is a paclitaxel micelle nanoparticle in late stage clinical development for breast and stomach cancer. Drug-polymer conjugated nanoparticles are also being developed, such as CTI BioPharma’s paclitaxel poliglumex, in late stage clinical development as maintenance therapy for advanced ovarian cancer.</w:t>
      </w:r>
    </w:p>
    <w:p>
      <w:pPr>
        <w:spacing w:after="0" w:line="180"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therapeutic product candidates, if approved, are likely to be their efficacy, safety, dosing convenience, price, the level of generic competition and the availability of reimbursement from government and other third party payors.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protect, for example, the technology platforms used to generate our product candidate, related technologies and/or other aspects of the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dosage forms, methods of treatment and additional compositions created or identified from our platform and ongoing development of our product candidates. 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positions.</w:t>
      </w:r>
    </w:p>
    <w:p>
      <w:pPr>
        <w:spacing w:after="0" w:line="188"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or use of our platform.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permit third parties to challenge issued patents in administrative proceedings which may result in further narrowing or even cancellation of patent claims.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protection from competitors. Any patents that we own or license may be challenged, narrowed, circumvented or invalidated by third parties.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or USPTO, to determine priority of invention.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patent portfolio includes issued patents and pending applications worldwide. These patents and applications fall into three broad categories:</w:t>
      </w:r>
    </w:p>
    <w:p>
      <w:pPr>
        <w:spacing w:after="0" w:line="27" w:lineRule="exact"/>
        <w:rPr>
          <w:sz w:val="20"/>
          <w:szCs w:val="20"/>
          <w:color w:val="auto"/>
        </w:rPr>
      </w:pPr>
    </w:p>
    <w:p>
      <w:pPr>
        <w:ind w:left="5620" w:right="3560" w:hanging="5612"/>
        <w:spacing w:after="0" w:line="51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covalent linkage of therapeutic agents to a cyclodextrin-containing polymer, or CDP, as in CRLX101 and 25</w:t>
      </w:r>
    </w:p>
    <w:p>
      <w:pPr>
        <w:sectPr>
          <w:pgSz w:w="11900" w:h="16838" w:orient="portrait"/>
          <w:cols w:equalWidth="0" w:num="1">
            <w:col w:w="11400"/>
          </w:cols>
          <w:pgMar w:left="240" w:top="553" w:right="259" w:bottom="1440" w:gutter="0" w:footer="0" w:header="0"/>
        </w:sectPr>
      </w:pPr>
    </w:p>
    <w:bookmarkStart w:id="27" w:name="page28"/>
    <w:bookmarkEnd w:id="27"/>
    <w:p>
      <w:pPr>
        <w:ind w:right="460"/>
        <w:spacing w:after="0" w:line="282" w:lineRule="auto"/>
        <w:rPr>
          <w:sz w:val="20"/>
          <w:szCs w:val="20"/>
          <w:color w:val="auto"/>
        </w:rPr>
      </w:pPr>
      <w:r>
        <w:rPr>
          <w:rFonts w:ascii="Times New Roman" w:cs="Times New Roman" w:eastAsia="Times New Roman" w:hAnsi="Times New Roman"/>
          <w:sz w:val="18"/>
          <w:szCs w:val="18"/>
          <w:color w:val="auto"/>
        </w:rPr>
        <w:t>CRLX301; (2) association of a therapeutic agent to a polymer and (3) polymeric nanoparticles which can be used to deliver various types of therapeutic agents including large molecules.</w:t>
      </w:r>
    </w:p>
    <w:p>
      <w:pPr>
        <w:spacing w:after="0" w:line="158" w:lineRule="exact"/>
        <w:rPr>
          <w:sz w:val="20"/>
          <w:szCs w:val="20"/>
          <w:color w:val="auto"/>
        </w:rPr>
      </w:pPr>
    </w:p>
    <w:p>
      <w:pPr>
        <w:ind w:right="120" w:firstLine="56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Cyclodextrin Polymer (CDP) Platform Technology: Covalent Linkage of Therapeutic Agent to Cyclodextrin-Containing Polymer: CRLX101 and CRLX301</w:t>
      </w:r>
    </w:p>
    <w:p>
      <w:pPr>
        <w:spacing w:after="0" w:line="15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own, in some cases through an assignment from Calando, or exclusively license from Caltech, 16 patent families generally related to CDPs and/or to linear CDP-therapeutic agent conjugates (CDP-agent conjugates), including CRLX101 and CRLX301, methods of delivering the CDP-agent conjugates, methods of making the CDP-agent conjugates and methods of treating various disorders by administering the CDP-agent conjugates. These patent families include 19 issued United States patents and 31 issued foreign counterparts, as well as over 22 pending United States patent applications and over 54 pending foreign applications. These patents and applications, if issued, generally will expire between 2018 and 2035. These patent families include:</w:t>
      </w:r>
    </w:p>
    <w:p>
      <w:pPr>
        <w:spacing w:after="0" w:line="76" w:lineRule="exact"/>
        <w:rPr>
          <w:sz w:val="20"/>
          <w:szCs w:val="20"/>
          <w:color w:val="auto"/>
        </w:rPr>
      </w:pPr>
    </w:p>
    <w:p>
      <w:pPr>
        <w:ind w:left="900" w:hanging="374"/>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patents and patent applications licensed from Caltech claiming linear cyclodextrin-containing polymers, methods of making the polymers, compositions containing the polymers, and methods of delivering the compositions (one issued United States patent expires in 2018 and foreign counterparts, where issued, expire in 2019). Foreign counterparts are issued and/or pending in other major markets, including Europe, China and Japan, as well as several other countries;</w:t>
      </w:r>
    </w:p>
    <w:p>
      <w:pPr>
        <w:spacing w:after="0" w:line="112" w:lineRule="exact"/>
        <w:rPr>
          <w:rFonts w:ascii="Times New Roman" w:cs="Times New Roman" w:eastAsia="Times New Roman" w:hAnsi="Times New Roman"/>
          <w:sz w:val="18"/>
          <w:szCs w:val="18"/>
          <w:color w:val="auto"/>
        </w:rPr>
      </w:pPr>
    </w:p>
    <w:p>
      <w:pPr>
        <w:ind w:left="900" w:right="120" w:hanging="374"/>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Cerulean-owned patents and patent applications claiming linear cyclodextrin-containing polymers and CDP-agent conjugates and formulations, methods of delivering and methods of making CDP-agent compositions, CRLX101 composition of matter and formulations, methods of delivering and methods of making the CRLX101 compositions, composition of matter and formulations relating to CRLX301, and methods of delivering and methods of making the compositions relating to CRLX301 (issued United States patents expire in 2023 or 2024 and foreign counterparts, where issued, expire in 2023). This family was assigned to us pursuant to our agreements with Calando. Foreign counterparts are issued and/or pending in other major markets, including Europe, China and Japan, as well as several other countries;</w:t>
      </w:r>
    </w:p>
    <w:p>
      <w:pPr>
        <w:spacing w:after="0" w:line="120" w:lineRule="exact"/>
        <w:rPr>
          <w:rFonts w:ascii="Times New Roman" w:cs="Times New Roman" w:eastAsia="Times New Roman" w:hAnsi="Times New Roman"/>
          <w:sz w:val="18"/>
          <w:szCs w:val="18"/>
          <w:color w:val="auto"/>
        </w:rPr>
      </w:pPr>
    </w:p>
    <w:p>
      <w:pPr>
        <w:ind w:left="900" w:right="220" w:hanging="374"/>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families of Cerulean-owned patent applications claiming methods of treating disorders, including cancers such as ovarian cancer and colorectal cancer (e.g., rectal cancer) by administering CRLX101, alone or in combination with other therapeutic agents (e.g., angiogenesis inhibitors) at selected doses and dosing schedules (United States patents and foreign counterparts would, if issued, expire between 2030 and 2034). One of these three families of Cerulean-owned patent applications was assigned to us under our agreements with Calando. Foreign counterparts for at least some of these families are pending in other major markets, including Europe, China and Japan, as well as several other countries;</w:t>
      </w:r>
    </w:p>
    <w:p>
      <w:pPr>
        <w:spacing w:after="0" w:line="120" w:lineRule="exact"/>
        <w:rPr>
          <w:rFonts w:ascii="Times New Roman" w:cs="Times New Roman" w:eastAsia="Times New Roman" w:hAnsi="Times New Roman"/>
          <w:sz w:val="18"/>
          <w:szCs w:val="18"/>
          <w:color w:val="auto"/>
        </w:rPr>
      </w:pPr>
    </w:p>
    <w:p>
      <w:pPr>
        <w:ind w:left="900" w:right="320" w:hanging="374"/>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families of Cerulean-owned patent applications claiming methods of treating various disorders, including, for example, cancer and inflammatory disorders, by administering CDP-agent conjugates, including for example, CRLX101 and CRLX301 and other CDP-agent conjugates (United States patents and foreign counterparts would, if issued, expire in 2031 or 2033). Foreign counterparts for at least some of these families are pending in other major markets, including Europe, China and Japan, as well as several other countries;</w:t>
      </w:r>
    </w:p>
    <w:p>
      <w:pPr>
        <w:spacing w:after="0" w:line="112" w:lineRule="exact"/>
        <w:rPr>
          <w:rFonts w:ascii="Times New Roman" w:cs="Times New Roman" w:eastAsia="Times New Roman" w:hAnsi="Times New Roman"/>
          <w:sz w:val="18"/>
          <w:szCs w:val="18"/>
          <w:color w:val="auto"/>
        </w:rPr>
      </w:pPr>
    </w:p>
    <w:p>
      <w:pPr>
        <w:ind w:left="900" w:right="100" w:hanging="374"/>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Cerulean-owned patent applications claiming CDP-taxane conjugate compositions of matter, including compositions relating to CRLX301, and methods of treating disorders, including cancer, by administering such a CDP-taxane conjugate alone or in combination with other therapeutic agents, at selected doses and dosing schedules (United States patents and foreign counterparts would, if issued, expire between 2030 and 2032). Foreign counterparts are pending in other major markets, including Europe, China and Japan, as well as several other countries; and</w:t>
      </w:r>
    </w:p>
    <w:p>
      <w:pPr>
        <w:spacing w:after="0" w:line="116" w:lineRule="exact"/>
        <w:rPr>
          <w:rFonts w:ascii="Times New Roman" w:cs="Times New Roman" w:eastAsia="Times New Roman" w:hAnsi="Times New Roman"/>
          <w:sz w:val="18"/>
          <w:szCs w:val="18"/>
          <w:color w:val="auto"/>
        </w:rPr>
      </w:pPr>
    </w:p>
    <w:p>
      <w:pPr>
        <w:ind w:left="900" w:right="220" w:hanging="374"/>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families of Cerulean-owned patent applications claiming technology relating to potential future product candidates, including CDP conjugates in which other therapeutic agents such as epothilones, proteosome inhibitors, peptides, and janus kinase inhibitors are covalently linked to the linear cyclodextrin-containing polymer or CDP conjugates administered in combination with another agent (United States patents and foreign counterparts would, if issued, expire between 2030 and 2035). One of these seven families of Cerulean-owned patent applications was assigned to us under our agreements with Calando.</w:t>
      </w:r>
    </w:p>
    <w:p>
      <w:pPr>
        <w:spacing w:after="0" w:line="200" w:lineRule="exact"/>
        <w:rPr>
          <w:sz w:val="20"/>
          <w:szCs w:val="20"/>
          <w:color w:val="auto"/>
        </w:rPr>
      </w:pP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CDP Platform Technology: Association of Therapeutic Agent to Polymer</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own through an assignment from Calando, or exclusively license from Caltech and Calando, six patent families generally directed to supramolecular complexes that include linear cyclodextrin-containing polymers and therapeutic agents where the polymers are cross-linked, e.g., with cross-linking agents. These patent families include over eight issued United States patents and over 11 issued foreign counterparts, as well as, over five United States patent applications and several foreign applications. These patents and patent applications, if issued, generally will expire between 2019 and 2030. These patent families include: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53" w:right="259" w:bottom="1440" w:gutter="0" w:footer="0" w:header="0"/>
        </w:sectPr>
      </w:pPr>
    </w:p>
    <w:bookmarkStart w:id="28" w:name="page29"/>
    <w:bookmarkEnd w:id="28"/>
    <w:p>
      <w:pPr>
        <w:ind w:left="900" w:hanging="374"/>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patents and patent applications licensed from Caltech claiming supramolecular complexes of linear cyclodextrin-containing polymers and therapeutic agents wherein the polymers are cross-linked, e.g., with cross-linking agents, and methods of making and delivering the supramolecular complexes (one issued United States patent expires in 2018 and foreign counterparts expire in 2019). A foreign counterpart patent issued in Europe; no other foreign protection is being pursued;</w:t>
      </w:r>
    </w:p>
    <w:p>
      <w:pPr>
        <w:spacing w:after="0" w:line="112"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patents and patent applications licensed from Calando and Caltech claiming compositions that include the following components:</w:t>
      </w:r>
    </w:p>
    <w:p>
      <w:pPr>
        <w:spacing w:after="0" w:line="27" w:lineRule="exact"/>
        <w:rPr>
          <w:rFonts w:ascii="Times New Roman" w:cs="Times New Roman" w:eastAsia="Times New Roman" w:hAnsi="Times New Roman"/>
          <w:sz w:val="18"/>
          <w:szCs w:val="18"/>
          <w:color w:val="auto"/>
        </w:rPr>
      </w:pP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cyclodextrin-containing polymer, (2) a complexing agent which includes a moiety that forms an inclusion complex with the cyclodextrin in the linear cyclodextrin-containing polymer and is covalently linked to a stabilizer or agent that increases solubility of the composition, a ligand which is covalently linked to the stabilizer or agent which increases solubility of the composition; and (3) a therapeutic agent, and methods of making these compositions and methods of treating patients by administering the compositions (issued United States patents expire between 2021 and 2022 and foreign counterparts, where issued, expire in 2021). Foreign counterparts are issued and/or pending in other major markets, including China and Japan, as well as several other countries;</w:t>
      </w:r>
    </w:p>
    <w:p>
      <w:pPr>
        <w:spacing w:after="0" w:line="122" w:lineRule="exact"/>
        <w:rPr>
          <w:rFonts w:ascii="Times New Roman" w:cs="Times New Roman" w:eastAsia="Times New Roman" w:hAnsi="Times New Roman"/>
          <w:sz w:val="18"/>
          <w:szCs w:val="18"/>
          <w:color w:val="auto"/>
        </w:rPr>
      </w:pPr>
    </w:p>
    <w:p>
      <w:pPr>
        <w:ind w:left="900" w:right="300" w:hanging="374"/>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families of patents and patent applications licensed from Calando claiming compositions comprising polynucleotides and cyclodextrin-containing polymers, and methods for the delivery of polynucleotides with a cyclodextrin-containing polymer (issued United States patents expire between 2026 and 2030 and foreign counterparts, where issued, expire between 2022 and 2029); and</w:t>
      </w:r>
    </w:p>
    <w:p>
      <w:pPr>
        <w:spacing w:after="0" w:line="108" w:lineRule="exact"/>
        <w:rPr>
          <w:rFonts w:ascii="Times New Roman" w:cs="Times New Roman" w:eastAsia="Times New Roman" w:hAnsi="Times New Roman"/>
          <w:sz w:val="18"/>
          <w:szCs w:val="18"/>
          <w:color w:val="auto"/>
        </w:rPr>
      </w:pPr>
    </w:p>
    <w:p>
      <w:pPr>
        <w:ind w:left="900" w:right="240" w:hanging="374"/>
        <w:spacing w:after="0" w:line="277"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family of Cerulean-owned patents and patent applications claiming polymer compositions that include a (1) linear biocompatible polymer with a plurality of inclusion hosts, (2) linking molecules, each linking molecule comprising moieties that form inclusion complexes with the inclusion hosts, and (3) at least one therapeutic agent covalently attached to a moiety that forms an inclusion complex with the inclusion hosts, wherein the linking molecules cross-link the polymer solely through inclusion complexes (one issued United States patent expires in 2028 and any additional United States patents, if issued, would expire in 2023; we are not pursuing foreign protection for this family).</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Polymeric Nanoparticles (PNP) Platform Technology: Small and Large Molecule Delivery</w:t>
      </w:r>
    </w:p>
    <w:p>
      <w:pPr>
        <w:spacing w:after="0" w:line="22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own, or exclusively license from MIT, 13 patent families which generally relate to nanoparticles containing selected polymers linked to a therapeutic agent or another molecule. These patent families include 18 United States patent applications and 36 foreign applications and one issued foreign patent. These patent applications, if issued, generally will expire between 2025 and 2035. These patent families include:</w:t>
      </w:r>
    </w:p>
    <w:p>
      <w:pPr>
        <w:spacing w:after="0" w:line="68" w:lineRule="exact"/>
        <w:rPr>
          <w:sz w:val="20"/>
          <w:szCs w:val="20"/>
          <w:color w:val="auto"/>
        </w:rPr>
      </w:pPr>
    </w:p>
    <w:p>
      <w:pPr>
        <w:jc w:val="both"/>
        <w:ind w:left="900" w:right="300" w:hanging="374"/>
        <w:spacing w:after="0" w:line="289"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families of patent applications licensed from MIT claiming nanoparticles containing selected polymers covalently linked to a therapeutic agent and nanometer-sized vehicles that include radionuclides for use in diagnostics (United States patents, if issued, would expire in 2025 or 2026 and foreign counterparts, if issued, would expire in 2025) A foreign counterpart for one of these families is pending in Europe;</w:t>
      </w:r>
    </w:p>
    <w:p>
      <w:pPr>
        <w:spacing w:after="0" w:line="90" w:lineRule="exact"/>
        <w:rPr>
          <w:rFonts w:ascii="Times New Roman" w:cs="Times New Roman" w:eastAsia="Times New Roman" w:hAnsi="Times New Roman"/>
          <w:sz w:val="17"/>
          <w:szCs w:val="17"/>
          <w:color w:val="auto"/>
        </w:rPr>
      </w:pPr>
    </w:p>
    <w:p>
      <w:pPr>
        <w:ind w:left="900" w:right="240" w:hanging="374"/>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Cerulean-owned patent applications claiming nanoparticles that include polymer-therapeutic agent conjugates, amphiphilic polymers and surfactants (United States patents and foreign counterparts, if issued, would expire in 2030). Foreign counterparts are pending in other major markets, including Europe, China and Japan, as well as several other countries;</w:t>
      </w:r>
    </w:p>
    <w:p>
      <w:pPr>
        <w:spacing w:after="0" w:line="108" w:lineRule="exact"/>
        <w:rPr>
          <w:rFonts w:ascii="Times New Roman" w:cs="Times New Roman" w:eastAsia="Times New Roman" w:hAnsi="Times New Roman"/>
          <w:sz w:val="18"/>
          <w:szCs w:val="18"/>
          <w:color w:val="auto"/>
        </w:rPr>
      </w:pPr>
    </w:p>
    <w:p>
      <w:pPr>
        <w:ind w:left="900" w:right="180" w:hanging="374"/>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families of Cerulean-owned patent applications claiming nanoparticles that include various combinations of polymer-therapeutic agent conjugates, amphiphilic polymers, cationic moieties and surfactants wherein the therapeutic agent is a nucleic acid agent (e.g., siRNA, mRNA, antisense molecule) and their use in nucleic acid delivery (United States patents and foreign counterparts, if issued, would expire between 2031 and 2035). Foreign counterparts for at least some of these families are pending in other major markets, including Europe, China and Japan, as well as several other countries;</w:t>
      </w:r>
    </w:p>
    <w:p>
      <w:pPr>
        <w:spacing w:after="0" w:line="116" w:lineRule="exact"/>
        <w:rPr>
          <w:rFonts w:ascii="Times New Roman" w:cs="Times New Roman" w:eastAsia="Times New Roman" w:hAnsi="Times New Roman"/>
          <w:sz w:val="18"/>
          <w:szCs w:val="18"/>
          <w:color w:val="auto"/>
        </w:rPr>
      </w:pPr>
    </w:p>
    <w:p>
      <w:pPr>
        <w:ind w:left="900" w:right="340" w:hanging="374"/>
        <w:spacing w:after="0" w:line="26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family of Cerulean-owned patent applications claiming nanoparticles that include various combinations of polymer-therapeutic agent conjugates, amphiphilic polymers, cationic moieties and surfactants wherein the therapeutic agent is a polypeptide (United States patents and foreign counterparts, if issued, would expire in 2031) Foreign counterparts are pending in other major markets, including Europe, China and Japan, as well as several other countries ;</w:t>
      </w:r>
    </w:p>
    <w:p>
      <w:pPr>
        <w:spacing w:after="0" w:line="112" w:lineRule="exact"/>
        <w:rPr>
          <w:rFonts w:ascii="Times New Roman" w:cs="Times New Roman" w:eastAsia="Times New Roman" w:hAnsi="Times New Roman"/>
          <w:sz w:val="18"/>
          <w:szCs w:val="18"/>
          <w:color w:val="auto"/>
        </w:rPr>
      </w:pPr>
    </w:p>
    <w:p>
      <w:pPr>
        <w:ind w:left="900" w:hanging="374"/>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families of Cerulean-owned patent applications claiming PNPs that include therapeutic agents such as epothilones and proteosome inhibitors that are covalently linked to the polymers contained in the PNP (United States patents, if issued, would expire in 2030; we are not pursuing foreign protection for this family); and</w:t>
      </w:r>
    </w:p>
    <w:p>
      <w:pPr>
        <w:spacing w:after="0" w:line="108" w:lineRule="exact"/>
        <w:rPr>
          <w:rFonts w:ascii="Times New Roman" w:cs="Times New Roman" w:eastAsia="Times New Roman" w:hAnsi="Times New Roman"/>
          <w:sz w:val="18"/>
          <w:szCs w:val="18"/>
          <w:color w:val="auto"/>
        </w:rPr>
      </w:pPr>
    </w:p>
    <w:p>
      <w:pPr>
        <w:ind w:left="900" w:right="880" w:hanging="374"/>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families of Cerulean-owned patents and patent applications claiming optimized PNP formulations that include the use of cyclic oligosaccharides as lyoprotectants, PNP platform technology to treat various disorders such as neurological and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45" w:right="259" w:bottom="1440" w:gutter="0" w:footer="0" w:header="0"/>
        </w:sectPr>
      </w:pPr>
    </w:p>
    <w:bookmarkStart w:id="29" w:name="page30"/>
    <w:bookmarkEnd w:id="29"/>
    <w:p>
      <w:pPr>
        <w:ind w:left="900" w:right="120"/>
        <w:spacing w:after="0" w:line="282" w:lineRule="auto"/>
        <w:rPr>
          <w:sz w:val="20"/>
          <w:szCs w:val="20"/>
          <w:color w:val="auto"/>
        </w:rPr>
      </w:pPr>
      <w:r>
        <w:rPr>
          <w:rFonts w:ascii="Times New Roman" w:cs="Times New Roman" w:eastAsia="Times New Roman" w:hAnsi="Times New Roman"/>
          <w:sz w:val="18"/>
          <w:szCs w:val="18"/>
          <w:color w:val="auto"/>
        </w:rPr>
        <w:t>metabolic disorders, and optimized methods of making PNPs (United States patents, if issued, would expire between 2031 and 2033 and foreign counterparts would expire in 2033).</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base term of a United States patent is 20 years from the filing date of the earliest-filed non-provisional patent application from which the patent claims priority. The term of a United States patent can be lengthened by patent term adjustment, which compensates the owner of the patent for administrative delays at the USPTO. In some cases, the term of a United States patent is shortened by terminal disclaimer that reduces its term to that of an earlier-expiring patent.</w:t>
      </w:r>
    </w:p>
    <w:p>
      <w:pPr>
        <w:spacing w:after="0" w:line="180"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The term of a United States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United States patent that includes at least one claim covering the composition of matter of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and Japan, have analogous patent term extension provisions which allow for extension of the term of a patent that covers a drug approved by the applicable foreign regulatory agency. In the future, if and when our pharmaceutical products receive FDA approval, we expect to apply for patent term extensions on patents covering those products, their methods of use, and/or methods of manufacture.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For example, significant elements of the making and formulating of our products are based on trade secrets and know-how that are not publicly disclosed. We protect trade secrets and know-how by establishing confidentiality agreements and invention assignment agreements with our employees, consultants, scientific advisors, contractors and commercial partners.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technology by third parties.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also seek trademark protection in the United States and in foreign jurisdictions where available and when appropriate. The name “CERULEAN” is a registered trademark in the United States, Australia, China, the European Union, India, Israel, Japan, South Korea, Liechtenstein, Mexico, Norway, Russia, Singapore, Switzerland, Turkey, and the Ukraine and is covered by pending applications for trademark registration in Canada and China. The trademark is solely owned by Cerulean Pharma Inc., in the field of pharmaceutical preparations as well as in the field of diagnostic and prognostic preparations. The Cerulean logo is a registered trademark in the United States and in Mexico and is solely owned by Cerulean Pharma Inc. The term “Leadership in Nanopharmaceuticals” is a registered trademark in the United States and is solely owned by Cerulean Pharma Inc. The symbol ™ indicates a common law trademark. Other service marks, trademarks and trade names appearing elsewhere in this Annual Report on Form 10-K are the property of their respective owners.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Assignments and In-License Agreements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Calando Pharmaceuticals, Inc.</w:t>
      </w:r>
    </w:p>
    <w:p>
      <w:pPr>
        <w:spacing w:after="0" w:line="22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In June 2009, we entered into two agreements with Calando, the CRLX101 Agreement and the Platform Agreement, each of which we subsequently amended. Under these agreements, Calando assigned and licensed to us certain assets. These assets include the clinical asset then known as IT-101, later renamed CRLX101, and rights to Calando’s cyclodextrin system for purposes of conjugating or complexing certain other therapeutic agents to the system.</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CRLX101 Agreement:</w:t>
      </w:r>
    </w:p>
    <w:p>
      <w:pPr>
        <w:spacing w:after="0" w:line="227"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Under the CRLX101 Agreement, we obtained certain rights to CRLX101. As noted below in the description of the Platform Agreement, Calando also assigned to us certain patents and patent applications, including, with respect to composition of matter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37" w:right="25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methods of use, for CRLX101. In addition, under the CRLX101 Agreement, Calando transferred ownership of the CRLX101 IND to Cerulean. Also, under the CRLX101 Agreement, Calando initially granted to us a worldwide, royalty bearing, exclusive (even as to Calando) license, with the right to grant sublicenses, to Calando’s interest under certain patents, patent applications, and know-how owned or controlled by Calando, to research, develop, make, have made, use, market, offer to sell, distribute, sell and import CRLX101 formulated for intravenous, intrarterial, intrathecal and/or intraperitoneal therapy, to treat and/or prevent disease in humans. As noted below in the description of the Caltech Agreement, all of the patents, patent applications and know-how that were initially licensed to us by Calando under the CRLX101 Agreement and upon which CRLX101 is dependent are now directly licensed to us by Caltech, and we retained the license described above from Calando for patents, patent applications and know-how that are directed to other aspects of the cyclodextrin system but on which CRLX101 is not dependent. For purposes of our obligations to Calando under the CRLX101 Agreement, we treat the intellectual property licensed to us by Caltech as if it were still licensed to us by Calando. These licensed and assigned patent rights are described in more detail above under “Intellectual Property.”</w:t>
      </w:r>
    </w:p>
    <w:p>
      <w:pPr>
        <w:spacing w:after="0" w:line="18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Under the CRLX101 Agreement, we are obligated to use commercially reasonable efforts to develop CRLX101 throughout the world and, following the first commercial sale of CRLX101 in a particular country, to make CRLX101 commercially available in such country.</w:t>
      </w:r>
    </w:p>
    <w:p>
      <w:pPr>
        <w:spacing w:after="0" w:line="16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Upon entering the CRLX101 Agreement, we paid Calando approximately $1.3 million, which included the purchase of CRLX101 drug substance and drug product inventory. If we achieve certain development and sales events with CRLX101, we are obligated to pay milestone payments which could total, in the aggregate, $32.8 million. If we or one of our affiliates sells CRLX101, we are also required to pay tiered royalty payments ranging from low-to mid-single digits, depending on whether or not there is patent protection for CRLX101 at the time of sale as a percentage of worldwide net sales. Our royalty payment obligations in a particular country begin on the date of first commercial sale of CRLX101 in that country and end on the later of ten years from the date of first commercial sale of CRLX101 in that country or the expiration of all patents licensed to us by Caltech or Calando, referred to as Licensed Patent Rights, or assigned to us by Calando, referred to as the Assigned Patent Rights, which cover CRLX101 in that country. With respect to CRLX101 that is developed and sold by an unaffiliated third party to whom we grant a license or sublicense under any of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sublicense income that we are obligated to pay Calando is in the low- to mid-double digits, and varies depending on the stage of development of CRLX101 at the time that we first provide or receive draft terms of a license arrangement with the third party that results in a license arrangement, unless the negotiations terminate, in which case the percentage depends on the development stage of CRLX101 when the negotiations restart.</w:t>
      </w:r>
    </w:p>
    <w:p>
      <w:pPr>
        <w:spacing w:after="0" w:line="18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We have the first right to enforce the Licensed Patent Rights and Assigned Patent Rights, other than one subset of licensed patents on which CRLX101 is not dependent, which Calando has the sole right to enforce.</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and Calando are required to indemnify each other for losses and expenses in connection with any third party claims arising out of the indemnifying party’s breach of the CRLX101 Agreement, the negligence or willful misconduct of the indemnifying party or its affiliates or sublicensees under the CRLX101 Agreement or any product liability arising out of CRLX101 developed, made, used or sold by or on behalf of the indemnifying party or its affiliates or sublicensees.</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CRLX101 Agreement will remain in effect until the expiration of all of our royalty obligations to Calando. We also have the right to terminate the CRLX101 Agreement for any reason on thirty days prior notice to Calando, in which case, unless we certify that the termination was due to specified safety concerns with CRLX101, we will grant Calando an exclusive (even as to Cerulean), royalty-free license, under the Assigned Patent Rights, to research, develop, make, have made, use, market, offer to sell, distribute, sell and import CRLX101, we will assign the IND for CRLX101 to Calando and, if consistent with our business plans, we will discuss granting Calando a license under know-how that we developed that relates to CRLX101. If we fail to meet our diligence obligations under the CRLX101 Agreement after a specified cure period, the license may convert to a non-exclusive license and we will have to grant Calando a non-exclusive license under the Assigned Patent Rights to research, develop, make, have made, use, market, offer to sell, distribute, sell and import CRLX101. If the license is converted to a non-exclusive license, the royalties payable to Calando will be reduced by a specified percentage. If we fail to meet our payment obligations under the agreement and are unable to cure such failure within specified time periods, Calando can terminate the agreement, we are obligated to grant Calando an exclusive (even as to Cerulean), royalty-free license, under the Assigned Patent Rights to research, develop, make, have made, use, market, offer to sell, distribute, sell and import CRLX101 and to assign the IND for CRLX101 to Calando, resulting in our loss of rights to CRLX101. If we or one of our affiliates challenges the validity or enforceability of any of the licensed patents, Calando has the right to terminate the agreement. For any breach of the CRLX101 Agreement not described above, the non-breaching party’s sole remedy if such breach is not cured within a specified time period is to seek money damages from the breaching party.</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Platform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553" w:right="259" w:bottom="1440" w:gutter="0" w:footer="0" w:header="0"/>
        </w:sectPr>
      </w:pPr>
    </w:p>
    <w:bookmarkStart w:id="31" w:name="page32"/>
    <w:bookmarkEnd w:id="31"/>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Under the Platform Agreement, Calando assigned to us the Assigned Patent Rights and granted to us a worldwide, royalty bearing, exclusive (even as to Calando) license, with the right to grant sublicenses, to Calando’s interest under certain patents, patent applications, and know-how owned or controlled by Calando (a) to conduct research and development on the cyclodextrin system, including making improvements thereto, in order to research, develop, make, have made, use, market, offer to sell, distribute, sell and import CDP-based Products and (b) to research, develop, make, have made, use, market, offer to sell, distribute, sell and import CDP-based Products. The field of the license is the treatment and/or prevention of disease in humans. CDP-based Products are defined as products conjugated or complexed to the cyclodextrin system, other than any products containing cytolysin, tubulysin, certain second generation epothilones or a nucleic acid, which we refer to as Retained Products, and CRLX101, which is covered by the CRLX101 Agreement described above. Under the Platform Agreement, we are obligated to use commercially reasonable efforts to develop CDP-based Products throughout the world and, following the first commercial sale of CDP-based Product in a particular country, to make CDP-based Product commercially available in such country. These exclusively licensed patent rights, as well as patent rights assigned to us pursuant to the agreement, are described in more detail above under “Intellectual Property.”</w:t>
      </w:r>
    </w:p>
    <w:p>
      <w:pPr>
        <w:spacing w:after="0" w:line="18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Upon entering the Platform Agreement, we paid to Calando approximately $1.2 million, which included the payment for assignment of the Assigned Patent Rights and cyclodextrin-containing polymers and precursor inventory. We granted Calando a worldwide, royalty-free, exclusive (even as to Cerulean), perpetual and irrevocable license, with the right to grant sublicenses, under the Assigned Patent Rights to research, develop, make, have made, use, market, offer to sell, sell and import the Retained Products.</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we achieve certain development and sales events with respect to any CDP-based Product, we are obligated to pay milestone payments which could total, in the aggregate, $18.0 million per CDP-based Product. Upon the initiation of our CRLX301 Phase 1 trial in 2014, we made a milestone payment of $250,000 to Calando. If we or one of our affiliates sells a CDP-based Product, we are also required to pay tiered royalty payments ranging from low-to mid-single digits, depending on whether or not there is patent protection at the time of sale, as a percentage of worldwide net sales. Our royalty payment obligations in a particular country begin on the first date of first commercial sale of the CDP-based Product in that country and end on the later of ten years from the date of first commercial sale of that CDP-based Product in that country or the expiration of all patents licensed or assigned from Calando which cover that CDP-based Product in that country. With respect to a CDP-based Product that is developed and sold by a third party to whom we grant a license or sublicense under any of the intellectual property that we licensed from Calando or that Calando assigned to us, we are required to pay Calando a percentage of the income we receive from the licensee or sublicensee to the extent attributable to such license or sublicense, subject to certain exceptions. The percentage of such sublicense income that we are obligated to pay Calando does not exceed the low-double digits.</w:t>
      </w:r>
    </w:p>
    <w:p>
      <w:pPr>
        <w:spacing w:after="0" w:line="18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We have the first right to enforce the licensed patent rights and the Assigned Patent Rights, other than one subset of licensed patents which Calando has the sole right to enforce.</w:t>
      </w:r>
    </w:p>
    <w:p>
      <w:pPr>
        <w:spacing w:after="0" w:line="162"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and Calando are required to indemnify each other for losses and expenses in connection with any third party claims arising out of the indemnifying party’s breach of the Platform Agreement, the negligence or willful misconduct of the indemnifying party or its affiliates or sublicensees under the Platform Agreement or any product liability arising out of a CDP-based Product developed, made, used or sold by or on behalf of the indemnifying party or its affiliates or sublicensees. Calando also indemnifies us for losses and expenses in connection with any third party claim arising out of a Retained Product developed, made, used or sold by or on behalf of Calando or its affiliates or licensees.</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Platform Agreement will remain in effect until the expiration of all of our royalty obligations to Calando. We also have the right to terminate the Platform Agreement for any reason on thirty days prior written notice to Calando, in which case we will grant Calando an exclusive (even as to Cerulean), royalty-free license, under Assigned Patent Rights, to research, develop, make, have made, use, market, offer to sell, distribute, sell and import the CDP-based Products and, if consistent with our business plans, we would discuss granting Calando a license under know-how that we developed that relates to the cyclodextrin system or CDP-based Products. If we fail to meet our diligence obligations under the agreement after a specified cure period, Calando may convert the license to a non-exclusive license and we will have to grant Calando a non-exclusive license under the Assigned Patent Rights to research, develop, make, have made, use, market, offer to sell, distribute, sell and import CDP-based Products. If the license is converted to a non-exclusive license, the royalties payable to Calando will be reduced by a certain percentage. If we fail to meet our payment obligations under the agreement and are unable to cure such failure within specified time periods, Calando can terminate the agreement, resulting in our loss of rights to the CDP-based Products and an obligation to grant Calando an exclusive (even as to Cerulean), royalty-free license, under the Assigned Patent Rights to research, develop, make, have made, use, market, offer to sell, distribute, sell and import CDP-based Products. If we or one of our affiliates challenges the validity or enforceability of any of the licensed patents, Calando has the right to terminate the agreement. For any breach of the Platform Agreement not described above, the non-breaching party’s sole remedy if such breach is not cured within a specified time period is to seek money damages from the breaching party.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of Technology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53" w:right="239" w:bottom="1440" w:gutter="0" w:footer="0" w:header="0"/>
        </w:sectPr>
      </w:pPr>
    </w:p>
    <w:bookmarkStart w:id="32" w:name="page33"/>
    <w:bookmarkEnd w:id="32"/>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Certain of the patents, patent applications, and know-how licensed to us under the CRLX101 Agreement and the Platform Agreement were licensed to Calando by the California Institute of Technology, or Caltech, pursuant to an agreement entered into between Calando and Caltech in May 2000 and subsequently amended, which we refer to as the Calando/Caltech Agreement. In August 2013, we entered into an agreement with Calando and Caltech under which Calando terminated its rights and obligations under the Calando/Caltech Agreement and Caltech agreed to directly honor the exclusive license, including the right to grant further sublicenses, granted to us by Calando under the Caltech intellectual property formerly licensed to Calando.</w:t>
      </w:r>
    </w:p>
    <w:p>
      <w:pPr>
        <w:spacing w:after="0" w:line="184"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are obligated to pay Caltech minimum annual royalties and the costs it incurs to prosecute and maintain the licensed patent rights. We may offset those prosecution and maintenance costs against any milestones or royalties that we owe to Calando under the CRLX101 Agreement or the Platform Agreement.</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Following the earlier of our receipt of notice from Calando that it has made certain payments to third parties or the first anniversary of the first commercial sale of a product covered by the Caltech patent rights, we will directly pay to Caltech the amounts that it would have been entitled to receive from Calando with respect to our sales of the licensed products, and we will pay to Calando the remainder of the royalties we owe them under the CRLX101 Agreement and the Platform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first right to enforce the Caltech licensed patent rights.</w:t>
      </w:r>
    </w:p>
    <w:p>
      <w:pPr>
        <w:spacing w:after="0" w:line="225"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We may terminate our rights and obligations to Caltech and Calando with respect to any of the Caltech licensed intellectual property either in its entirety or as to any jurisdiction or as to any part of the intellectual property upon a specified period of prior notice to Caltech and Calando. Caltech has the right to terminate the agreement if we fail to make a payment, or otherwise materially breach the agreement, and fail to cure such breach within specified grace periods.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Massachusetts Institute of Technology</w:t>
      </w:r>
    </w:p>
    <w:p>
      <w:pPr>
        <w:spacing w:after="0" w:line="22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December 2006, we entered into an exclusive license agreement with MIT, which we refer to as the MIT Agreement. The MIT Agreement has been amended five times, including to extend or suspend the time period for achieving certain diligence milestones, and the most recent amendment was entered into in February 2015. Under the MIT Agreement, we have a worldwide exclusive license, with the right to grant sublicenses, in all human and veterinary therapeutic and diagnostic areas, under certain patent rights owned by MIT, to develop, make, have made, use, sell, offer to sell, lease and import products covered by the licensed patent rights, and to develop and perform licensed processes. These exclusively licensed patent rights are described in more detail above under “Intellectual Property.”</w:t>
      </w:r>
    </w:p>
    <w:p>
      <w:pPr>
        <w:spacing w:after="0" w:line="18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are required to use commercially diligent efforts to develop licensed products or licensed processes, to introduce licensed products or licensed processes into the commercial market and thereafter to make licensed products or licensed processes reasonably available to the public. By June 1, 2015, we are required to present MIT with a plan, satisfactory to MIT, to develop the licensed products and a proposal for specific diligence terms for licensed products. We and MIT will then negotiate in good faith the diligence terms, but if we and MIT are unable to agree to such diligence terms by the end of September 2015, MIT will have the right, in its sole discretion, to terminate the agreement. If, prior to the end of September 2015, MIT becomes aware that another party with whom we are not in active negotiations wishes to obtain a license under the patent rights and we have not yet submitted a satisfactory development plan to MIT, MIT will request a development plan from us and from the other party, and MIT will select either our development plan or the other party’s development plan based on MIT’s determination of which plan is in the best interests of commercializing the licensed patents. If MIT selects the other party’s development plan, MIT may, in its sole discretion, terminate the exclusive license agreement with us, limit our field of use under the exclusive license agreement, or convert our exclusive license to a non-exclusive license.</w:t>
      </w:r>
    </w:p>
    <w:p>
      <w:pPr>
        <w:spacing w:after="0" w:line="18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Under the MIT Agreement, as of December 31, 2014, we had paid MIT approximately $0.5 million in the aggregate, consisting of annual maintenance fees and reimbursement of patent-related fees incurred by MIT, and we issued a certain number of shares of our common stock to MIT and individuals affiliated with MIT. We are obligated to pay MIT annual license maintenance fees that escalate beginning in January 2015. We are also obligated to pay royalties at a low single digit percentage of net sales of licensed products or licensed processes by us, our affiliates or our sublicenses. We are also required to pay a percentage, in the low-double digits, of the payments we receive from our sublicensees which are attributable to the granting of a sublicense under the licensed patents, subject to certain exclusions.</w:t>
      </w:r>
    </w:p>
    <w:p>
      <w:pPr>
        <w:spacing w:after="0" w:line="18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MIT retains the right to practice the licensed patent rights for research, teaching and educational purposes. We may not assert the licensed patents against any non-profit entity using the licensed patents for research purposes not benefitting a for-profit entity.</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Any of the licensed patent rights claiming inventions that were funded by the government are subject to certain rights retained by the United States government under a law commonly called the Bayh-Dole Act. These rights include, among other things,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53" w:right="23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royalty-free, non-exclusive license for the United States government to practice these inventions. Any products used or sold in the United States and covered by these patents must be substantially manufactured in the United States, unless a waiver is obtained from the U.S. government.</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MIT controls prosecution and maintenance of the licensed patents. We are responsible for all costs associated with filing, prosecuting and maintaining the licensed patent rights. As long as our license remains exclusive, we have the first right to enforce the licensed patents against infringers in the licensed field.</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are required to indemnify MIT for any liabilities and expenses in connection with any claims concerning any licensed product, process or service under the MIT Agreement.</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the right to terminate the agreement for any reason by providing MIT with a specified amount of prior written notice. MIT has the right to terminate the agreement if we cease to carry on our business related to the agreement, if we fail to pay any amounts due and payable under the agreement, subject to a grace period, or if we materially breach the agreement and fail to cure such breach within specified grace periods. The MIT Agreement otherwise terminates, on a country-by-country basis, upon the expiration or abandonment of all licensed patents and patent applications.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Research Foundation of State University of New York on behalf of University at Buffalo</w:t>
      </w:r>
    </w:p>
    <w:p>
      <w:pPr>
        <w:spacing w:after="0" w:line="227"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August 2007, we entered into an exclusive license agreement with The Research Foundation of State University of New York on behalf of University at Buffalo, which we refer to as the SUNY Agreement. The SUNY Agreement has been amended four times, including to extend the time period for achieving certain diligence milestones, and the most recent amendment was entered into in September 2013. Under the SUNY Agreement, we have a worldwide, royalty bearing, exclusive license, with the right to grant sublicenses, for the treatment and/or prevention of disease in humans, under certain patent rights owned by SUNY, to research, develop, make, have made, use, offer for sale, sell, have sold, import and export certain products covered by the licensed patent rights.</w:t>
      </w:r>
    </w:p>
    <w:p>
      <w:pPr>
        <w:spacing w:after="0" w:line="188" w:lineRule="exact"/>
        <w:rPr>
          <w:sz w:val="20"/>
          <w:szCs w:val="20"/>
          <w:color w:val="auto"/>
        </w:rPr>
      </w:pPr>
    </w:p>
    <w:p>
      <w:pPr>
        <w:ind w:right="80" w:firstLine="560"/>
        <w:spacing w:after="0" w:line="256" w:lineRule="auto"/>
        <w:rPr>
          <w:sz w:val="20"/>
          <w:szCs w:val="20"/>
          <w:color w:val="auto"/>
        </w:rPr>
      </w:pPr>
      <w:r>
        <w:rPr>
          <w:rFonts w:ascii="Times New Roman" w:cs="Times New Roman" w:eastAsia="Times New Roman" w:hAnsi="Times New Roman"/>
          <w:sz w:val="18"/>
          <w:szCs w:val="18"/>
          <w:color w:val="auto"/>
        </w:rPr>
        <w:t>We are required to diligently proceed with the research, development, manufacture, use and sale of licensed products under the agreement, to use commercially reasonable efforts to commercialize and market licensed products as soon as practicable, and to make licensed products available on commercially reasonable terms once introduced into the marketplace. In particular, we are required to fulfill specific development and regulatory milestones by particular dates and, during each calendar year prior to the first commercial sale of a licensed product, spend a specified amount on the research, development or commercialization of licensed products or precursor technologies or products, and if we fail to do so SUNY may elect to increase our license maintenance fee and, in the case of a second failure, our exclusive license will be converted to a non-exclusive license.</w:t>
      </w:r>
    </w:p>
    <w:p>
      <w:pPr>
        <w:spacing w:after="0" w:line="18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Under the SUNY Agreement, as of December 31, 2014, we had paid SUNY approximately $0.2 million in the aggregate, consisting of an upfront license fee, a field-of-use expansion fee, annual maintenance fees and reimbursement of patent-related fees incurred by SUNY. We are also obligated to pay SUNY an escalating annual license maintenance fee and development milestone payments which could total, in the aggregate, less than $0.1 million and royalties in the low single digits as a percentage of net sales by us, our affiliates or our sublicensees of licensed products.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SUNY retains the right to practice the licensed patent rights for educational purposes and internal research and development, including collaborations with researchers at other academic and non-profit research institutions. Any of the licensed patent rights claiming inventions that were funded by the government are subject to certain rights retained by the United States government under a law commonly called the Bayh-Dole Act. These rights include, among other things, a royalty-free, non-exclusive license for the United States government to practice these inventions. Any products used or sold in the United States and covered by these patents must be substantially manufactured in the United States, unless a waiver is obtained from the U.S. government.</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SUNY controls prosecution and maintenance of the licensed patents, although we have an approval right over certain actions. We reimburse SUNY for all reasonable costs associated with filing, prosecuting and maintaining the licensed patent rights. SUNY has the first right to enforce the licensed patents against infringers in the licensed field. We have the right to enforce the licensed patents if SUNY does not institute an infringement action within a specified period of time.</w:t>
      </w:r>
    </w:p>
    <w:p>
      <w:pPr>
        <w:spacing w:after="0" w:line="180"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We are required to indemnify SUNY for any claims and expenses resulting from the exercise or practice of the license granted to us, including liabilities arising from the production, manufacture, sale, use, lease or advertisement of the licensed products.</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SUNY Agreement will remain in effect until the expiration of all licensed patents and patent applications, unless we elect to earlier terminate the entire license, or the license with respect to certain patent families, subject to providing SUNY with a specified amount of prior written notice. SUNY has the right to terminate the SUNY Agreement if we have a bankruptcy action filed against us, have a receiver appointed for us, or if we materially breach the agreement, and fail to cure such situation or breach within a specified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53" w:right="259" w:bottom="1440" w:gutter="0" w:footer="0" w:header="0"/>
        </w:sectPr>
      </w:pPr>
    </w:p>
    <w:bookmarkStart w:id="34" w:name="page35"/>
    <w:bookmarkEnd w:id="34"/>
    <w:p>
      <w:pPr>
        <w:ind w:right="600"/>
        <w:spacing w:after="0" w:line="282" w:lineRule="auto"/>
        <w:rPr>
          <w:sz w:val="20"/>
          <w:szCs w:val="20"/>
          <w:color w:val="auto"/>
        </w:rPr>
      </w:pPr>
      <w:r>
        <w:rPr>
          <w:rFonts w:ascii="Times New Roman" w:cs="Times New Roman" w:eastAsia="Times New Roman" w:hAnsi="Times New Roman"/>
          <w:sz w:val="18"/>
          <w:szCs w:val="18"/>
          <w:color w:val="auto"/>
        </w:rPr>
        <w:t>grace period. The SUNY Agreement will automatically terminate if we cease to carry on our business, file for bankruptcy, become insolvent, make an assignment for the benefit of creditors, or we challenge the validity or enforceability of any of the licensed patents.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of our product candidates for preclinical studies and clinical trials and intend to do so in the future. We do not own or operate manufacturing facilities for the production of clinical or commercial quantities of our product candidates. We currently have no plans to build our own clinical or commercial scale manufacturing capabilities. To meet our projected needs for commercial manufacturing, third parties with whom we currently work will need to increase their scale of production or we will need to secure alternate suppliers. Although we rely on contract manufacturers, we have personnel with manufacturing experience to oversee our relationships with contract manufacturers.</w:t>
      </w:r>
    </w:p>
    <w:p>
      <w:pPr>
        <w:spacing w:after="0" w:line="184"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contract manufacturers have manufactured what we believe to be sufficient quantities of CRLX101 drug product to support clinical trials through 2015, and have begun manufacturing additional supplies to continue clinical development of CRLX101 beyond 2015. The current drug substance and drug product manufacturing processes for CRLX101 are scaled to support Phase 2/3 clinical development under current Good Manufacturing Practice, or cGMP, standards, and we believe are adequate to support further development and scale up for commercial demand at a reasonable cost of goods. While we believe that our existing supplier of drug substance is capable of producing drug substance in commercial quantities, we have also identified a new third party manufacturer capable of providing commercial quantities of drug product. If we are unable to arrange for third-party manufacturing with this or other alternative vendors, or fail to do so on commercially reasonable terms, we may not be able to successfully produce and market CRLX101.</w:t>
      </w:r>
    </w:p>
    <w:p>
      <w:pPr>
        <w:spacing w:after="0" w:line="18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Processes for producing CRLX301 have been developed and used successfully to produce drug substance and drug product for GLP safety studies and cGMP Phase 1 clinical supply.</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Both CRLX101 and CRLX301 include complicated polymer backbone structures as well as cytotoxic agents. Although these characteristics may limit alternative third party manufacturers, we believe that there are alternate sources of supply that can satisfy our clinical and commercial requirements, and we have or are pursuing back-up suppliers for certain stages of the manufacturing process. We cannot be certain, however, that identifying and establishing relationships with additional alternate sources, if necessary, would not result in significant delay or material additional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intend to build the commercial infrastructure in the United States necessary to effectively support the commercialization of CRLX101, if approved, and future oncology products, if approved. The commercial infrastructure for specialty oncology products typically consists of a targeted, specialty sales force that calls on a limited and focused group of physicians supported by sales management, internal sales support, an internal marketing group and distribution support. Additional capabilities important to the oncology marketplace include the management of key accounts such as managed care organizations, group-purchasing organizations, specialty pharmacies, oncology group networks and government accounts.</w:t>
      </w:r>
    </w:p>
    <w:p>
      <w:pPr>
        <w:spacing w:after="0" w:line="184" w:lineRule="exact"/>
        <w:rPr>
          <w:sz w:val="20"/>
          <w:szCs w:val="20"/>
          <w:color w:val="auto"/>
        </w:rPr>
      </w:pPr>
    </w:p>
    <w:p>
      <w:pPr>
        <w:ind w:right="580" w:firstLine="518"/>
        <w:spacing w:after="0" w:line="261" w:lineRule="auto"/>
        <w:rPr>
          <w:sz w:val="20"/>
          <w:szCs w:val="20"/>
          <w:color w:val="auto"/>
        </w:rPr>
      </w:pPr>
      <w:r>
        <w:rPr>
          <w:rFonts w:ascii="Times New Roman" w:cs="Times New Roman" w:eastAsia="Times New Roman" w:hAnsi="Times New Roman"/>
          <w:sz w:val="18"/>
          <w:szCs w:val="18"/>
          <w:color w:val="auto"/>
        </w:rPr>
        <w:t>Based on the number of physicians who treat RCC, ovarian, and rectal cancer and the size of competitive sales forces, we believe that we can effectively target the relevant U.S. market with a focused sales force. If CRLX101 is approved in additional indications, we might need to increase the number of representatives. To develop the appropriate U.S. commercial infrastructure, we will have to invest significant amounts of financial and management resources.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future, we may utilize one or more strategic partners to optimally commercialize CRLX101 and our other products globally.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and the successful outcome of those processes cannot be guaranteed.</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53" w:right="239" w:bottom="1440" w:gutter="0" w:footer="0" w:header="0"/>
        </w:sectPr>
      </w:pPr>
    </w:p>
    <w:bookmarkStart w:id="35" w:name="page36"/>
    <w:bookmarkEnd w:id="35"/>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governmental entities.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900" w:right="2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94"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157" w:lineRule="exact"/>
        <w:rPr>
          <w:rFonts w:ascii="Times New Roman" w:cs="Times New Roman" w:eastAsia="Times New Roman" w:hAnsi="Times New Roman"/>
          <w:sz w:val="18"/>
          <w:szCs w:val="18"/>
          <w:color w:val="auto"/>
        </w:rPr>
      </w:pPr>
    </w:p>
    <w:p>
      <w:pPr>
        <w:ind w:left="90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clinical trial(s) by an independent institutional review board(s), or IRB(s), representing each clinical site before each clinical trial may be initiated;</w:t>
      </w:r>
    </w:p>
    <w:p>
      <w:pPr>
        <w:spacing w:after="0" w:line="94" w:lineRule="exact"/>
        <w:rPr>
          <w:rFonts w:ascii="Times New Roman" w:cs="Times New Roman" w:eastAsia="Times New Roman" w:hAnsi="Times New Roman"/>
          <w:sz w:val="18"/>
          <w:szCs w:val="18"/>
          <w:color w:val="auto"/>
        </w:rPr>
      </w:pPr>
    </w:p>
    <w:p>
      <w:pPr>
        <w:ind w:left="90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94"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summarizing available data to support the proposed approval of the new drug product for the proposed use;</w:t>
      </w:r>
    </w:p>
    <w:p>
      <w:pPr>
        <w:spacing w:after="0" w:line="94"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as may be requested by the FDA to assist with its review;</w:t>
      </w:r>
    </w:p>
    <w:p>
      <w:pPr>
        <w:spacing w:after="0" w:line="157" w:lineRule="exact"/>
        <w:rPr>
          <w:rFonts w:ascii="Times New Roman" w:cs="Times New Roman" w:eastAsia="Times New Roman" w:hAnsi="Times New Roman"/>
          <w:sz w:val="18"/>
          <w:szCs w:val="18"/>
          <w:color w:val="auto"/>
        </w:rPr>
      </w:pPr>
    </w:p>
    <w:p>
      <w:pPr>
        <w:jc w:val="both"/>
        <w:ind w:left="900" w:right="20" w:hanging="374"/>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08"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(per published PDUFA guidelines for that year) and securing FDA approval of the NDA; and</w:t>
      </w:r>
    </w:p>
    <w:p>
      <w:pPr>
        <w:spacing w:after="0" w:line="157"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227"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Nonclinical studies include laboratory evaluation of the purity and stability of the manufactured drug substance or active pharmaceutical ingredient and the formulated drug or drug product. They also include in vitro and animal studies to assess the safety and activity of the drug to start dose assessment for initial testing in humans and to further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studies, among other things, are submitted to the FDA as part of an IND for clinical investigation in the U.S. Some long-term preclinical testing, such as animal tests of reproductive adverse events and carcinogenicity, may continue after the IND is submitted.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IND and 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w:t>
      </w:r>
    </w:p>
    <w:p>
      <w:pPr>
        <w:spacing w:after="0" w:line="189"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major amendments and informed consent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53" w:right="239" w:bottom="1440" w:gutter="0" w:footer="0" w:header="0"/>
        </w:sectPr>
      </w:pPr>
    </w:p>
    <w:bookmarkStart w:id="36" w:name="page37"/>
    <w:bookmarkEnd w:id="36"/>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Phase 1: Phase 1 includes the initial introduction of an investigational new drug into humans. Phase 1 studies are typically closely monitored and may be conducted in patients or normal volunteer subjects. These studies are designed to determine the metabolism and pharmacologic actions of the drug in humans, the toxicities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The total number of subjects and patients included in Phase 1 studies varies with the drug, but are generally smaller than later stage studies. Phase 1 studies also include studies of drug metabolism, structure-activity relationships, and mechanism of action in humans, as well as studies in which investigational drugs are used as research tools to explore biological phenomena or disease processes.</w:t>
      </w:r>
    </w:p>
    <w:p>
      <w:pPr>
        <w:spacing w:after="0" w:line="189"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Phase 2: 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well controlled, closely monitored, and conducted in a relatively small number of patients, usually involving no more than several hundred subjects.</w:t>
      </w:r>
    </w:p>
    <w:p>
      <w:pPr>
        <w:spacing w:after="0" w:line="176"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Phase 3: Phase 3 studies are expanded trials, generally at geographically dispersed clinical trial sites.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80"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through the IND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w:t>
      </w:r>
    </w:p>
    <w:p>
      <w:pPr>
        <w:spacing w:after="0" w:line="18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order to protect the rights and welfare of human research subjects and to verify the quality and integrity of data submitted to the FDA in support of marketing applications, the FDA monitors all aspects of FDA-regulated research through a comprehensive program of on-site inspections and data audits. Under the Agency's Bioresearch Monitoring Program, FDA field investigators and headquarters' scientists conduct site visits of research sponsors, clinical investigators, contract research organizations, IRBs, radioactive drug research committees, and non-clinical (animal) laboratories.</w:t>
      </w:r>
    </w:p>
    <w:p>
      <w:pPr>
        <w:spacing w:after="0" w:line="18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general, the FDA accepts foreign safety and efficacy studies that were not conducted under an IND provided that they are well designed, well conducted, performed by qualified investigators, and conducted in accordance with ethical principles acceptable to the world community. The conduct of these studies must meet at least minimum standards for assuring human subject protection. Therefore, for studies submitted in support of an NDA that were conducted outside the U.S. and not under an IND, the agency requires demonstration that such studies were conducted in accordance with Good Clinical Practices.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w:t>
      </w:r>
    </w:p>
    <w:p>
      <w:pPr>
        <w:spacing w:after="0" w:line="54" w:lineRule="exact"/>
        <w:rPr>
          <w:sz w:val="20"/>
          <w:szCs w:val="20"/>
          <w:color w:val="auto"/>
        </w:rPr>
      </w:pPr>
    </w:p>
    <w:p>
      <w:pPr>
        <w:ind w:left="900" w:hanging="374"/>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have a serious or immediately life-threatening disease or condition, and there is no comparable or satisfactory alternative therapy to diagnose, monitor, or treat the disease or condition;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553" w:right="259" w:bottom="1440" w:gutter="0" w:footer="0" w:header="0"/>
        </w:sectPr>
      </w:pPr>
    </w:p>
    <w:bookmarkStart w:id="37" w:name="page38"/>
    <w:bookmarkEnd w:id="37"/>
    <w:p>
      <w:pPr>
        <w:ind w:left="900" w:hanging="374"/>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patient benefit justifies the potential risks of the treatment and the potential risks are not unreasonable in the context of the disease or condition to be treated; and</w:t>
      </w:r>
    </w:p>
    <w:p>
      <w:pPr>
        <w:spacing w:after="0" w:line="94"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FDA regulations allow access to investigational drugs under an IND by the company or the treating physician (see investigator-sponsored trials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treatment purposes on a case-by-case basis for:</w:t>
      </w:r>
    </w:p>
    <w:p>
      <w:pPr>
        <w:spacing w:after="0" w:line="99" w:lineRule="exact"/>
        <w:rPr>
          <w:sz w:val="20"/>
          <w:szCs w:val="20"/>
          <w:color w:val="auto"/>
        </w:rPr>
      </w:pPr>
    </w:p>
    <w:p>
      <w:pPr>
        <w:ind w:left="900" w:hanging="37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patients (single-patient IND applications for treatment in emergency settings and non-emergency settings);</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intermediate-size patient populations (groups of patients, n &gt;1); and</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populations for use of the drug under a treatment protocol or Treatment IND Application.</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Investigator Sponsored Trials</w:t>
      </w:r>
    </w:p>
    <w:p>
      <w:pPr>
        <w:spacing w:after="0" w:line="227"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Investigator sponsored trials are clinical trials where the investigator of the trial is also the “sponsor” of the trial for regulatory purposes. An “investigator” conducts clinical investigations and is the person under whose immediate direction the study drug is administered or dispensed to patients. A “sponsor” initiates and takes responsibility for a clinical investigation. A person who both initiates and conducts a clinical trial, and is responsible for all regulatory requirements, is designated as a “sponsor-investigator” by the FDA. Clinical investigators at academic medical centers who initiate clinical trials with a lawfully marketed drug to be used in a patient population or investigational (unapproved) indication often fit within this designation. In addition, as is the case with our investigator-sponsored trials, a company may provide a sponsor-investigator with supply of its unapproved product candidate and funding for the trial. Investigators who initiate and conduct such trials are responsible for obtaining an IND from the FDA and for ensuring compliance with the IND and associated regulatory requirements. As provided by the FDA’s regulations, the sponsor of a clinical trial is responsible for, among other things, selecting qualified investigators, providing them with the information they need to conduct the trial properly, ensuring proper monitoring of the trial, ensuring that the trial is conducted in accordance with the protocols contained in the IND, maintaining an effective IND with respect to the trial, and ensuring that the FDA, the company, and all participating investigators are promptly informed of significant new adverse effects or risks with respect to the drug. In contrast, in a company-sponsored trial, the pharmaceutical company whose drug will be studied is the sponsor of the trial and, as such, is responsible for ensuring compliance with all regulatory requirements, including obtaining the IND.</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our ongoing investigator sponsored trials of CRLX101, we have entered into agreements with the institutions at which the trials are being conducted. The terms of these agreements are customary and generally provide that (a) the institution is responsible for obtaining and maintaining any necessary IND for the trial, for conducting the trial in accordance with an agreed upon protocol and applicable regulatory requirements and for safety reporting to us, the IRB, and the FDA, (b) the institution grants to us a license to use the trial data for any legally permissible purpose and assigns to us all intellectual property rights relating to the trial drug developed during the course of the agreement, (c) we are responsible for supplying the trial drug and making agreed upon payments to the institution to fund the trial and (d) the term of the agreement is the duration of the applicable trial, however, the agreement can be terminated for convenience with notice, upon the request of an applicable regulatory agency, for safety reasons or following an uncured material breach by the other party.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22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Detailed information and results from preclinical and clinical studies and other requirements relating to the product’s chemistry, manufacture, controls and proposed labeling are submitted to the FDA as part of an NDA requesting approval to market the drug product for one or more indications. Under federal law, the submission of most NDAs is additionally subject to an application user fee, currently exceeding $2.3 million, and the sponsor of an approved NDA is also subject to annual product and establishment user fees, currently exceeding $110,000 per product and $569,000 per establishment for fiscal year 2015. These fees are typically increased annually. Important exceptions or waivers for user fees include:</w:t>
      </w:r>
    </w:p>
    <w:p>
      <w:pPr>
        <w:spacing w:after="0" w:line="76" w:lineRule="exact"/>
        <w:rPr>
          <w:sz w:val="20"/>
          <w:szCs w:val="20"/>
          <w:color w:val="auto"/>
        </w:rPr>
      </w:pPr>
    </w:p>
    <w:p>
      <w:pPr>
        <w:jc w:val="both"/>
        <w:ind w:left="900" w:hanging="374"/>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company (fewer than 500 employees, including employees and affiliates) may submit a written request for a waiver by the FDA to waive the application fee for its first human drug application. After a waiver for a first human drug application is granted, the small business is assessed appropriate user fees for all subsequent human drug applications and supplements submitted for review.</w:t>
      </w:r>
    </w:p>
    <w:p>
      <w:pPr>
        <w:spacing w:after="0" w:line="216"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with Orphan Drug Designation for a particular indication are not subject to an application user fee provided there are no other intended uses in the NDA.</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ind w:firstLine="518"/>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“Standard review”, representing most such applications is generally reviewed within ten months from the date of filing. “Priority review”, as may be designated by the FDA for a drug that treats a serious condition and, if approved, would provide a significant improvement in safety or effectiveness, are targeted to be reviewed within six months from the date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 inspections usually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meeting specific criteria to assure compliance with GCP. The FDA may also inspect the company to evaluate, for example, processes, safety reporting procedures, training and compliance with US regulations as the sponsor.</w:t>
      </w:r>
    </w:p>
    <w:p>
      <w:pPr>
        <w:spacing w:after="0" w:line="18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risk evaluation and mitigation strategy or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8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22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intended to expedite drug development, and priority review designation, intended to expedite review and approval of an NDA.</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For fast track products, sponsors may have greater interactions with the FDA regarding drug development and the company may submit sections of a fast track product’s NDA before the application is complete. A rolling review must be communicated to and agreed upon by the FDA. The sponsor must also provide, and the FDA must approve, a schedule for the submission of the remaining information. The sponsor must pay the applicable user fee upon submission of the first module in the rolling submission. However, the FDA’s time period goal for reviewing a rolling NDA does not begin until the last module of the NDA is submitted. Notably, fast track designation may be withdrawn by the FDA if the FDA believes that the designation is no longer supported by data emerging in the clinical trial process.</w:t>
      </w:r>
    </w:p>
    <w:p>
      <w:pPr>
        <w:spacing w:after="0" w:line="185"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In 2012, Congress enacted the Food and Drug Administration Safety and Improvement Act, or FDASIA. This law established a new regulatory scheme allowing for expedited review of products designated as “breakthrough therapies.” A product may be 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increased meetings with the sponsor throughout the development process; providing timely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53" w:right="239" w:bottom="1440" w:gutter="0" w:footer="0" w:header="0"/>
        </w:sectPr>
      </w:pPr>
    </w:p>
    <w:bookmarkStart w:id="39" w:name="page40"/>
    <w:bookmarkEnd w:id="39"/>
    <w:p>
      <w:pPr>
        <w:ind w:right="180"/>
        <w:spacing w:after="0" w:line="266" w:lineRule="auto"/>
        <w:rPr>
          <w:sz w:val="20"/>
          <w:szCs w:val="20"/>
          <w:color w:val="auto"/>
        </w:rPr>
      </w:pPr>
      <w:r>
        <w:rPr>
          <w:rFonts w:ascii="Times New Roman" w:cs="Times New Roman" w:eastAsia="Times New Roman" w:hAnsi="Times New Roman"/>
          <w:sz w:val="18"/>
          <w:szCs w:val="18"/>
          <w:color w:val="auto"/>
        </w:rPr>
        <w:t>advice to the product sponsor regarding development and approval; involving more senior staff in the review process; assigning a cross-disciplinary project lead for the review team; and taking other steps to design the clinical trials in an efficient manner. In oncology, new products with breakthrough therapy designation have occasionally been approved well before the PDUFA review timeline, even for priority review, has elapsed.</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An NDA for a drug will receive priority review designation by the FDA if it is a drug that treats a serious condition and, if approved, would provide a significant improvement in safety or effectiveness. The FDA determines, on a case-by-case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 after the application is accepted for filing.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227"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89" w:lineRule="exact"/>
        <w:rPr>
          <w:sz w:val="20"/>
          <w:szCs w:val="20"/>
          <w:color w:val="auto"/>
        </w:rPr>
      </w:pPr>
    </w:p>
    <w:p>
      <w:pPr>
        <w:jc w:val="both"/>
        <w:ind w:right="60" w:firstLine="51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Accelerated approval will be subject to the requirement that the applicant study the drug further, to verify and describe its clinical benefit, where there is uncertainty as to the relation of the surrogate endpoint to clinical benefit, or of the observed clinical benefit to ultimate outcome. Post-marketing studies would usually be studies already underway. When required to be conducted, such studies must also be adequate and well-controlled. The applicant shall carry out any such studies with due diligence.</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additional, sometimes substantial,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553" w:right="279" w:bottom="1440" w:gutter="0" w:footer="0" w:header="0"/>
        </w:sectPr>
      </w:pPr>
    </w:p>
    <w:bookmarkStart w:id="40" w:name="page41"/>
    <w:bookmarkEnd w:id="40"/>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or without clinical data.</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900" w:hanging="3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65"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74"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227"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53" w:right="23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t>generic manufacturer may rely on the preclinical and clinical testing previously conducted for a drug product previously approved under an NDA, known as the reference listed drug, or RLD.</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80"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In cases where such exclusivity has been granted, an ANDA may not be filed with the FDA until the expiration of five years unless the submission is accompanied by a Paragraph IV certification, as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22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FDA approval of most new drug products is based on applications containing two full clinical trials that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if the investigations made to show whether the drug is safe and effective and relied upon by the applicant were not conducted by or for the applicant and the applicant has not obtained a right of reference from the person by or for whom the investigations were conducted. If the 505(b)(2) applicant can establish that reliance on the FDA’s previous finding of safety and efficacy is appropriate, the applicant may eliminate the need to conduct certain preclinical or clinical studies of the proposed new product.</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11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31"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5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referenced product have expired (other than method of use patents involving indications for which the ANDA applicant is not seeking approval).</w:t>
      </w:r>
    </w:p>
    <w:p>
      <w:pPr>
        <w:spacing w:after="0" w:line="225"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Best Pharmaceuticals for Children Act (BPCA) is intended to improve the FDA and applicant accountability for the agreed-upon pediatric studies by creating a new mechanism for funding pediatric studies that sponsors or holders of approved applications declined to conduct voluntarily. Pediatric exclusivity, if granted, provides for the attachment of an additional six months of marketing protection to the term of any existing regulatory exclusivity, including the non-patent and orphan exclusivity, which is discussed below.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that cover the product are extended by six months. This is not a patent term extension, but it effectively extends the regulatory period during which the FDA cannot approve another application.</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In some oncology indications, where pediatric studies are impossible or highly impractical (because, for example, the number of pediatric patients is so small or geographically dispersed), it may be possible to request a waiver.</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A company must request orphan product designation before submitting a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generally will receive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8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Pharmaceutical companies developing an orphan drug to treat an uncommon disease may be eligible for the research tax credit for qualified research expenses or the orphan drug tax credit for development costs attributable to qualified clinical testing incurred in developing the drug.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53" w:right="239" w:bottom="1440" w:gutter="0" w:footer="0" w:header="0"/>
        </w:sectPr>
      </w:pPr>
    </w:p>
    <w:bookmarkStart w:id="43" w:name="page44"/>
    <w:bookmarkEnd w:id="43"/>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Unless otherwise required by regulation, the pediatric data requirements under the Pediatric Research Equity Act do not apply to products with orphan designation.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USPTO reviews and approves the application for any patent term extension or restoration in consultation with the FDA.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 Products in the European Union</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5"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8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To obtain marketing approval of a drug under European Union regulatory systems, an applicant must submit a marketing authorization application, or MAA, using the appropriate registration procedure.</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The working definition includes all malignant and borderline malignant neoplasms, following the current International Classification of Diseases for Oncology, including primary or secondary malignant neoplasms, carcinoma in situ, and neoplasms classified as uncertain whether benign or</w:t>
      </w:r>
    </w:p>
    <w:p>
      <w:pPr>
        <w:spacing w:after="0" w:line="3"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malignant. Medicinal products for cancer treatment include antineoplastic agents (including modulators and enhancers of antineoplastic activity) and adjuvant treatments. For products with a new active substance indicated for the treatment of other diseases and products that are highly innovative or for which a centralized process is in the interest of patients, the centralized procedure may be optional.</w:t>
      </w:r>
    </w:p>
    <w:p>
      <w:pPr>
        <w:spacing w:after="0" w:line="186" w:lineRule="exact"/>
        <w:rPr>
          <w:sz w:val="20"/>
          <w:szCs w:val="20"/>
          <w:color w:val="auto"/>
        </w:rPr>
      </w:pPr>
    </w:p>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The Committee for Medicinal Products for Human Use, or CHMP, is responsible for preparing EMA’s opinions on all questions concerning medicines for human use, in accordance with European regulation. In the centralized procedure, the CHMP is responsible for conducting the initial assessment of medicines for which an EU-wide marketing authorization is sought.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4"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CHMP is also responsible for several post-authorization and maintenance activities, such as the assessment of modifications or extensions to an existing marketing authorization.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553" w:right="259" w:bottom="1440" w:gutter="0" w:footer="0" w:header="0"/>
        </w:sectPr>
      </w:pPr>
    </w:p>
    <w:bookmarkStart w:id="44" w:name="page45"/>
    <w:bookmarkEnd w:id="44"/>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imply that an adequate reimbursement rate will be approved. Third-party reimbursement may not be sufficient to maintain price levels high enough to realize an appropriate return on investment in product development.</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Healthcare Law and Regulation</w:t>
      </w:r>
    </w:p>
    <w:p>
      <w:pPr>
        <w:spacing w:after="0" w:line="227"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drug products that are granted marketing approval. Arrangements with third-party payors and customers are subject to broadly applicable fraud and abuse and other healthcare laws and regulations. Such restrictions under applicable federal and state healthcare laws and regulations, include the following:</w:t>
      </w:r>
    </w:p>
    <w:p>
      <w:pPr>
        <w:spacing w:after="0" w:line="68" w:lineRule="exact"/>
        <w:rPr>
          <w:sz w:val="20"/>
          <w:szCs w:val="20"/>
          <w:color w:val="auto"/>
        </w:rPr>
      </w:pPr>
    </w:p>
    <w:p>
      <w:pPr>
        <w:jc w:val="both"/>
        <w:ind w:left="900" w:right="20" w:hanging="374"/>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20" w:lineRule="exact"/>
        <w:rPr>
          <w:rFonts w:ascii="Times New Roman" w:cs="Times New Roman" w:eastAsia="Times New Roman" w:hAnsi="Times New Roman"/>
          <w:sz w:val="18"/>
          <w:szCs w:val="18"/>
          <w:color w:val="auto"/>
        </w:rPr>
      </w:pPr>
    </w:p>
    <w:p>
      <w:pPr>
        <w:jc w:val="both"/>
        <w:ind w:left="900" w:right="20" w:hanging="374"/>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16"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53" w:right="239" w:bottom="1440" w:gutter="0" w:footer="0" w:header="0"/>
        </w:sectPr>
      </w:pPr>
    </w:p>
    <w:bookmarkStart w:id="45" w:name="page46"/>
    <w:bookmarkEnd w:id="45"/>
    <w:p>
      <w:pPr>
        <w:jc w:val="both"/>
        <w:ind w:left="900" w:right="20" w:hanging="374"/>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216"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2" w:lineRule="exact"/>
        <w:rPr>
          <w:rFonts w:ascii="Times New Roman" w:cs="Times New Roman" w:eastAsia="Times New Roman" w:hAnsi="Times New Roman"/>
          <w:sz w:val="18"/>
          <w:szCs w:val="18"/>
          <w:color w:val="auto"/>
        </w:rPr>
      </w:pPr>
    </w:p>
    <w:p>
      <w:pPr>
        <w:jc w:val="both"/>
        <w:ind w:left="900" w:hanging="374"/>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will require manufacturers of drugs, devices, drugs and medical supplies to report to the Department of Health and Human Services information related to payments and other transfers of value to physicians and teaching hospitals and physician ownership and investment interests; and</w:t>
      </w:r>
    </w:p>
    <w:p>
      <w:pPr>
        <w:spacing w:after="0" w:line="216" w:lineRule="exact"/>
        <w:rPr>
          <w:rFonts w:ascii="Times New Roman" w:cs="Times New Roman" w:eastAsia="Times New Roman" w:hAnsi="Times New Roman"/>
          <w:sz w:val="18"/>
          <w:szCs w:val="18"/>
          <w:color w:val="auto"/>
        </w:rPr>
      </w:pPr>
    </w:p>
    <w:p>
      <w:pPr>
        <w:ind w:left="900" w:right="20" w:hanging="374"/>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9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of February 28, 2015, we had 39 full-time employees, including a total of 13 employees with M.D. or Ph.D. degrees. Of our workforce, 15</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employees are engaged in research and development. None of our employees is represented by labor unions or covered by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45" w:right="239" w:bottom="1440" w:gutter="0" w:footer="0" w:header="0"/>
        </w:sectPr>
      </w:pPr>
    </w:p>
    <w:bookmarkStart w:id="46" w:name="page47"/>
    <w:bookmarkEnd w:id="46"/>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Although the Hercules Loan Agreement provides for two additional tranches in an aggregate amount of up to $11.0 million that we may borrow if we meet certain clinical and financing milestones, we may fail to meet these conditions and be unable to obtain this funding.</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2014, plus the $15.0 in proceeds we borrowed from Hercules under the first tranche of the Hercules Loan Agreement and the $1.0 million in proceeds we received from the sale of our common stock to Hercules in a private placement transaction that was completed in connection with the Hercules Loan Agreement, will enable us to fund our operating expenses, debt service and capital expenditure requirements into the third quarter of 2016. We have based this estimate on assumptions that may prove to be wrong, and we could use our capital resources sooner than we currently expect. Our future capital requirements will depend on many factors, including:</w:t>
      </w:r>
    </w:p>
    <w:p>
      <w:pPr>
        <w:spacing w:after="0" w:line="57" w:lineRule="exact"/>
        <w:rPr>
          <w:sz w:val="20"/>
          <w:szCs w:val="20"/>
          <w:color w:val="auto"/>
        </w:rPr>
      </w:pPr>
    </w:p>
    <w:p>
      <w:pPr>
        <w:ind w:left="820" w:hanging="294"/>
        <w:spacing w:after="0"/>
        <w:tabs>
          <w:tab w:leader="none" w:pos="8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number and development requirements of the product candidates we pursue;</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7" w:name="page48"/>
    <w:bookmarkEnd w:id="47"/>
    <w:p>
      <w:pPr>
        <w:ind w:left="820" w:right="460" w:hanging="294"/>
        <w:spacing w:after="0" w:line="235" w:lineRule="auto"/>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11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57" w:lineRule="exact"/>
        <w:rPr>
          <w:rFonts w:ascii="Times New Roman" w:cs="Times New Roman" w:eastAsia="Times New Roman" w:hAnsi="Times New Roman"/>
          <w:sz w:val="22"/>
          <w:szCs w:val="22"/>
          <w:color w:val="auto"/>
        </w:rPr>
      </w:pPr>
    </w:p>
    <w:p>
      <w:pPr>
        <w:ind w:left="820" w:right="600" w:hanging="294"/>
        <w:spacing w:after="0" w:line="235" w:lineRule="auto"/>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1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headcount growth and associated costs;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costs of operating as a public company.</w:t>
      </w:r>
    </w:p>
    <w:p>
      <w:pPr>
        <w:spacing w:after="0" w:line="37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and/or license and development agreements with collaboration partners.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2014, we had $3.3 million of outstanding indebtedness under our loan and security agreement with Lighthouse Capital Partners VI, L.P., or Lighthouse Capital. 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As of February 28, 2015, we had approximately $15.1 million in outstanding indebtedness under the Hercules Loan Agreement.</w:t>
      </w:r>
    </w:p>
    <w:p>
      <w:pPr>
        <w:spacing w:after="0" w:line="184"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94" w:lineRule="exact"/>
        <w:rPr>
          <w:sz w:val="20"/>
          <w:szCs w:val="20"/>
          <w:color w:val="auto"/>
        </w:rPr>
      </w:pPr>
    </w:p>
    <w:p>
      <w:pPr>
        <w:ind w:left="820" w:right="20" w:hanging="294"/>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337" w:right="259" w:bottom="1440" w:gutter="0" w:footer="0" w:header="0"/>
        </w:sectPr>
      </w:pPr>
    </w:p>
    <w:bookmarkStart w:id="48" w:name="page49"/>
    <w:bookmarkEnd w:id="48"/>
    <w:p>
      <w:pPr>
        <w:ind w:left="820" w:hanging="29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36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180" w:lineRule="exact"/>
        <w:rPr>
          <w:sz w:val="20"/>
          <w:szCs w:val="20"/>
          <w:color w:val="auto"/>
        </w:rPr>
      </w:pPr>
    </w:p>
    <w:p>
      <w:pPr>
        <w:ind w:right="1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December 31, 2014, we had an accumulated deficit of $121.8 million. We do not know whether or when we will become profitable. We have not generated any revenues to date from product sales and have financed our operations primarily through the public offering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122" w:lineRule="exact"/>
        <w:rPr>
          <w:sz w:val="20"/>
          <w:szCs w:val="20"/>
          <w:color w:val="auto"/>
        </w:rPr>
      </w:pPr>
    </w:p>
    <w:p>
      <w:pPr>
        <w:ind w:left="820" w:right="520" w:hanging="294"/>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trials;</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Phase 1 clinical trial of CRLX301, our second most advanced product candidate;</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additional product candidates utilizing our Dynamic Tumor Targeting Platform;</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92" w:lineRule="exact"/>
        <w:rPr>
          <w:rFonts w:ascii="Times New Roman" w:cs="Times New Roman" w:eastAsia="Times New Roman" w:hAnsi="Times New Roman"/>
          <w:sz w:val="18"/>
          <w:szCs w:val="18"/>
          <w:color w:val="auto"/>
        </w:rPr>
      </w:pPr>
    </w:p>
    <w:p>
      <w:pPr>
        <w:ind w:left="820" w:right="240" w:hanging="294"/>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establish a sales, marketing and distribution infrastructure in the United States and scale up external manufacturing capabilities to commercialize any products for which we may obtain regulatory approval;</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and</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36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486" w:right="299" w:bottom="1440" w:gutter="0" w:footer="0" w:header="0"/>
        </w:sectPr>
      </w:pPr>
    </w:p>
    <w:bookmarkStart w:id="49" w:name="page50"/>
    <w:bookmarkEnd w:id="49"/>
    <w:p>
      <w:pPr>
        <w:ind w:right="60"/>
        <w:spacing w:after="0" w:line="282" w:lineRule="auto"/>
        <w:rPr>
          <w:sz w:val="20"/>
          <w:szCs w:val="20"/>
          <w:color w:val="auto"/>
        </w:rPr>
      </w:pPr>
      <w:r>
        <w:rPr>
          <w:rFonts w:ascii="Times New Roman" w:cs="Times New Roman" w:eastAsia="Times New Roman" w:hAnsi="Times New Roman"/>
          <w:sz w:val="18"/>
          <w:szCs w:val="18"/>
          <w:color w:val="auto"/>
        </w:rPr>
        <w:t>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72" w:lineRule="exact"/>
        <w:rPr>
          <w:sz w:val="20"/>
          <w:szCs w:val="20"/>
          <w:color w:val="auto"/>
        </w:rPr>
      </w:pPr>
    </w:p>
    <w:p>
      <w:pPr>
        <w:ind w:right="5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drugs and with radiotherapy.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(doxorubicin hydrochloride liposome injection) and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84" w:lineRule="exact"/>
        <w:rPr>
          <w:sz w:val="20"/>
          <w:szCs w:val="20"/>
          <w:color w:val="auto"/>
        </w:rPr>
      </w:pPr>
    </w:p>
    <w:p>
      <w:pPr>
        <w:jc w:val="both"/>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53" w:right="239" w:bottom="1440" w:gutter="0" w:footer="0" w:header="0"/>
        </w:sectPr>
      </w:pPr>
    </w:p>
    <w:bookmarkStart w:id="50" w:name="page51"/>
    <w:bookmarkEnd w:id="50"/>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99" w:lineRule="exact"/>
        <w:rPr>
          <w:sz w:val="20"/>
          <w:szCs w:val="20"/>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performance of our future collaborators for CRLX101, if any;</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establishment of supply arrangements with third party raw materials suppliers and manufacturers;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establishment of arrangements with third party manufacturers to obtain finished drug products that are appropriately packaged for sale;</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launch of commercial sales if and when approved;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continued acceptable safety profile of CRLX101 following any marketing approval;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acceptance, if and when approved, by patients, the medical community and third party payors;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and maintaining pricing sufficient to realize a meaningful return on our investment;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competition with other therapies.</w:t>
      </w:r>
    </w:p>
    <w:p>
      <w:pPr>
        <w:spacing w:after="0" w:line="373"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7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spacing w:after="0" w:line="49" w:lineRule="exact"/>
        <w:rPr>
          <w:sz w:val="20"/>
          <w:szCs w:val="20"/>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size and nature of the patient population;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severity of the disease under investigation;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unexpected or serious adverse events that occur in the trials;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proximity of patients to sites;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eligibility criteria for the trial;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design of the trial;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efforts to facilitate timely enrollment;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investigators’ engagement with, or enthusiasm about, the trial;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complexity of initiating or expanding trials with sites outside of the United States;</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00"/>
          </w:cols>
          <w:pgMar w:left="240" w:top="553" w:right="359" w:bottom="1440" w:gutter="0" w:footer="0" w:header="0"/>
        </w:sectPr>
      </w:pPr>
    </w:p>
    <w:bookmarkStart w:id="51" w:name="page52"/>
    <w:bookmarkEnd w:id="51"/>
    <w:p>
      <w:pPr>
        <w:ind w:left="820" w:hanging="294"/>
        <w:spacing w:after="0"/>
        <w:tabs>
          <w:tab w:leader="none" w:pos="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competing trials; and</w:t>
      </w:r>
    </w:p>
    <w:p>
      <w:pPr>
        <w:spacing w:after="0" w:line="157" w:lineRule="exact"/>
        <w:rPr>
          <w:rFonts w:ascii="Times New Roman" w:cs="Times New Roman" w:eastAsia="Times New Roman" w:hAnsi="Times New Roman"/>
          <w:sz w:val="22"/>
          <w:szCs w:val="22"/>
          <w:color w:val="auto"/>
        </w:rPr>
      </w:pPr>
    </w:p>
    <w:p>
      <w:pPr>
        <w:ind w:left="820" w:right="440" w:hanging="294"/>
        <w:spacing w:after="0" w:line="235" w:lineRule="auto"/>
        <w:tabs>
          <w:tab w:leader="none" w:pos="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346"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For example, with respect to our company-sponsored trial of CRLX101 in combination with Avastin (bevacizumab) in patients with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and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line relapsed renal cell carcinoma, or the RCC Trial, which we initiated in August 2014, site accrual was slower than expected, so we are adding additional sites with the goal of completing enrollment according to plan; however, we may not be able to achieve this goal.</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84"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pursuing the clinical development of CRLX101 in combinations with Avastin in relapsed renal cell carcinoma and relapsed ovarian cancer and with capecitabine and radiotherapy in neoadjuvant rectal cancer and may focus on additional combinations in the future. If the FDA revokes its approval of, or if safety, efficacy, manufacturing or supply issues arise with, Avastin, capecitabine, or any other therapeutic that we use in combination with CRLX101 in the future, we may be unable to market CRLX101 or may experience significant regulatory delays or supply shortages, and our business could be materially harmed.</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There are ongoing ISTs evaluating CRLX101 (1) in combination with Avastin in patients with renal cell carcinoma, or RCC, that has relapsed, (2) in combination with Avastin in patients with relapsed ovarian cancer and (3) in combination with capecitabine and radiotherapy in patients with neoadjuvant rectal cancer. We have also commenced the RCC Trial, which is a company-sponsored trial, and we expect to commence additional company-sponsored trials of CRLX101 in the future. Avastin is currently approved to treat various cancers, and the combination of capecitabine and radiotherapy is currently the standard of care in neoadjuvant rectal cancer in the United States. However, we did not develop or obtain regulatory approval for, and we do not manufacture or sell, Avastin or capecitabine. We may also seek to develop our product candidates in combination with other therapeutics in the future.</w:t>
      </w:r>
    </w:p>
    <w:p>
      <w:pPr>
        <w:spacing w:after="0" w:line="18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the FDA revokes its approval of either Avastin or capecitabine, we will not be able to market CRLX101 in combination with such revoked therapeutic. If safety or efficacy issues arise with Avastin or capecitabine or any other therapeutics that we seek to combine with our product candidates in the future, we may experience significant regulatory delays, and the FDA may require us to redesign or terminate the applicable clinical trials. Moreover, if Avastin or capecitabine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or capecitabine, as applicable. If capecitabine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capecitabine or any other combination therapeutics, we may not be able to complete clinical development of CRLX101 on our current timeline or at all.</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Avastin or capecitabine or another therapeutic, we would continue to be subject to the risk that the FDA could revoke its approval of Avastin or capecitabine, that safety, efficacy, manufacturing, cost or supply issues could arise with one of these therapeutic agents, or that capecitabine and radiotherapy may be replaced as the standard of care in patients with neoadjuvant rectal cancer. This could result in CRLX101 being removed from the market or being less successful commercially.</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November 19, 2014, the FDA approved Genentech, Inc.’s supplemental Biologics License Application for Avastin plus chemotherapy for the treatment of women with recurrent platinum-resistant ovarian cancer. This approval may alter the regulatory and commercial landscape of ovarian cancer drug development. We are commencing start-up activities for a Company-sponsored Phase 1b trial with the GOG Foundation, Inc. in which we will evaluate the combination of CRLX101 with weekly paclitaxel in patients with relapsed ovarian cancer. Based on the data generated by that trial, we will further evaluate the regulatory requirements and the commercial opportunity for CRLX101 in relapsed ovarian cancer. It is possible that we will determine that the threshold for regulatory approval is too high or that the commercial opportunity is too narrow and, for either reason, we might abandon our efforts to develop CRLX101 in relapsed ovarian cancer.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319" w:right="279" w:bottom="1440" w:gutter="0" w:footer="0" w:header="0"/>
        </w:sectPr>
      </w:pPr>
    </w:p>
    <w:bookmarkStart w:id="52" w:name="page53"/>
    <w:bookmarkEnd w:id="52"/>
    <w:p>
      <w:pPr>
        <w:ind w:right="5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HIF in cancer cells proves incorrect, it may adversely affect our ability to commercialize and market CRLX101.</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While HIF-1a has become a target of increasing interest in cancer research and recent research suggests that HIF-1a is a master regulator for many cancer cell survival pathways, the science underlying HIF-1 a is based on recent discoveries and not fully understood. Moreover, the exact role of HIF-2a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4"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RCC; a two-part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9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sphincter preservation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49" w:right="239" w:bottom="1440" w:gutter="0" w:footer="0" w:header="0"/>
        </w:sectPr>
      </w:pPr>
    </w:p>
    <w:bookmarkStart w:id="53" w:name="page54"/>
    <w:bookmarkEnd w:id="5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72"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54" w:lineRule="exact"/>
        <w:rPr>
          <w:sz w:val="20"/>
          <w:szCs w:val="20"/>
          <w:color w:val="auto"/>
        </w:rPr>
      </w:pPr>
    </w:p>
    <w:p>
      <w:pPr>
        <w:ind w:left="820" w:right="260" w:hanging="294"/>
        <w:spacing w:after="0" w:line="256" w:lineRule="auto"/>
        <w:tabs>
          <w:tab w:leader="none" w:pos="8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clinical trials of our product candidates may produce unfavorable or inconclusive results, such as with our Phase 2 clinical trial of CRLX101 as monotherapy for patients with advanced non-small cell lung cancer who had progressed through one or two prior regimens of chemotherapy;</w:t>
      </w:r>
    </w:p>
    <w:p>
      <w:pPr>
        <w:spacing w:after="0" w:line="96" w:lineRule="exact"/>
        <w:rPr>
          <w:rFonts w:ascii="Times New Roman" w:cs="Times New Roman" w:eastAsia="Times New Roman" w:hAnsi="Times New Roman"/>
          <w:sz w:val="21"/>
          <w:szCs w:val="21"/>
          <w:color w:val="auto"/>
        </w:rPr>
      </w:pPr>
    </w:p>
    <w:p>
      <w:pPr>
        <w:ind w:left="820" w:hanging="294"/>
        <w:spacing w:after="0"/>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57" w:lineRule="exact"/>
        <w:rPr>
          <w:rFonts w:ascii="Times New Roman" w:cs="Times New Roman" w:eastAsia="Times New Roman" w:hAnsi="Times New Roman"/>
          <w:sz w:val="22"/>
          <w:szCs w:val="22"/>
          <w:color w:val="auto"/>
        </w:rPr>
      </w:pPr>
    </w:p>
    <w:p>
      <w:pPr>
        <w:ind w:left="820" w:right="24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130" w:lineRule="exact"/>
        <w:rPr>
          <w:rFonts w:ascii="Times New Roman" w:cs="Times New Roman" w:eastAsia="Times New Roman" w:hAnsi="Times New Roman"/>
          <w:sz w:val="22"/>
          <w:szCs w:val="22"/>
          <w:color w:val="auto"/>
        </w:rPr>
      </w:pPr>
    </w:p>
    <w:p>
      <w:pPr>
        <w:ind w:left="82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130" w:lineRule="exact"/>
        <w:rPr>
          <w:rFonts w:ascii="Times New Roman" w:cs="Times New Roman" w:eastAsia="Times New Roman" w:hAnsi="Times New Roman"/>
          <w:sz w:val="22"/>
          <w:szCs w:val="22"/>
          <w:color w:val="auto"/>
        </w:rPr>
      </w:pPr>
    </w:p>
    <w:p>
      <w:pPr>
        <w:ind w:left="820" w:right="52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11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57" w:lineRule="exact"/>
        <w:rPr>
          <w:rFonts w:ascii="Times New Roman" w:cs="Times New Roman" w:eastAsia="Times New Roman" w:hAnsi="Times New Roman"/>
          <w:sz w:val="22"/>
          <w:szCs w:val="22"/>
          <w:color w:val="auto"/>
        </w:rPr>
      </w:pPr>
    </w:p>
    <w:p>
      <w:pPr>
        <w:ind w:left="820" w:right="24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30" w:lineRule="exact"/>
        <w:rPr>
          <w:rFonts w:ascii="Times New Roman" w:cs="Times New Roman" w:eastAsia="Times New Roman" w:hAnsi="Times New Roman"/>
          <w:sz w:val="22"/>
          <w:szCs w:val="22"/>
          <w:color w:val="auto"/>
        </w:rPr>
      </w:pPr>
    </w:p>
    <w:p>
      <w:pPr>
        <w:ind w:left="820" w:right="42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130" w:lineRule="exact"/>
        <w:rPr>
          <w:rFonts w:ascii="Times New Roman" w:cs="Times New Roman" w:eastAsia="Times New Roman" w:hAnsi="Times New Roman"/>
          <w:sz w:val="22"/>
          <w:szCs w:val="22"/>
          <w:color w:val="auto"/>
        </w:rPr>
      </w:pPr>
    </w:p>
    <w:p>
      <w:pPr>
        <w:ind w:left="820" w:right="20" w:hanging="294"/>
        <w:spacing w:after="0" w:line="239"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needed enrollment size for the clinical trial or extend the clinical trial’s duration;</w:t>
      </w:r>
    </w:p>
    <w:p>
      <w:pPr>
        <w:spacing w:after="0" w:line="114"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57" w:lineRule="exact"/>
        <w:rPr>
          <w:rFonts w:ascii="Times New Roman" w:cs="Times New Roman" w:eastAsia="Times New Roman" w:hAnsi="Times New Roman"/>
          <w:sz w:val="22"/>
          <w:szCs w:val="22"/>
          <w:color w:val="auto"/>
        </w:rPr>
      </w:pPr>
    </w:p>
    <w:p>
      <w:pPr>
        <w:ind w:left="82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 unexpected or serious adverse events or other unexpected characteristics of a product candidate;</w:t>
      </w:r>
    </w:p>
    <w:p>
      <w:pPr>
        <w:spacing w:after="0" w:line="130" w:lineRule="exact"/>
        <w:rPr>
          <w:rFonts w:ascii="Times New Roman" w:cs="Times New Roman" w:eastAsia="Times New Roman" w:hAnsi="Times New Roman"/>
          <w:sz w:val="22"/>
          <w:szCs w:val="22"/>
          <w:color w:val="auto"/>
        </w:rPr>
      </w:pPr>
    </w:p>
    <w:p>
      <w:pPr>
        <w:ind w:left="820" w:right="20" w:hanging="294"/>
        <w:spacing w:after="0" w:line="243"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128" w:lineRule="exact"/>
        <w:rPr>
          <w:rFonts w:ascii="Times New Roman" w:cs="Times New Roman" w:eastAsia="Times New Roman" w:hAnsi="Times New Roman"/>
          <w:sz w:val="22"/>
          <w:szCs w:val="22"/>
          <w:color w:val="auto"/>
        </w:rPr>
      </w:pPr>
    </w:p>
    <w:p>
      <w:pPr>
        <w:jc w:val="both"/>
        <w:ind w:left="820" w:right="260" w:hanging="294"/>
        <w:spacing w:after="0" w:line="239"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for our clinical trials;</w:t>
      </w:r>
    </w:p>
    <w:p>
      <w:pPr>
        <w:spacing w:after="0" w:line="132" w:lineRule="exact"/>
        <w:rPr>
          <w:rFonts w:ascii="Times New Roman" w:cs="Times New Roman" w:eastAsia="Times New Roman" w:hAnsi="Times New Roman"/>
          <w:sz w:val="22"/>
          <w:szCs w:val="22"/>
          <w:color w:val="auto"/>
        </w:rPr>
      </w:pPr>
    </w:p>
    <w:p>
      <w:pPr>
        <w:ind w:left="820" w:right="600" w:hanging="294"/>
        <w:spacing w:after="0" w:line="235"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553" w:right="259" w:bottom="1440" w:gutter="0" w:footer="0" w:header="0"/>
        </w:sectPr>
      </w:pPr>
    </w:p>
    <w:bookmarkStart w:id="54" w:name="page55"/>
    <w:bookmarkEnd w:id="54"/>
    <w:p>
      <w:pPr>
        <w:ind w:left="820" w:right="340" w:hanging="294"/>
        <w:spacing w:after="0" w:line="235" w:lineRule="auto"/>
        <w:tabs>
          <w:tab w:leader="none" w:pos="8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130" w:lineRule="exact"/>
        <w:rPr>
          <w:rFonts w:ascii="Times New Roman" w:cs="Times New Roman" w:eastAsia="Times New Roman" w:hAnsi="Times New Roman"/>
          <w:sz w:val="22"/>
          <w:szCs w:val="22"/>
          <w:color w:val="auto"/>
        </w:rPr>
      </w:pPr>
    </w:p>
    <w:p>
      <w:pPr>
        <w:ind w:left="820" w:right="40" w:hanging="294"/>
        <w:spacing w:after="0" w:line="235" w:lineRule="auto"/>
        <w:tabs>
          <w:tab w:leader="none" w:pos="8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34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85" w:lineRule="exact"/>
        <w:rPr>
          <w:sz w:val="20"/>
          <w:szCs w:val="20"/>
          <w:color w:val="auto"/>
        </w:rPr>
      </w:pPr>
    </w:p>
    <w:p>
      <w:pPr>
        <w:ind w:right="1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conducted, currently are conducting and intend in the future to conduct, clinical trials outside the United States. Opening trial sites outside of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we are expanding the RCC Trial to South Korea where we expect to have additional clinical sites open in the second quarter of 2015.</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 including review and approval by an independent ethics committee and informed consent from subjects.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Since we currently do not have an active IND in the United States for CRLX301, unless we are able to obtain an active IND, we would be unable to conduct clinical trials in the United States. There can be no assurance that the FDA will accept data from trials conducted outside of the United States and no assurance that we will be successful in obtaining an IND for CRLX301.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9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spacing w:after="0" w:line="35" w:lineRule="exact"/>
        <w:rPr>
          <w:sz w:val="20"/>
          <w:szCs w:val="20"/>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exchange fluctuations;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manufacturing, customs, shipment and storage requirements;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369"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337" w:right="259" w:bottom="1440" w:gutter="0" w:footer="0" w:header="0"/>
        </w:sectPr>
      </w:pPr>
    </w:p>
    <w:bookmarkStart w:id="55" w:name="page56"/>
    <w:bookmarkEnd w:id="55"/>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0"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or (4) there are unacceptable safety concerns associated with our product candidates, we, in addition to incurring additional costs, may:</w:t>
      </w:r>
    </w:p>
    <w:p>
      <w:pPr>
        <w:spacing w:after="0" w:line="57" w:lineRule="exact"/>
        <w:rPr>
          <w:sz w:val="20"/>
          <w:szCs w:val="20"/>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 obtain marketing approval at all;</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right="280" w:firstLine="518"/>
        <w:spacing w:after="0" w:line="256" w:lineRule="auto"/>
        <w:rPr>
          <w:sz w:val="20"/>
          <w:szCs w:val="20"/>
          <w:color w:val="auto"/>
        </w:rPr>
      </w:pPr>
      <w:r>
        <w:rPr>
          <w:rFonts w:ascii="Times New Roman" w:cs="Times New Roman" w:eastAsia="Times New Roman" w:hAnsi="Times New Roman"/>
          <w:sz w:val="18"/>
          <w:szCs w:val="18"/>
          <w:color w:val="auto"/>
        </w:rPr>
        <w:t>We may to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4"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553" w:right="279" w:bottom="1440" w:gutter="0" w:footer="0" w:header="0"/>
        </w:sectPr>
      </w:pPr>
    </w:p>
    <w:bookmarkStart w:id="56" w:name="page57"/>
    <w:bookmarkEnd w:id="56"/>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or Accelerated Approval for one or more of our product candidates at the time of the submission of the NDA to FDA. The FDA may not grant Priority Review or Accelerated Approval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8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 ten month standard NDA review clock will begin at the conclusion of the 60 calendar day filing review period that starts on the date of FDA receipt of the original submission. This results in a total of twelve months until the FDA is to take regulatory action. We may be eligible for Priority Review designation for our NDA submission if the FDA determines that our product candidate treats a serious condition and, if approved, would provide a significant improvement in safety or effectiveness. The six 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total of twelve months for a standard review from their receipt of the original submission. We may request Priority Review for CRLX101 if and when we submit an NDA for CRLX101. Our current clinical development timeline assumes CRLX101 will receive Priority Review. The FDA has broad discretion with respect to whether or not to grant Priority Review status to a product candidate, so even if we believe a particular product candidate is eligible for such designation or status, the FDA may decide not to grant it. Thus, while the FDA has granted Priority Review to other oncology product candidates,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review/approval cycle or thereafter.</w:t>
      </w:r>
    </w:p>
    <w:p>
      <w:pPr>
        <w:spacing w:after="0" w:line="185" w:lineRule="exact"/>
        <w:rPr>
          <w:sz w:val="20"/>
          <w:szCs w:val="20"/>
          <w:color w:val="auto"/>
        </w:rPr>
      </w:pPr>
    </w:p>
    <w:p>
      <w:pPr>
        <w:jc w:val="both"/>
        <w:ind w:right="1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of our product candidates and indications.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Traditional Approval. If such post-approval studies fail to confirm the drug’s clinical profile or risks and benefits, the FDA may withdraw its approval of the drug.</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would result in a longer time period to commercialization of such product candidate, could increase the cost of development of such product candidate and could harm our competitive position in the marketplace.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549" w:right="279" w:bottom="1440" w:gutter="0" w:footer="0" w:header="0"/>
        </w:sectPr>
      </w:pPr>
    </w:p>
    <w:bookmarkStart w:id="57" w:name="page58"/>
    <w:bookmarkEnd w:id="57"/>
    <w:p>
      <w:pPr>
        <w:ind w:right="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53" w:lineRule="exact"/>
        <w:rPr>
          <w:sz w:val="20"/>
          <w:szCs w:val="20"/>
          <w:color w:val="auto"/>
        </w:rPr>
      </w:pPr>
    </w:p>
    <w:p>
      <w:pPr>
        <w:ind w:left="820" w:hanging="294"/>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57" w:lineRule="exact"/>
        <w:rPr>
          <w:rFonts w:ascii="Times New Roman" w:cs="Times New Roman" w:eastAsia="Times New Roman" w:hAnsi="Times New Roman"/>
          <w:sz w:val="22"/>
          <w:szCs w:val="22"/>
          <w:color w:val="auto"/>
        </w:rPr>
      </w:pPr>
    </w:p>
    <w:p>
      <w:pPr>
        <w:ind w:left="820" w:right="100" w:hanging="294"/>
        <w:spacing w:after="0" w:line="235" w:lineRule="auto"/>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34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0" w:lineRule="exact"/>
        <w:rPr>
          <w:sz w:val="20"/>
          <w:szCs w:val="20"/>
          <w:color w:val="auto"/>
        </w:rPr>
      </w:pPr>
    </w:p>
    <w:p>
      <w:pPr>
        <w:jc w:val="both"/>
        <w:ind w:right="1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7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549" w:right="279" w:bottom="1440" w:gutter="0" w:footer="0" w:header="0"/>
        </w:sectPr>
      </w:pPr>
    </w:p>
    <w:bookmarkStart w:id="58" w:name="page59"/>
    <w:bookmarkEnd w:id="58"/>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spacing w:after="0" w:line="53" w:lineRule="exact"/>
        <w:rPr>
          <w:sz w:val="20"/>
          <w:szCs w:val="20"/>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efficacy and safety of the product;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potential advantages of the product compared to alternative treatments;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prevalence and severity of any side effects;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clinical indications for which the product is approved;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establish and maintain pricing sufficient to realize a meaningful return on our investment;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strength of sales, marketing and distribution support;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availability of alternative treatments already approved or approval of other new products for the same indications;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of market introduction of our approved products as well as competitive products and other therapies;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availability and amount of reimbursement from government payors, managed care plans and other third party payors;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strength and efficacy of our marketing and distribution efforts;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product liability claims.</w:t>
      </w:r>
    </w:p>
    <w:p>
      <w:pPr>
        <w:spacing w:after="0" w:line="37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0" w:lineRule="exact"/>
        <w:rPr>
          <w:sz w:val="20"/>
          <w:szCs w:val="20"/>
          <w:color w:val="auto"/>
        </w:rPr>
      </w:pPr>
    </w:p>
    <w:p>
      <w:pPr>
        <w:ind w:right="5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53" w:lineRule="exact"/>
        <w:rPr>
          <w:sz w:val="20"/>
          <w:szCs w:val="20"/>
          <w:color w:val="auto"/>
        </w:rPr>
      </w:pPr>
    </w:p>
    <w:p>
      <w:pPr>
        <w:ind w:left="820" w:hanging="294"/>
        <w:spacing w:after="0"/>
        <w:tabs>
          <w:tab w:leader="none" w:pos="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be required to recall the drug or change the way the drug is administered;</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553" w:right="279" w:bottom="1440" w:gutter="0" w:footer="0" w:header="0"/>
        </w:sectPr>
      </w:pPr>
    </w:p>
    <w:bookmarkStart w:id="59" w:name="page60"/>
    <w:bookmarkEnd w:id="59"/>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could be sued and held liable for harm caused to patients;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drug may become less competitive;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reputation may suffer.</w:t>
      </w:r>
    </w:p>
    <w:p>
      <w:pPr>
        <w:spacing w:after="0" w:line="3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7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ind w:right="880"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58" w:lineRule="exact"/>
        <w:rPr>
          <w:sz w:val="20"/>
          <w:szCs w:val="20"/>
          <w:color w:val="auto"/>
        </w:rPr>
      </w:pPr>
    </w:p>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319" w:right="259" w:bottom="1440" w:gutter="0" w:footer="0" w:header="0"/>
        </w:sectPr>
      </w:pPr>
    </w:p>
    <w:bookmarkStart w:id="60" w:name="page61"/>
    <w:bookmarkEnd w:id="60"/>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Several companies are marketing and developing oncology products. Companies with marketed nanoparticle oncology products include Celgene Corporation (Abraxane indicated for breast cancer, NSCLC and pancreatic cancer), Janssen (Doxil® for ovarian cancer and, in combination with botezomib, for multiple myeloma) and Spectrum Pharmaceuticals (Marqibo ® (vincristine sulfate liposome injection) indicated for relapsed Philadelphia chromosome-negative acute lymphoblastic leukemia). Companies with nanoparticle oncology product candidates in clinical development include BIND Therapeutics, Inc. (BIND 014 for NSCLC and metastatic castration-resistant prostate cancer), Nippon Kayku Seizo Co., Ltd. (NK105 in breast cancer), Celator Pharmaceuticals, Inc. (CPX-351 for acute myeloid leukemia), Celsion Corporation (ThermoDox ® (lyso-thermosensitive liposomal doxorubicin) for 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7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Renal Cell Carcinoma. </w:t>
      </w:r>
      <w:r>
        <w:rPr>
          <w:rFonts w:ascii="Times New Roman" w:cs="Times New Roman" w:eastAsia="Times New Roman" w:hAnsi="Times New Roman"/>
          <w:sz w:val="18"/>
          <w:szCs w:val="18"/>
          <w:color w:val="auto"/>
        </w:rPr>
        <w:t>In advanced RCC, several drugs in development have the potential to obtain FDA marketing approval and change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care. If this occurs, currently available treatments could be replaced or altered and our commercial opportunity could be reduced. For example, Exelixis, Inc. is developing cabozantinib in advanced RCC and the data from its ongoing phase 3 trial are anticipated in 2015. Acceleron Pharma Inc. is developing dalantercept in combination with axitinib, and TRACON Pharmaceuticals, Inc. is developing TRC105, also in combination with axitinib.</w:t>
      </w:r>
    </w:p>
    <w:p>
      <w:pPr>
        <w:spacing w:after="0" w:line="182" w:lineRule="exact"/>
        <w:rPr>
          <w:sz w:val="20"/>
          <w:szCs w:val="20"/>
          <w:color w:val="auto"/>
        </w:rPr>
      </w:pPr>
    </w:p>
    <w:p>
      <w:pPr>
        <w:ind w:right="260" w:firstLine="518"/>
        <w:spacing w:after="0" w:line="281" w:lineRule="auto"/>
        <w:rPr>
          <w:sz w:val="20"/>
          <w:szCs w:val="20"/>
          <w:color w:val="auto"/>
        </w:rPr>
      </w:pPr>
      <w:r>
        <w:rPr>
          <w:rFonts w:ascii="Times New Roman" w:cs="Times New Roman" w:eastAsia="Times New Roman" w:hAnsi="Times New Roman"/>
          <w:sz w:val="17"/>
          <w:szCs w:val="17"/>
          <w:color w:val="auto"/>
        </w:rPr>
        <w:t>In addition to these tyrosine kinase inhibitor and tyrosine kinase inhibitor combination programs in advanced RCC, immune checkpoint inhibitors, including nivolumab and pembrolizumab, are also being developed in RCC. Although these product candidates are being tested for earlier lines of therapy, they also have the potential to change the standard of care in advanced RCC, which, among other things, could result in existing first line therapies being prescribed instead for later lines of therapy. If this occurs, it would potentially reduce the commercial opportunity for CRLX101 in relapsed RCC.</w:t>
      </w:r>
    </w:p>
    <w:p>
      <w:pPr>
        <w:spacing w:after="0" w:line="163" w:lineRule="exact"/>
        <w:rPr>
          <w:sz w:val="20"/>
          <w:szCs w:val="20"/>
          <w:color w:val="auto"/>
        </w:rPr>
      </w:pPr>
    </w:p>
    <w:p>
      <w:pPr>
        <w:ind w:right="3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Relapsed Ovarian Cancer. </w:t>
      </w:r>
      <w:r>
        <w:rPr>
          <w:rFonts w:ascii="Times New Roman" w:cs="Times New Roman" w:eastAsia="Times New Roman" w:hAnsi="Times New Roman"/>
          <w:sz w:val="18"/>
          <w:szCs w:val="18"/>
          <w:color w:val="auto"/>
        </w:rPr>
        <w:t>In relapsed ovarian cancer, the recent FDA approvals of Avastin with chemotherapy and Lynparza® in BRCA mutated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has changed the standard of care, which could reduce the commercial opportunity for CRLX101.</w:t>
      </w:r>
    </w:p>
    <w:p>
      <w:pPr>
        <w:spacing w:after="0" w:line="158" w:lineRule="exact"/>
        <w:rPr>
          <w:sz w:val="20"/>
          <w:szCs w:val="20"/>
          <w:color w:val="auto"/>
        </w:rPr>
      </w:pPr>
    </w:p>
    <w:p>
      <w:pPr>
        <w:ind w:right="4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Neoadjuvant Rectal Cancer. </w:t>
      </w:r>
      <w:r>
        <w:rPr>
          <w:rFonts w:ascii="Times New Roman" w:cs="Times New Roman" w:eastAsia="Times New Roman" w:hAnsi="Times New Roman"/>
          <w:sz w:val="18"/>
          <w:szCs w:val="18"/>
          <w:color w:val="auto"/>
        </w:rPr>
        <w:t>In neoadjuvant rectal cancer, Isofol Medical AB is developing a molecule that is currently labeled [6R] 5,10-methylenetetrahydrofolate; Karyopharm Therapeutics Inc. is developing Selinexor in combination with chemoradiotherapy; Merck KGaA is developing tecemotide with chemoradiotherapy; Genentech, Inc. is testing Avastin in combination with capecitabine; and Kadmon Corporation, LLC is developing KD018 in combination with capecitabine and radiation. If any of these product candidates receives marketing approval, our commercial opportunity in neoadjuvant rectal cancer could be reduced.</w:t>
      </w:r>
    </w:p>
    <w:p>
      <w:pPr>
        <w:spacing w:after="0" w:line="182"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jc w:val="both"/>
        <w:ind w:right="3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53" w:right="239" w:bottom="1440" w:gutter="0" w:footer="0" w:header="0"/>
        </w:sectPr>
      </w:pPr>
    </w:p>
    <w:bookmarkStart w:id="61" w:name="page62"/>
    <w:bookmarkEnd w:id="61"/>
    <w:p>
      <w:pPr>
        <w:ind w:right="500"/>
        <w:spacing w:after="0" w:line="282" w:lineRule="auto"/>
        <w:rPr>
          <w:sz w:val="20"/>
          <w:szCs w:val="20"/>
          <w:color w:val="auto"/>
        </w:rPr>
      </w:pPr>
      <w:r>
        <w:rPr>
          <w:rFonts w:ascii="Times New Roman" w:cs="Times New Roman" w:eastAsia="Times New Roman" w:hAnsi="Times New Roman"/>
          <w:sz w:val="18"/>
          <w:szCs w:val="18"/>
          <w:color w:val="auto"/>
        </w:rPr>
        <w:t>products are generally able to offer them at lower prices. Thus, following the introduction of a generic drug, a significant percentage of the sales of any branded product or reference listed drug may be typically lost to the generic product.</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ind w:right="6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5" w:lineRule="exact"/>
        <w:rPr>
          <w:sz w:val="20"/>
          <w:szCs w:val="20"/>
          <w:color w:val="auto"/>
        </w:rPr>
      </w:pPr>
    </w:p>
    <w:p>
      <w:pPr>
        <w:ind w:right="1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553" w:right="259" w:bottom="1440" w:gutter="0" w:footer="0" w:header="0"/>
        </w:sectPr>
      </w:pPr>
    </w:p>
    <w:bookmarkStart w:id="62" w:name="page63"/>
    <w:bookmarkEnd w:id="62"/>
    <w:p>
      <w:pPr>
        <w:ind w:right="40"/>
        <w:spacing w:after="0" w:line="258" w:lineRule="auto"/>
        <w:rPr>
          <w:sz w:val="20"/>
          <w:szCs w:val="20"/>
          <w:color w:val="auto"/>
        </w:rPr>
      </w:pPr>
      <w:r>
        <w:rPr>
          <w:rFonts w:ascii="Times New Roman" w:cs="Times New Roman" w:eastAsia="Times New Roman" w:hAnsi="Times New Roman"/>
          <w:sz w:val="18"/>
          <w:szCs w:val="18"/>
          <w:color w:val="auto"/>
        </w:rPr>
        <w:t>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185"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3" w:lineRule="exact"/>
        <w:rPr>
          <w:sz w:val="20"/>
          <w:szCs w:val="20"/>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clinical trial participants;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costs to defend resulting litigation;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revenue;</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37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Although we maintain general liability insurance of $2.0 million in the aggregate, umbrella insurance in the amount of $3.0 million in the aggregate and clinical trial liability insurance of $7.5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5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in, or the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549" w:right="259" w:bottom="1440" w:gutter="0" w:footer="0" w:header="0"/>
        </w:sectPr>
      </w:pPr>
    </w:p>
    <w:bookmarkStart w:id="64" w:name="page65"/>
    <w:bookmarkEnd w:id="64"/>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5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99" w:lineRule="exact"/>
        <w:rPr>
          <w:sz w:val="20"/>
          <w:szCs w:val="20"/>
          <w:color w:val="auto"/>
        </w:rPr>
      </w:pPr>
    </w:p>
    <w:p>
      <w:pPr>
        <w:ind w:left="820" w:hanging="294"/>
        <w:spacing w:after="0"/>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57" w:lineRule="exact"/>
        <w:rPr>
          <w:rFonts w:ascii="Times New Roman" w:cs="Times New Roman" w:eastAsia="Times New Roman" w:hAnsi="Times New Roman"/>
          <w:sz w:val="22"/>
          <w:szCs w:val="22"/>
          <w:color w:val="auto"/>
        </w:rPr>
      </w:pPr>
    </w:p>
    <w:p>
      <w:pPr>
        <w:ind w:left="820" w:right="60" w:hanging="294"/>
        <w:spacing w:after="0" w:line="239"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32" w:lineRule="exact"/>
        <w:rPr>
          <w:rFonts w:ascii="Times New Roman" w:cs="Times New Roman" w:eastAsia="Times New Roman" w:hAnsi="Times New Roman"/>
          <w:sz w:val="22"/>
          <w:szCs w:val="22"/>
          <w:color w:val="auto"/>
        </w:rPr>
      </w:pPr>
    </w:p>
    <w:p>
      <w:pPr>
        <w:ind w:left="820" w:right="60" w:hanging="294"/>
        <w:spacing w:after="0" w:line="235"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0" w:lineRule="exact"/>
        <w:rPr>
          <w:rFonts w:ascii="Times New Roman" w:cs="Times New Roman" w:eastAsia="Times New Roman" w:hAnsi="Times New Roman"/>
          <w:sz w:val="22"/>
          <w:szCs w:val="22"/>
          <w:color w:val="auto"/>
        </w:rPr>
      </w:pPr>
    </w:p>
    <w:p>
      <w:pPr>
        <w:ind w:left="820" w:right="100" w:hanging="294"/>
        <w:spacing w:after="0" w:line="239"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2" w:lineRule="exact"/>
        <w:rPr>
          <w:rFonts w:ascii="Times New Roman" w:cs="Times New Roman" w:eastAsia="Times New Roman" w:hAnsi="Times New Roman"/>
          <w:sz w:val="22"/>
          <w:szCs w:val="22"/>
          <w:color w:val="auto"/>
        </w:rPr>
      </w:pPr>
    </w:p>
    <w:p>
      <w:pPr>
        <w:ind w:left="820" w:right="40" w:hanging="294"/>
        <w:spacing w:after="0" w:line="235"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130" w:lineRule="exact"/>
        <w:rPr>
          <w:rFonts w:ascii="Times New Roman" w:cs="Times New Roman" w:eastAsia="Times New Roman" w:hAnsi="Times New Roman"/>
          <w:sz w:val="22"/>
          <w:szCs w:val="22"/>
          <w:color w:val="auto"/>
        </w:rPr>
      </w:pPr>
    </w:p>
    <w:p>
      <w:pPr>
        <w:ind w:left="820" w:right="460" w:hanging="294"/>
        <w:spacing w:after="0" w:line="235"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1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57" w:lineRule="exact"/>
        <w:rPr>
          <w:rFonts w:ascii="Times New Roman" w:cs="Times New Roman" w:eastAsia="Times New Roman" w:hAnsi="Times New Roman"/>
          <w:sz w:val="22"/>
          <w:szCs w:val="22"/>
          <w:color w:val="auto"/>
        </w:rPr>
      </w:pPr>
    </w:p>
    <w:p>
      <w:pPr>
        <w:ind w:left="820" w:right="260" w:hanging="294"/>
        <w:spacing w:after="0" w:line="235"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30" w:lineRule="exact"/>
        <w:rPr>
          <w:rFonts w:ascii="Times New Roman" w:cs="Times New Roman" w:eastAsia="Times New Roman" w:hAnsi="Times New Roman"/>
          <w:sz w:val="22"/>
          <w:szCs w:val="22"/>
          <w:color w:val="auto"/>
        </w:rPr>
      </w:pPr>
    </w:p>
    <w:p>
      <w:pPr>
        <w:ind w:left="820" w:right="1380" w:hanging="294"/>
        <w:spacing w:after="0" w:line="235" w:lineRule="auto"/>
        <w:tabs>
          <w:tab w:leader="none" w:pos="8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346"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w:t>
      </w:r>
    </w:p>
    <w:p>
      <w:pPr>
        <w:spacing w:after="0" w:line="229"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53" w:right="239" w:bottom="1440" w:gutter="0" w:footer="0" w:header="0"/>
        </w:sectPr>
      </w:pPr>
    </w:p>
    <w:bookmarkStart w:id="65" w:name="page66"/>
    <w:bookmarkEnd w:id="65"/>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4" w:lineRule="exact"/>
        <w:rPr>
          <w:sz w:val="20"/>
          <w:szCs w:val="20"/>
          <w:color w:val="auto"/>
        </w:rPr>
      </w:pPr>
    </w:p>
    <w:p>
      <w:pPr>
        <w:jc w:val="both"/>
        <w:ind w:right="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In 2013, we experienced a batch contamination issue with the manufacture of a batch of CRLX301 drug substance, and the process of obtaining a new batch required several months to complete. Any additional performance failures on the part of our existing or future manufacturers could delay clinical development or marketing approval of our product candidates or result in our inability to generate sufficient supplies to meet commercial demands.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9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spacing w:after="0" w:line="35" w:lineRule="exact"/>
        <w:rPr>
          <w:sz w:val="20"/>
          <w:szCs w:val="20"/>
          <w:color w:val="auto"/>
        </w:rPr>
      </w:pPr>
    </w:p>
    <w:p>
      <w:pPr>
        <w:ind w:left="820" w:hanging="294"/>
        <w:spacing w:after="0"/>
        <w:tabs>
          <w:tab w:leader="none" w:pos="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manufacturers to consistently produce intermediates, drug substance or drug product that meet required quality specifications;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53" w:right="239" w:bottom="1440" w:gutter="0" w:footer="0" w:header="0"/>
        </w:sectPr>
      </w:pPr>
    </w:p>
    <w:bookmarkStart w:id="66" w:name="page67"/>
    <w:bookmarkEnd w:id="66"/>
    <w:p>
      <w:pPr>
        <w:ind w:left="820" w:hanging="294"/>
        <w:spacing w:after="0"/>
        <w:tabs>
          <w:tab w:leader="none" w:pos="8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37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319" w:right="279" w:bottom="1440" w:gutter="0" w:footer="0" w:header="0"/>
        </w:sectPr>
      </w:pPr>
    </w:p>
    <w:bookmarkStart w:id="67" w:name="page68"/>
    <w:bookmarkEnd w:id="67"/>
    <w:p>
      <w:pPr>
        <w:ind w:right="220"/>
        <w:spacing w:after="0" w:line="282" w:lineRule="auto"/>
        <w:rPr>
          <w:sz w:val="20"/>
          <w:szCs w:val="20"/>
          <w:color w:val="auto"/>
        </w:rPr>
      </w:pPr>
      <w:r>
        <w:rPr>
          <w:rFonts w:ascii="Times New Roman" w:cs="Times New Roman" w:eastAsia="Times New Roman" w:hAnsi="Times New Roman"/>
          <w:sz w:val="18"/>
          <w:szCs w:val="18"/>
          <w:color w:val="auto"/>
        </w:rPr>
        <w:t>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ind w:firstLine="518"/>
        <w:spacing w:after="0" w:line="263"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9"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ind w:right="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In addition, we hold an exclusive license from the Massachusetts Institute of Technology, or MIT, for polymeric NDC-based, or PNP-based, product candidates. We are likely to enter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53" w:right="239" w:bottom="1440" w:gutter="0" w:footer="0" w:header="0"/>
        </w:sectPr>
      </w:pPr>
    </w:p>
    <w:bookmarkStart w:id="68" w:name="page69"/>
    <w:bookmarkEnd w:id="68"/>
    <w:p>
      <w:pPr>
        <w:ind w:right="60"/>
        <w:spacing w:after="0" w:line="282" w:lineRule="auto"/>
        <w:rPr>
          <w:sz w:val="20"/>
          <w:szCs w:val="20"/>
          <w:color w:val="auto"/>
        </w:rPr>
      </w:pPr>
      <w:r>
        <w:rPr>
          <w:rFonts w:ascii="Times New Roman" w:cs="Times New Roman" w:eastAsia="Times New Roman" w:hAnsi="Times New Roman"/>
          <w:sz w:val="18"/>
          <w:szCs w:val="18"/>
          <w:color w:val="auto"/>
        </w:rPr>
        <w:t>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3, 2015, Calando’s bankruptcy trustee submitted an application with the bankruptcy court seeking authority to retain a broker to sell Calando’s rights in certain assets including its rights in the license agreements with Cerulean. We have reserved our rights with respect to any such sale.</w:t>
      </w:r>
    </w:p>
    <w:p>
      <w:pPr>
        <w:spacing w:after="0" w:line="185"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7"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ind w:right="1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MIT agreement, and which are relevant to our PNP-based NDCs, may have been generated using United States government funds. In addition,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our current or future PNP-based products or in CRLX301 pursuant to the Bayh-Dole Act of 1980. These United States government rights in certain inventions developed under a government-funded program include a non-exclusive, non-transferable, irrevocable worldwide license to use inventions for any governmental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553" w:right="259" w:bottom="1440" w:gutter="0" w:footer="0" w:header="0"/>
        </w:sectPr>
      </w:pPr>
    </w:p>
    <w:bookmarkStart w:id="69" w:name="page70"/>
    <w:bookmarkEnd w:id="69"/>
    <w:p>
      <w:pPr>
        <w:ind w:right="40"/>
        <w:spacing w:after="0" w:line="253" w:lineRule="auto"/>
        <w:rPr>
          <w:sz w:val="20"/>
          <w:szCs w:val="20"/>
          <w:color w:val="auto"/>
        </w:rPr>
      </w:pPr>
      <w:r>
        <w:rPr>
          <w:rFonts w:ascii="Times New Roman" w:cs="Times New Roman" w:eastAsia="Times New Roman" w:hAnsi="Times New Roman"/>
          <w:sz w:val="18"/>
          <w:szCs w:val="18"/>
          <w:color w:val="auto"/>
        </w:rPr>
        <w:t>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ind w:right="5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5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553" w:right="259" w:bottom="1440" w:gutter="0" w:footer="0" w:header="0"/>
        </w:sectPr>
      </w:pPr>
    </w:p>
    <w:bookmarkStart w:id="70" w:name="page71"/>
    <w:bookmarkEnd w:id="70"/>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553" w:right="259" w:bottom="1440" w:gutter="0" w:footer="0" w:header="0"/>
        </w:sectPr>
      </w:pPr>
    </w:p>
    <w:bookmarkStart w:id="71" w:name="page72"/>
    <w:bookmarkEnd w:id="71"/>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81"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ind w:right="500" w:firstLine="518"/>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4" w:lineRule="exact"/>
        <w:rPr>
          <w:sz w:val="20"/>
          <w:szCs w:val="20"/>
          <w:color w:val="auto"/>
        </w:rPr>
      </w:pPr>
    </w:p>
    <w:p>
      <w:pPr>
        <w:jc w:val="both"/>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553" w:right="259" w:bottom="1440" w:gutter="0" w:footer="0" w:header="0"/>
        </w:sectPr>
      </w:pPr>
    </w:p>
    <w:bookmarkStart w:id="72" w:name="page73"/>
    <w:bookmarkEnd w:id="72"/>
    <w:p>
      <w:pPr>
        <w:ind w:right="60"/>
        <w:spacing w:after="0" w:line="282" w:lineRule="auto"/>
        <w:rPr>
          <w:sz w:val="20"/>
          <w:szCs w:val="20"/>
          <w:color w:val="auto"/>
        </w:rPr>
      </w:pPr>
      <w:r>
        <w:rPr>
          <w:rFonts w:ascii="Times New Roman" w:cs="Times New Roman" w:eastAsia="Times New Roman" w:hAnsi="Times New Roman"/>
          <w:sz w:val="18"/>
          <w:szCs w:val="18"/>
          <w:color w:val="auto"/>
        </w:rPr>
        <w:t>an existing therapy or have relapsed. If any of our product candidates receives marketing approval, the accompanying label may limit the approved use of our drug in this way, which could limit sales of the product.</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8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35" w:lineRule="exact"/>
        <w:rPr>
          <w:sz w:val="20"/>
          <w:szCs w:val="20"/>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litigation involving patients taking our products;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the labeling or marketing of a product;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product distribution or use;</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warning or untitled letters;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the products from the market;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suspension of any ongoing clinical trials;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 of products;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fines, restitution or disgorgement of profits or revenues;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suspension or withdrawal of marketing approvals;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damage to relationships with any potential collaborators;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unfavorable press coverage and damage to our reputation;</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permit the import or export of our products;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seizure; or</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injunctions or the imposition of civil or criminal penalties.</w:t>
      </w:r>
    </w:p>
    <w:p>
      <w:pPr>
        <w:spacing w:after="0" w:line="373"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58"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53" w:right="239" w:bottom="1440" w:gutter="0" w:footer="0" w:header="0"/>
        </w:sectPr>
      </w:pPr>
    </w:p>
    <w:bookmarkStart w:id="73" w:name="page74"/>
    <w:bookmarkEnd w:id="73"/>
    <w:p>
      <w:pPr>
        <w:ind w:right="580"/>
        <w:spacing w:after="0" w:line="259" w:lineRule="auto"/>
        <w:rPr>
          <w:sz w:val="20"/>
          <w:szCs w:val="20"/>
          <w:color w:val="auto"/>
        </w:rPr>
      </w:pPr>
      <w:r>
        <w:rPr>
          <w:rFonts w:ascii="Times New Roman" w:cs="Times New Roman" w:eastAsia="Times New Roman" w:hAnsi="Times New Roman"/>
          <w:sz w:val="18"/>
          <w:szCs w:val="18"/>
          <w:color w:val="auto"/>
        </w:rPr>
        <w:t>arrangements and relationships through which we market, sell and distribute any products for which we obtain marketing approval. Restrictions under applicable federal and state healthcare laws and regulations, include the following:</w:t>
      </w:r>
    </w:p>
    <w:p>
      <w:pPr>
        <w:ind w:left="820" w:right="80" w:hanging="294"/>
        <w:spacing w:after="0" w:line="238"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31" w:lineRule="exact"/>
        <w:rPr>
          <w:rFonts w:ascii="Times New Roman" w:cs="Times New Roman" w:eastAsia="Times New Roman" w:hAnsi="Times New Roman"/>
          <w:sz w:val="22"/>
          <w:szCs w:val="22"/>
          <w:color w:val="auto"/>
        </w:rPr>
      </w:pPr>
    </w:p>
    <w:p>
      <w:pPr>
        <w:ind w:left="820" w:right="140" w:hanging="294"/>
        <w:spacing w:after="0" w:line="243"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28" w:lineRule="exact"/>
        <w:rPr>
          <w:rFonts w:ascii="Times New Roman" w:cs="Times New Roman" w:eastAsia="Times New Roman" w:hAnsi="Times New Roman"/>
          <w:sz w:val="22"/>
          <w:szCs w:val="22"/>
          <w:color w:val="auto"/>
        </w:rPr>
      </w:pPr>
    </w:p>
    <w:p>
      <w:pPr>
        <w:ind w:left="820" w:right="80" w:hanging="294"/>
        <w:spacing w:after="0" w:line="243"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28" w:lineRule="exact"/>
        <w:rPr>
          <w:rFonts w:ascii="Times New Roman" w:cs="Times New Roman" w:eastAsia="Times New Roman" w:hAnsi="Times New Roman"/>
          <w:sz w:val="22"/>
          <w:szCs w:val="22"/>
          <w:color w:val="auto"/>
        </w:rPr>
      </w:pPr>
    </w:p>
    <w:p>
      <w:pPr>
        <w:jc w:val="both"/>
        <w:ind w:left="820" w:right="40" w:hanging="294"/>
        <w:spacing w:after="0" w:line="239"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32" w:lineRule="exact"/>
        <w:rPr>
          <w:rFonts w:ascii="Times New Roman" w:cs="Times New Roman" w:eastAsia="Times New Roman" w:hAnsi="Times New Roman"/>
          <w:sz w:val="22"/>
          <w:szCs w:val="22"/>
          <w:color w:val="auto"/>
        </w:rPr>
      </w:pPr>
    </w:p>
    <w:p>
      <w:pPr>
        <w:ind w:left="820" w:hanging="294"/>
        <w:spacing w:after="0" w:line="235"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0" w:lineRule="exact"/>
        <w:rPr>
          <w:rFonts w:ascii="Times New Roman" w:cs="Times New Roman" w:eastAsia="Times New Roman" w:hAnsi="Times New Roman"/>
          <w:sz w:val="22"/>
          <w:szCs w:val="22"/>
          <w:color w:val="auto"/>
        </w:rPr>
      </w:pPr>
    </w:p>
    <w:p>
      <w:pPr>
        <w:ind w:left="820" w:right="680" w:hanging="294"/>
        <w:spacing w:after="0" w:line="235"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federal law requires applicable manufacturers of covered drugs to report payments and other transfers of value to physicians and teaching hospitals;</w:t>
      </w:r>
    </w:p>
    <w:p>
      <w:pPr>
        <w:spacing w:after="0" w:line="130" w:lineRule="exact"/>
        <w:rPr>
          <w:rFonts w:ascii="Times New Roman" w:cs="Times New Roman" w:eastAsia="Times New Roman" w:hAnsi="Times New Roman"/>
          <w:sz w:val="22"/>
          <w:szCs w:val="22"/>
          <w:color w:val="auto"/>
        </w:rPr>
      </w:pPr>
    </w:p>
    <w:p>
      <w:pPr>
        <w:ind w:left="820" w:right="60" w:hanging="294"/>
        <w:spacing w:after="0" w:line="243"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28" w:lineRule="exact"/>
        <w:rPr>
          <w:rFonts w:ascii="Times New Roman" w:cs="Times New Roman" w:eastAsia="Times New Roman" w:hAnsi="Times New Roman"/>
          <w:sz w:val="22"/>
          <w:szCs w:val="22"/>
          <w:color w:val="auto"/>
        </w:rPr>
      </w:pPr>
    </w:p>
    <w:p>
      <w:pPr>
        <w:ind w:left="820" w:right="20" w:hanging="294"/>
        <w:spacing w:after="0" w:line="244" w:lineRule="auto"/>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346"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553" w:right="259" w:bottom="1440" w:gutter="0" w:footer="0" w:header="0"/>
        </w:sectPr>
      </w:pPr>
    </w:p>
    <w:bookmarkStart w:id="74" w:name="page75"/>
    <w:bookmarkEnd w:id="74"/>
    <w:p>
      <w:pPr>
        <w:ind w:firstLine="518"/>
        <w:spacing w:after="0" w:line="257"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provisions of the PPACA of importance to our potential product candidates are the following:</w:t>
      </w:r>
    </w:p>
    <w:p>
      <w:pPr>
        <w:spacing w:after="0" w:line="99" w:lineRule="exact"/>
        <w:rPr>
          <w:sz w:val="20"/>
          <w:szCs w:val="20"/>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57" w:lineRule="exact"/>
        <w:rPr>
          <w:rFonts w:ascii="Times New Roman" w:cs="Times New Roman" w:eastAsia="Times New Roman" w:hAnsi="Times New Roman"/>
          <w:sz w:val="22"/>
          <w:szCs w:val="22"/>
          <w:color w:val="auto"/>
        </w:rPr>
      </w:pPr>
    </w:p>
    <w:p>
      <w:pPr>
        <w:ind w:left="820" w:right="500" w:hanging="294"/>
        <w:spacing w:after="0" w:line="235" w:lineRule="auto"/>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130" w:lineRule="exact"/>
        <w:rPr>
          <w:rFonts w:ascii="Times New Roman" w:cs="Times New Roman" w:eastAsia="Times New Roman" w:hAnsi="Times New Roman"/>
          <w:sz w:val="22"/>
          <w:szCs w:val="22"/>
          <w:color w:val="auto"/>
        </w:rPr>
      </w:pPr>
    </w:p>
    <w:p>
      <w:pPr>
        <w:ind w:left="820" w:right="300" w:hanging="294"/>
        <w:spacing w:after="0" w:line="235" w:lineRule="auto"/>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11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extension of manufacturers’ Medicaid rebate liability;</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expansion of eligibility criteria for Medicaid programs;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requirements to report financial arrangements with physicians and teaching hospitals;</w:t>
      </w:r>
    </w:p>
    <w:p>
      <w:pPr>
        <w:spacing w:after="0" w:line="13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57" w:lineRule="exact"/>
        <w:rPr>
          <w:rFonts w:ascii="Times New Roman" w:cs="Times New Roman" w:eastAsia="Times New Roman" w:hAnsi="Times New Roman"/>
          <w:sz w:val="22"/>
          <w:szCs w:val="22"/>
          <w:color w:val="auto"/>
        </w:rPr>
      </w:pPr>
    </w:p>
    <w:p>
      <w:pPr>
        <w:ind w:left="820" w:right="320" w:hanging="294"/>
        <w:spacing w:after="0" w:line="235" w:lineRule="auto"/>
        <w:tabs>
          <w:tab w:leader="none" w:pos="8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34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553" w:right="259" w:bottom="1440" w:gutter="0" w:footer="0" w:header="0"/>
        </w:sectPr>
      </w:pPr>
    </w:p>
    <w:bookmarkStart w:id="75" w:name="page76"/>
    <w:bookmarkEnd w:id="75"/>
    <w:p>
      <w:pPr>
        <w:ind w:right="280"/>
        <w:spacing w:after="0" w:line="282" w:lineRule="auto"/>
        <w:rPr>
          <w:sz w:val="20"/>
          <w:szCs w:val="20"/>
          <w:color w:val="auto"/>
        </w:rPr>
      </w:pPr>
      <w:r>
        <w:rPr>
          <w:rFonts w:ascii="Times New Roman" w:cs="Times New Roman" w:eastAsia="Times New Roman" w:hAnsi="Times New Roman"/>
          <w:sz w:val="18"/>
          <w:szCs w:val="18"/>
          <w:color w:val="auto"/>
        </w:rPr>
        <w:t>providers and increased the statute of limitations period for the government to recover overpayments to providers from three to five years. These new laws may result in additional reductions in Medicare and other healthcare funding.</w:t>
      </w:r>
    </w:p>
    <w:p>
      <w:pPr>
        <w:spacing w:after="0" w:line="162"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w:t>
      </w:r>
    </w:p>
    <w:p>
      <w:pPr>
        <w:spacing w:after="0" w:line="20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80" w:firstLine="518"/>
        <w:spacing w:after="0" w:line="26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53" w:right="239" w:bottom="1440" w:gutter="0" w:footer="0" w:header="0"/>
        </w:sectPr>
      </w:pPr>
    </w:p>
    <w:bookmarkStart w:id="76" w:name="page77"/>
    <w:bookmarkEnd w:id="76"/>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operating under a transitional management team following the resignation of our former president and chief executive officer.</w:t>
      </w:r>
    </w:p>
    <w:p>
      <w:pPr>
        <w:spacing w:after="0" w:line="22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Dr. Oliver Fetzer, our former president, chief executive officer and director, resigned from his positions effective October 29, 2014. We anticipate that we will continue to experience a transitional period until our new chief executive officer is hired and then fully integrated into his or her new roles.</w:t>
      </w:r>
    </w:p>
    <w:p>
      <w:pPr>
        <w:spacing w:after="0" w:line="16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Dr. Fetzer’s resignation, Paul A. Friedman, M.D., a member of our board of directors, was appointed Executive Chairman of our board and Christopher D.T. Guiffre was appointed as our Chief Operating Officer. Mr. Guiffre is serving as the Company’s principal executive officer.</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cannot predict how long it will take to find a new chief executive officer and it is possible that we will operate with a transitional leadership team for an extended period. If we are not able to appoint a new president and chief executive officer in a timely manner, or if either Dr. Friedman or Mr. Guiffre ceases to fulfill his respective new role during the transitional period, our business, financial condition, and results of operations could be materially and adversely affected. Moreover, we cannot provide any assurance that this transitional period will not result in a disruption that adversely impacts our business and employee morale.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We are highly dependent on the scientific, business development and clinical expertise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including finance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lease will expire in February 2016. If we elect not to exercise our extension right under this lease and are unable to lease suitable space, our need to relocate our facilities could delay our research and development efforts, adversely affect our business and damage employee morale.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553" w:right="259" w:bottom="1440" w:gutter="0" w:footer="0" w:header="0"/>
        </w:sectPr>
      </w:pPr>
    </w:p>
    <w:bookmarkStart w:id="77" w:name="page78"/>
    <w:bookmarkEnd w:id="77"/>
    <w:p>
      <w:pPr>
        <w:ind w:firstLine="518"/>
        <w:spacing w:after="0" w:line="255" w:lineRule="auto"/>
        <w:rPr>
          <w:sz w:val="20"/>
          <w:szCs w:val="20"/>
          <w:color w:val="auto"/>
        </w:rPr>
      </w:pPr>
      <w:r>
        <w:rPr>
          <w:rFonts w:ascii="Times New Roman" w:cs="Times New Roman" w:eastAsia="Times New Roman" w:hAnsi="Times New Roman"/>
          <w:sz w:val="18"/>
          <w:szCs w:val="18"/>
          <w:color w:val="auto"/>
        </w:rPr>
        <w:t>We lease laboratory and office space in Cambridge, Massachusetts under a lease expiring on February 29, 2016. We have the right to extend the lease for an additional three year term, subject to reaching agreement with the landlord on market rent for the term of the extension. Our landlord is attempting to sell the building in which we are located, and the efforts to sell the building may make it more difficult for us to reach an agreement on the market rent for the term of the extension. If we elect not to exercise our extension right, or are not able to reach agreement on market rent for the term of the extension, we will need to relocate our laboratory and office space. In these circumstances, we may be unable to obtain alternative facilities due to our financial condition or for other reasons, and we may be unable to fully relocate our existing operations before termination of our existing lease, thereby disrupting our business and research and development activities. In the event that we relocate to a new location, the new location we choose may adversely affect employee retention or recruitment, and the process of moving our offices to a new location may disrupt our operations.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February 28, 2015, the sale price of our common stock as reported on the NASDAQ Global Market ranged from a high of $8.44 per share to a low of $3.35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113" w:lineRule="exact"/>
        <w:rPr>
          <w:sz w:val="20"/>
          <w:szCs w:val="20"/>
          <w:color w:val="auto"/>
        </w:rPr>
      </w:pPr>
    </w:p>
    <w:p>
      <w:pPr>
        <w:ind w:left="820" w:right="40" w:hanging="294"/>
        <w:spacing w:after="0" w:line="266"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Phase 1 clinical trial of CRLX301, as well as results of regulatory reviews relating to the approval of our product candidates;</w:t>
      </w:r>
    </w:p>
    <w:p>
      <w:pPr>
        <w:spacing w:after="0" w:line="95"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any collaboration or licensing arrangement;</w:t>
      </w:r>
    </w:p>
    <w:p>
      <w:pPr>
        <w:spacing w:after="0" w:line="157" w:lineRule="exact"/>
        <w:rPr>
          <w:rFonts w:ascii="Times New Roman" w:cs="Times New Roman" w:eastAsia="Times New Roman" w:hAnsi="Times New Roman"/>
          <w:sz w:val="18"/>
          <w:szCs w:val="18"/>
          <w:color w:val="auto"/>
        </w:rPr>
      </w:pPr>
    </w:p>
    <w:p>
      <w:pPr>
        <w:ind w:left="820" w:right="20" w:hanging="294"/>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94"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57" w:lineRule="exact"/>
        <w:rPr>
          <w:rFonts w:ascii="Times New Roman" w:cs="Times New Roman" w:eastAsia="Times New Roman" w:hAnsi="Times New Roman"/>
          <w:sz w:val="18"/>
          <w:szCs w:val="18"/>
          <w:color w:val="auto"/>
        </w:rPr>
      </w:pPr>
    </w:p>
    <w:p>
      <w:pPr>
        <w:ind w:left="820" w:right="740" w:hanging="294"/>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94"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57" w:lineRule="exact"/>
        <w:rPr>
          <w:rFonts w:ascii="Times New Roman" w:cs="Times New Roman" w:eastAsia="Times New Roman" w:hAnsi="Times New Roman"/>
          <w:sz w:val="18"/>
          <w:szCs w:val="18"/>
          <w:color w:val="auto"/>
        </w:rPr>
      </w:pPr>
    </w:p>
    <w:p>
      <w:pPr>
        <w:ind w:left="820" w:right="20" w:hanging="294"/>
        <w:spacing w:after="0" w:line="282"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94"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biopharmaceutical industries;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recommendations by securities analysts;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 and</w:t>
      </w:r>
    </w:p>
    <w:p>
      <w:pPr>
        <w:spacing w:after="0" w:line="157"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553" w:right="279" w:bottom="1440" w:gutter="0" w:footer="0" w:header="0"/>
        </w:sectPr>
      </w:pPr>
    </w:p>
    <w:bookmarkStart w:id="78" w:name="page79"/>
    <w:bookmarkEnd w:id="78"/>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believe that as of February 28, 2015, our executive officers and directors and their affiliates will own 37.2%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could:</w:t>
      </w:r>
    </w:p>
    <w:p>
      <w:pPr>
        <w:spacing w:after="0" w:line="158" w:lineRule="exact"/>
        <w:rPr>
          <w:sz w:val="20"/>
          <w:szCs w:val="20"/>
          <w:color w:val="auto"/>
        </w:rPr>
      </w:pPr>
    </w:p>
    <w:p>
      <w:pPr>
        <w:ind w:left="820" w:hanging="29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board of directors; or</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right="2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2014, there were 2,126,186 shares subject to outstanding options. In August 2014, we registered all of these shares under the Securities Act of 1933, as amended,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December 31, 2014, there were 128,663 shares subject to outstanding warrants to purchase common stock. These shares will become eligible for sale in the public market, to the extent such warrants are exercised, as permitted by Rule 144 under the Securities Act. Moreover, holders of approximately 6.9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553" w:right="259" w:bottom="1440" w:gutter="0" w:footer="0" w:header="0"/>
        </w:sectPr>
      </w:pPr>
    </w:p>
    <w:bookmarkStart w:id="79" w:name="page80"/>
    <w:bookmarkEnd w:id="79"/>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9" w:lineRule="exact"/>
        <w:rPr>
          <w:sz w:val="20"/>
          <w:szCs w:val="20"/>
          <w:color w:val="auto"/>
        </w:rPr>
      </w:pPr>
    </w:p>
    <w:p>
      <w:pPr>
        <w:ind w:left="820" w:right="120" w:hanging="294"/>
        <w:spacing w:after="0" w:line="282"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92" w:lineRule="exact"/>
        <w:rPr>
          <w:rFonts w:ascii="Times New Roman" w:cs="Times New Roman" w:eastAsia="Times New Roman" w:hAnsi="Times New Roman"/>
          <w:sz w:val="18"/>
          <w:szCs w:val="18"/>
          <w:color w:val="auto"/>
        </w:rPr>
      </w:pPr>
    </w:p>
    <w:p>
      <w:pPr>
        <w:ind w:left="820" w:hanging="294"/>
        <w:spacing w:after="0" w:line="282"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92" w:lineRule="exact"/>
        <w:rPr>
          <w:rFonts w:ascii="Times New Roman" w:cs="Times New Roman" w:eastAsia="Times New Roman" w:hAnsi="Times New Roman"/>
          <w:sz w:val="18"/>
          <w:szCs w:val="18"/>
          <w:color w:val="auto"/>
        </w:rPr>
      </w:pPr>
    </w:p>
    <w:p>
      <w:pPr>
        <w:ind w:left="820" w:right="420" w:hanging="294"/>
        <w:spacing w:after="0" w:line="282"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9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61"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5" w:lineRule="exact"/>
        <w:rPr>
          <w:sz w:val="20"/>
          <w:szCs w:val="20"/>
          <w:color w:val="auto"/>
        </w:rPr>
      </w:pPr>
    </w:p>
    <w:p>
      <w:pPr>
        <w:ind w:firstLine="518"/>
        <w:spacing w:after="0" w:line="271" w:lineRule="auto"/>
        <w:rPr>
          <w:sz w:val="20"/>
          <w:szCs w:val="20"/>
          <w:color w:val="auto"/>
        </w:rPr>
      </w:pPr>
      <w:r>
        <w:rPr>
          <w:rFonts w:ascii="Times New Roman" w:cs="Times New Roman" w:eastAsia="Times New Roman" w:hAnsi="Times New Roman"/>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49" w:right="239" w:bottom="1440" w:gutter="0" w:footer="0" w:header="0"/>
        </w:sectPr>
      </w:pPr>
    </w:p>
    <w:bookmarkStart w:id="80" w:name="page81"/>
    <w:bookmarkEnd w:id="80"/>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spacing w:after="0" w:line="120" w:lineRule="exact"/>
        <w:rPr>
          <w:sz w:val="20"/>
          <w:szCs w:val="20"/>
          <w:color w:val="auto"/>
        </w:rPr>
      </w:pPr>
    </w:p>
    <w:p>
      <w:pPr>
        <w:ind w:left="820" w:hanging="29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92" w:lineRule="exact"/>
        <w:rPr>
          <w:rFonts w:ascii="Times New Roman" w:cs="Times New Roman" w:eastAsia="Times New Roman" w:hAnsi="Times New Roman"/>
          <w:sz w:val="18"/>
          <w:szCs w:val="18"/>
          <w:color w:val="auto"/>
        </w:rPr>
      </w:pPr>
    </w:p>
    <w:p>
      <w:pPr>
        <w:ind w:left="820" w:right="580" w:hanging="294"/>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pacing w:after="0" w:line="229"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292"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92" w:lineRule="exact"/>
        <w:rPr>
          <w:rFonts w:ascii="Times New Roman" w:cs="Times New Roman" w:eastAsia="Times New Roman" w:hAnsi="Times New Roman"/>
          <w:sz w:val="18"/>
          <w:szCs w:val="18"/>
          <w:color w:val="auto"/>
        </w:rPr>
      </w:pPr>
    </w:p>
    <w:p>
      <w:pPr>
        <w:ind w:left="820" w:right="440" w:hanging="294"/>
        <w:spacing w:after="0" w:line="313" w:lineRule="auto"/>
        <w:tabs>
          <w:tab w:leader="none" w:pos="8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205" w:lineRule="exact"/>
        <w:rPr>
          <w:rFonts w:ascii="Times New Roman" w:cs="Times New Roman" w:eastAsia="Times New Roman" w:hAnsi="Times New Roman"/>
          <w:sz w:val="17"/>
          <w:szCs w:val="17"/>
          <w:color w:val="auto"/>
        </w:rPr>
      </w:pPr>
    </w:p>
    <w:p>
      <w:pPr>
        <w:ind w:left="820" w:right="600" w:hanging="294"/>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29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16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49" w:right="239" w:bottom="1440" w:gutter="0" w:footer="0" w:header="0"/>
        </w:sectPr>
      </w:pPr>
    </w:p>
    <w:bookmarkStart w:id="81" w:name="page82"/>
    <w:bookmarkEnd w:id="8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approximately 23,000 square feet of office and laboratory space located at 840 Memorial Drive, Cambridge, Massachusetts. The lease expires in February 2016, subject to our option to extend the lease for an additional three years.</w:t>
      </w:r>
    </w:p>
    <w:p>
      <w:pPr>
        <w:spacing w:after="0" w:line="2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March 2014, Calando Pharmaceuticals, Inc., or Calando, entered Chapter 7 bankruptcy in the District of Delaware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3, 2015 Calando’s bankruptcy trustee submitted an application with the bankruptcy court seeking authority to retain a broker to sell Calando’s rights in certain assets including its rights in the license agreements with Cerulean. We have reserved our rights with respect to any such sale.</w:t>
      </w:r>
    </w:p>
    <w:p>
      <w:pPr>
        <w:spacing w:after="0" w:line="29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240" w:top="657"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Shares,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Our commons stock has been listed on the NASDAQ Global Market under the symbol “CERU” since April 2014. The following table sets forth on a per share basis, for the periods indicated, the low and high sale prices of our common stock as report by the NASDAQ Global Market.</w:t>
      </w:r>
    </w:p>
    <w:p>
      <w:pPr>
        <w:spacing w:after="0" w:line="16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December 31, 2014</w:t>
      </w:r>
    </w:p>
    <w:tbl>
      <w:tblPr>
        <w:tblLayout w:type="fixed"/>
        <w:tblInd w:w="0" w:type="dxa"/>
        <w:tblCellMar>
          <w:top w:w="0" w:type="dxa"/>
          <w:left w:w="0" w:type="dxa"/>
          <w:bottom w:w="0" w:type="dxa"/>
          <w:right w:w="0" w:type="dxa"/>
        </w:tblCellMar>
      </w:tblPr>
      <w:tr>
        <w:trPr>
          <w:trHeight w:val="155"/>
        </w:trPr>
        <w:tc>
          <w:tcPr>
            <w:tcW w:w="5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(from April 10, 2014)</w:t>
            </w:r>
          </w:p>
        </w:tc>
        <w:tc>
          <w:tcPr>
            <w:tcW w:w="26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close of business on March 16, 2015, there were approximately 54 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any current and future earnings to finance the growth and development of our business and, therefore, do not anticipate paying any cash dividends in the foreseeable future. Our amended and restated credit facility contains restrictions on our ability to pay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 April 15, 2014, we completed the sale of 8,500,000 shares of our common stock in our IPO at a public offering price of $7.00 per share. On May 7, 2014, we completed the sale of an additional 1,069,715 shares of common stock at a public offering price of $7.00 per share, pursuant to a partial exercise by the underwriters of their option to purchase additional shares of common stock. All of the shares issued and sold in our IPO were registered under the Securities Act of 1933, as amended, pursuant to a Registration Statement on Form S-1 (File No. 333-194442), which was declared effective by the Securities and Exchange Commission on April 10, 2014.</w:t>
      </w:r>
    </w:p>
    <w:p>
      <w:pPr>
        <w:spacing w:after="0" w:line="184" w:lineRule="exact"/>
        <w:rPr>
          <w:sz w:val="20"/>
          <w:szCs w:val="20"/>
          <w:color w:val="auto"/>
        </w:rPr>
      </w:pPr>
    </w:p>
    <w:p>
      <w:pPr>
        <w:ind w:right="140" w:firstLine="518"/>
        <w:spacing w:after="0" w:line="253" w:lineRule="auto"/>
        <w:rPr>
          <w:sz w:val="20"/>
          <w:szCs w:val="20"/>
          <w:color w:val="auto"/>
        </w:rPr>
      </w:pPr>
      <w:r>
        <w:rPr>
          <w:rFonts w:ascii="Times New Roman" w:cs="Times New Roman" w:eastAsia="Times New Roman" w:hAnsi="Times New Roman"/>
          <w:sz w:val="18"/>
          <w:szCs w:val="18"/>
          <w:color w:val="auto"/>
        </w:rPr>
        <w:t>The net offering proceeds to us, after deducting underwriting discounts and offering expenses payable by us were approximately $59.9 million. As of December 31, 2014, we have used approximately $8.7 million of the net proceeds from our IPO for research and development of our programs, working capital and other general corporate purposes. None of the net proceeds were paid directly or indirectly to directors or officers of ours or their associates or to persons owning 10 percent or more of our common stock or to any affiliates of ours, other than payments in the ordinary course of business to officers for salaries and to non-employee directors as compensation for board or board committee service. We have invested the net proceeds from the offering in a variety of capital preservation investments, including short-term, investment grade, interest bearing instruments and U.S. government securities. There has been no material change in our planned use of the net proceeds from our IPO as described in our final prospectus filed with the SEC pursuant to Rule 424(b)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on April 14,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333"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the Company under the Securities Act of 1933, as amended, or the Exchange Act.</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for the our common shares for the period from April 10, 2014 through December 31, 2014 with The NASDAQ Composite Index and the NASDAQ Biotechnology index (NBI). The comparison assumes an investment of $100 is made on April 10, 2014 in the Company’s common shares and in each of the indices and in the case of the indices it also assumes reinvestment of all dividends.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51145" cy="4442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657" w:right="279" w:bottom="1440" w:gutter="0" w:footer="0" w:header="0"/>
        </w:sectPr>
      </w:pPr>
    </w:p>
    <w:bookmarkStart w:id="84" w:name="page85"/>
    <w:bookmarkEnd w:id="84"/>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You should read the following selected consolidated financial data in conjunction with “Management’s Discussion and Analysis of Financial Condition and Results of Operations” and our consolidated financial statements and the related notes appearing elsewhere in this Annual Report on Form 10-K. We have derived the consolidated statements of operations data for the years ended December 31, 2014, 2013 and 2012, and the consolidated balance sheet data at December 31, 2014 and 2013 from our audited consolidated financial statements included in this report on Form 10-K. The consolidated balance sheet data as of December 31, 2012 are from our audited consolidated financial statements that are not in this Form 10-K. Our historical results for any prior period are not necessarily indicative of the results to be expected in any future period.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 and per share data)</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4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(2,493)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(expense)—net</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8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9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2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(121,781)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(98,439)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3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(94,299)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(80,039)</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85" w:name="page86"/>
    <w:bookmarkEnd w:id="85"/>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This platform utilizes nanoparticle-drug conjugates, or NDCs, which consist of proprietary polymers that are covalently linked to anti-cancer therapeutics, or payloads. We believe these NDCs dynamically target tumors by exploiting the leakiness of new blood vessels in tumors as an entry portal into tumor tissue, followed by active uptake into tumor cells and the sustained release of the anti-cancer payload inside the tumor cells. We believe that our NDCs are differentiated from other nanoparticle technologies by our linker technology, which allows for preferential delivery of our anti-cancer payloads.</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lead product candidate, CRLX101, is a dynamically tumor targeted NDC in Phase 2 clinical development and has the potential to improve outcomes for patients in combination with other cancer treatments. We believe CRLX101, which contains camptothecin as its anti-cancer payload, is a potent, durable and combinable inhibitor of topoisomerase 1, or topo 1, a commercially validated cancer target, and hypoxia inducible factor, or HIF, a novel target of increasing interest in cancer research. Two products that have been marketed by other companies, irinotecan and topotecan, inhibit topo 1, but their utility is limited by toxicities. Recent research suggests that HIF, and in particular the HIF subunit HIF-lα, is a master regulator of multiple cancer cell survival pathways. Over 250 patients have been administered CRLX101 in multiple indications at several clinical trial sites. In clinical trials evaluating CRLX101 as a single agent, CRLX101 was generally well tolerated with a toxicity profile generally characterized by low-grade (Common Terminology Criteria for Adverse Events grade 1-2) adverse events. No treatment-related trial deaths have been observed to date. In ongoing clinical trials, CRLX101 also appears active and combinable with Avastin (bevacizumab) and chemoradiotherapy, or CRT, which is a combination of capecitabine and radiation. In addition, preclinical data indicate that CRLX101 may be combinable with other anti-cancer therapies. We are pursuing development of CRLX101 in combination with anti-cancer therapies in multiple ongoing clinical development programs that include a company-sponsored trial and investigator-sponsored trials, or ISTs. These trials consist of:</w:t>
      </w:r>
    </w:p>
    <w:p>
      <w:pPr>
        <w:spacing w:after="0" w:line="81" w:lineRule="exact"/>
        <w:rPr>
          <w:sz w:val="20"/>
          <w:szCs w:val="20"/>
          <w:color w:val="auto"/>
        </w:rPr>
      </w:pPr>
    </w:p>
    <w:p>
      <w:pPr>
        <w:ind w:left="1020" w:hanging="49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renal cell carcinoma:</w:t>
      </w:r>
    </w:p>
    <w:p>
      <w:pPr>
        <w:spacing w:after="0" w:line="279" w:lineRule="exact"/>
        <w:rPr>
          <w:rFonts w:ascii="Times New Roman" w:cs="Times New Roman" w:eastAsia="Times New Roman" w:hAnsi="Times New Roman"/>
          <w:sz w:val="18"/>
          <w:szCs w:val="18"/>
          <w:color w:val="auto"/>
        </w:rPr>
      </w:pPr>
    </w:p>
    <w:p>
      <w:pPr>
        <w:ind w:left="1520" w:right="80" w:hanging="473"/>
        <w:spacing w:after="0" w:line="25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Phase 2 randomized, controlled, company-sponsored trial is being conducted comparing CRLX101 administered in combination with</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Avastin to investigator’s choice of standard of care in patients with renal cell carcinoma, or RCC, who have received two or three prior lines of therapy. We refer to this study as the RCC Trial. The RCC Trial is currently being conducted at approximately 30 sites in the United States, with eight additional sites planned in the United States and five additional sites planned in South Korea. Based on results from the Phase 1b/2 IST in relapsed RCC, discussed below, we believe that the combination of CRLX101 and Avastin may provide therapeutic benefits to patients with RCC who have received two or three prior lines of therapy including a tyrosine kinase inhibitor, or TKI, and/or an inhibitor of a mammalian target of rapamycin, or an mTORI.</w:t>
      </w:r>
    </w:p>
    <w:p>
      <w:pPr>
        <w:spacing w:after="0" w:line="243" w:lineRule="exact"/>
        <w:rPr>
          <w:rFonts w:ascii="Times New Roman" w:cs="Times New Roman" w:eastAsia="Times New Roman" w:hAnsi="Times New Roman"/>
          <w:sz w:val="18"/>
          <w:szCs w:val="18"/>
          <w:color w:val="auto"/>
        </w:rPr>
      </w:pPr>
    </w:p>
    <w:p>
      <w:pPr>
        <w:ind w:left="1520" w:right="20" w:hanging="473"/>
        <w:spacing w:after="0" w:line="25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Phase 1b/2 single-arm IST of CRLX101 in combination with Avastin in patients with relapsed RCC is being conducted at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University of Pennsylvania and Thomas Jefferson University Hospital. A total of 22 patients were enrolled in this trial. The last patient was enrolled in December of 2014, and the trial has met its primary endpoint of at least 50% of patients achieving four months progression free survival, or PFS. Preliminary data from this clinical trial has been submitted for presentation at the 2015 annual meeting of the American Society of Clinical Oncology, or ASCO. As of February 3, 2015, the date of the abstract submission to ASCO, the median PFS, or mPFS, of patients on the trial was 9.9 months, with seven of the 22 patients still receiving treatment. Based on third-party published data, the mPFS of the standard of care in this setting is approximately 3.5 months. In addition, the Response Evaluation Criteria in Solid Tumor, or RECIST, partial response rate of patients on the trial as of February 3, 2015 was 23%. Several recent studies in advanced RCC suggest that after treatment with a TKI, subsequent therapies, including Avastin alone, achieve RECIST partial response rates of only between 2% and 4%.</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536" w:right="259" w:bottom="1440" w:gutter="0" w:footer="0" w:header="0"/>
        </w:sectPr>
      </w:pPr>
    </w:p>
    <w:bookmarkStart w:id="86" w:name="page87"/>
    <w:bookmarkEnd w:id="86"/>
    <w:p>
      <w:pPr>
        <w:ind w:left="1020" w:hanging="49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279" w:lineRule="exact"/>
        <w:rPr>
          <w:rFonts w:ascii="Times New Roman" w:cs="Times New Roman" w:eastAsia="Times New Roman" w:hAnsi="Times New Roman"/>
          <w:sz w:val="18"/>
          <w:szCs w:val="18"/>
          <w:color w:val="auto"/>
        </w:rPr>
      </w:pPr>
    </w:p>
    <w:p>
      <w:pPr>
        <w:ind w:left="1520" w:right="20" w:hanging="473"/>
        <w:spacing w:after="0" w:line="257"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Phase 2 single-arm IST of CRLX101 as monotherapy and in combination with Avastin in patients with relapsed ovarian cancer is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being conducted at Massachusetts General Hospital and affiliated Harvard University teaching hospitals. As previously reported, the first stage of the trial, administering CRLX101 as monotherapy, met its primary endpoint of PFS at six months for at least four</w:t>
      </w:r>
    </w:p>
    <w:p>
      <w:pPr>
        <w:ind w:left="152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RECIST responses, as well as encouraging PFS, were observed for several patients. Platinum-resistant ovarian cancer patients are being enrolled in the second stage of this trial, administering CRLX101 in combination with Avastin.</w:t>
      </w:r>
    </w:p>
    <w:p>
      <w:pPr>
        <w:spacing w:after="0" w:line="232" w:lineRule="exact"/>
        <w:rPr>
          <w:rFonts w:ascii="Times New Roman" w:cs="Times New Roman" w:eastAsia="Times New Roman" w:hAnsi="Times New Roman"/>
          <w:sz w:val="18"/>
          <w:szCs w:val="18"/>
          <w:color w:val="auto"/>
        </w:rPr>
      </w:pPr>
    </w:p>
    <w:p>
      <w:pPr>
        <w:ind w:left="1520" w:right="300" w:hanging="473"/>
        <w:spacing w:after="0" w:line="257"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We have commenced start-up activities for a Phase 1b single-arm company-sponsored trial of CRLX101 in combination with weekly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paclitaxel in patients with relapsed ovarian cancer conducted in collaboration with the GOG Foundation, Inc. (formerly known as the Gynecologic Oncology Group), or GOG.</w:t>
      </w:r>
    </w:p>
    <w:p>
      <w:pPr>
        <w:spacing w:after="0" w:line="247"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Neoadjuvant rectal cancer:</w:t>
      </w:r>
    </w:p>
    <w:p>
      <w:pPr>
        <w:spacing w:after="0" w:line="279" w:lineRule="exact"/>
        <w:rPr>
          <w:rFonts w:ascii="Times New Roman" w:cs="Times New Roman" w:eastAsia="Times New Roman" w:hAnsi="Times New Roman"/>
          <w:sz w:val="18"/>
          <w:szCs w:val="18"/>
          <w:color w:val="auto"/>
        </w:rPr>
      </w:pPr>
    </w:p>
    <w:p>
      <w:pPr>
        <w:ind w:left="1520" w:right="60" w:hanging="473"/>
        <w:spacing w:after="0" w:line="25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Phase 1b/2 single-arm IST of CRLX101 in combination with CRT in patients with non-metastatic rectal cancer is being conducted at</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the University of North Carolina at Chapel Hill and several other sites, including the University of Indiana, Wake Forest University, Rex Hospital Inc. and Southeastern Medical Oncology Center. No dose limiting toxicities, or DLTs, have been reported in the Phase 1b stage of the trial, in which a maximum tolerated dose, or MTD, and recommended Phase 2 dose, or RP2D, of 15 mg/m2 of CRLX101 was established when administered in combination with capecitabine and radiotherapy. Patients are currently being enrolled in the RP2D expansion Phase 2 stage of the trial.</w:t>
      </w:r>
    </w:p>
    <w:p>
      <w:pPr>
        <w:spacing w:after="0" w:line="3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hold issued patents in the United States, Japan and Europe covering the composition of matter of CRLX101 that expire in 2023 and 2024, excluding any potential patent term extension. Due to the ability of NDCs to target the “leaky” vasculature that is present in all solid tumors and CRLX101’s apparently favorable adverse event profile observed to date, we believe CRLX101 may have significant clinical utility in several cancer indications, particularly in combination with other cancer therapies. Our development focus is on tumor types where HIF is up-regulated, topo 1 inhibition is desirable, and drug combinations with CRLX101 can be pursued.</w:t>
      </w:r>
    </w:p>
    <w:p>
      <w:pPr>
        <w:spacing w:after="0" w:line="184"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CRLX301, our second platform-generated clinical candidate, is a dynamically tumor-targeted NDC in Phase 1 clinical development. CRLX301 is designed to concentrate in tumors and slowly release its anti-cancer payload, docetaxel, inside tumor cells. Docetaxel is a microtubule stabilizer that is extensively used in clinical practice and is approved by the FDA for the treatment of locally advanced or metastatic non-small cell lung cancer, locally advanced squamous cell carcinoma of the head and neck, androgen-independent prostate cancer, locally advanced or metastatic breast cancer and advanced gastric cancer. In preclinical studies, CRLX301 delivered up to ten times more docetaxel into tumors, compared to an equivalent milligram dose of commercially available docetaxel and was superior to docetaxel in seven of seven animal models, with a statistically significant survival benefit seen in five of the seven models. In addition, preclinical data show that CRLX301 had lower toxicity than has been reported with docetaxel in similar preclinical studies. We hold issued patents in the United States, Japan and Europe covering the composition of matter of CRLX301 that expire in 2023 and 2024, excluding any potential patent term extension.</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proprietary Dynamic Tumor Targeting Platform utilizes cyclodextrin polymer, or CDP, technology, which is primarily used for creating NDCs that contain small molecules such as camptothecin in the case of CRLX101 and docetaxel in the case of CRLX301. In addition to CRLX101 and CRLX301, we have generated additional NDCs using our Dynamic Tumor Targeting Platform. We intend to pursue additional product candidate opportunities either by ourselves or in strategic partnerships with pharmaceutical companies to maximize value generation from our platform.</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devoted substantially all of our resources to our drug discovery and development efforts, including conducting clinical trials of our product candidates, protecting our intellectual property and the general and administrative support of these operations. To date, we have generated no revenue from product sales. We expect that it will be several years before we commercialize a product candidate, if ever. Through December 31, 2014, we have funded our operations primarily through $84.2 million in proceeds from the sale of shares of our convertible preferred stock in private placements, net proceeds of $59.9 million from sales of shares of our common stock to the public, $17.3 million in proceeds from our sale of convertible promissory notes, and $10.0 million in proceeds from borrowings under our loan and security agreement with Lighthouse Capital Partners VI, L.P., or Lighthouse Capital. We refer to our loan and security agreement with Lighthouse Capital as the Lighthouse Loan Agreement.</w:t>
      </w:r>
    </w:p>
    <w:p>
      <w:pPr>
        <w:spacing w:after="0" w:line="18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with Hercules Technology Growth Capital, Inc., or Hercules. We refer to this loan and security agreement as the Hercules Loan Agreement. Pursuant to the Hercules Loan Agreement, we are eligible to borrow up to an aggregate principal amount of $26.0 million, subject to certain conditions. On January 8, 2015, 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43" w:right="259" w:bottom="1440" w:gutter="0" w:footer="0" w:header="0"/>
        </w:sectPr>
      </w:pPr>
    </w:p>
    <w:bookmarkStart w:id="87" w:name="page88"/>
    <w:bookmarkEnd w:id="87"/>
    <w:p>
      <w:pPr>
        <w:ind w:right="180"/>
        <w:spacing w:after="0" w:line="266" w:lineRule="auto"/>
        <w:rPr>
          <w:sz w:val="20"/>
          <w:szCs w:val="20"/>
          <w:color w:val="auto"/>
        </w:rPr>
      </w:pPr>
      <w:r>
        <w:rPr>
          <w:rFonts w:ascii="Times New Roman" w:cs="Times New Roman" w:eastAsia="Times New Roman" w:hAnsi="Times New Roman"/>
          <w:sz w:val="18"/>
          <w:szCs w:val="18"/>
          <w:color w:val="auto"/>
        </w:rPr>
        <w:t>borrowed $15.0 million under the Hercules Loan Agreement, and we used a portion of those proceeds to repay our outstanding indebtedness under the Lighthouse Loan Agreement. In connection with entering into the Hercules Loan Agreement, we sold 135,501 shares of our common stock to Hercules in a private placement and received $1.0 million in proceeds.</w:t>
      </w:r>
    </w:p>
    <w:p>
      <w:pPr>
        <w:spacing w:after="0" w:line="176" w:lineRule="exact"/>
        <w:rPr>
          <w:sz w:val="20"/>
          <w:szCs w:val="20"/>
          <w:color w:val="auto"/>
        </w:rPr>
      </w:pPr>
    </w:p>
    <w:p>
      <w:pPr>
        <w:jc w:val="both"/>
        <w:ind w:right="860" w:firstLine="518"/>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December 31, 2014, we had an accumulated deficit of $121.8 million. We incurred net losses of approximately $23.3 million, $17.1 million and $22.2 million for the years ended December 31, 2014, 2013, and 2012, respectively.</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from discovery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 April 15, 2014, we completed the sale of 8,500,000 shares of common stock in our initial public offering, or IPO, at a price to the public of $7.00 per share. On May 7, 2014, we completed the sale of an additional 1,069,715 shares of common stock at a price to the public of $7.00 per share, pursuant to a partial exercise by the underwriters of their option to purchase additional shares of common stock. The sale of the shares to the public resulted in aggregate net proceeds to us of $59.9 million after deducting underwriting discounts and commissions and offering expenses payable by 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each of the following occurred in the second quarter of 2014 in connection with the completion of our IPO on April 15, 2014:</w:t>
      </w:r>
    </w:p>
    <w:p>
      <w:pPr>
        <w:spacing w:after="0" w:line="117" w:lineRule="exact"/>
        <w:rPr>
          <w:sz w:val="20"/>
          <w:szCs w:val="20"/>
          <w:color w:val="auto"/>
        </w:rPr>
      </w:pPr>
    </w:p>
    <w:p>
      <w:pPr>
        <w:ind w:left="1020" w:hanging="49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convertible preferred stock into 6,826,004 shares of our common stock;</w:t>
      </w:r>
    </w:p>
    <w:p>
      <w:pPr>
        <w:spacing w:after="0" w:line="292" w:lineRule="exact"/>
        <w:rPr>
          <w:rFonts w:ascii="Times New Roman" w:cs="Times New Roman" w:eastAsia="Times New Roman" w:hAnsi="Times New Roman"/>
          <w:sz w:val="18"/>
          <w:szCs w:val="18"/>
          <w:color w:val="auto"/>
        </w:rPr>
      </w:pPr>
    </w:p>
    <w:p>
      <w:pPr>
        <w:ind w:left="1020" w:right="140" w:hanging="494"/>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$17.8 million of outstanding principal and accrued interest on convertible notes into 2,902,233 shares of our common stock; and</w:t>
      </w:r>
    </w:p>
    <w:p>
      <w:pPr>
        <w:spacing w:after="0" w:line="229" w:lineRule="exact"/>
        <w:rPr>
          <w:rFonts w:ascii="Times New Roman" w:cs="Times New Roman" w:eastAsia="Times New Roman" w:hAnsi="Times New Roman"/>
          <w:sz w:val="18"/>
          <w:szCs w:val="18"/>
          <w:color w:val="auto"/>
        </w:rPr>
      </w:pPr>
    </w:p>
    <w:p>
      <w:pPr>
        <w:ind w:left="1020" w:right="20" w:hanging="494"/>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warrants to purchase 1,857,226 shares of convertible preferred stock into warrants to purchase 128,663 shares of our common stock and the reclassification of the $0.4 million warrant liability to additional paid-in capital.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and our dynamic tumor targeting technology. If we fail to complete the development of our product candidates in a timely manner, to fully realize the value and potential of our technology platform, or to obtain regulatory approval for our product candidates, our ability to generate future revenue and our results of operations and financial position would be materially adversely affected.</w:t>
      </w:r>
    </w:p>
    <w:p>
      <w:pPr>
        <w:spacing w:after="0" w:line="18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we received in 2011, 2012, 2013, and 2014 from four material transfer agreements and a research agreement. Pursuant to each of the agreements, we received payments in exchange for a pharmaceutical company’s use of our proprietary technology for research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Dynamic Tumor Targeting Platform and our product candidates. These expenses consist primarily of:</w:t>
      </w:r>
    </w:p>
    <w:p>
      <w:pPr>
        <w:spacing w:after="0" w:line="54" w:lineRule="exact"/>
        <w:rPr>
          <w:sz w:val="20"/>
          <w:szCs w:val="20"/>
          <w:color w:val="auto"/>
        </w:rPr>
      </w:pPr>
    </w:p>
    <w:p>
      <w:pPr>
        <w:ind w:left="1020" w:hanging="49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92" w:lineRule="exact"/>
        <w:rPr>
          <w:rFonts w:ascii="Times New Roman" w:cs="Times New Roman" w:eastAsia="Times New Roman" w:hAnsi="Times New Roman"/>
          <w:sz w:val="18"/>
          <w:szCs w:val="18"/>
          <w:color w:val="auto"/>
        </w:rPr>
      </w:pPr>
    </w:p>
    <w:p>
      <w:pPr>
        <w:ind w:left="1020" w:right="520" w:hanging="494"/>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553" w:right="259" w:bottom="1440" w:gutter="0" w:footer="0" w:header="0"/>
        </w:sectPr>
      </w:pPr>
    </w:p>
    <w:bookmarkStart w:id="88" w:name="page89"/>
    <w:bookmarkEnd w:id="88"/>
    <w:p>
      <w:pPr>
        <w:ind w:left="1020" w:hanging="49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scientific and medical consultants and advisors;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trial materials;</w:t>
      </w:r>
    </w:p>
    <w:p>
      <w:pPr>
        <w:spacing w:after="0" w:line="292" w:lineRule="exact"/>
        <w:rPr>
          <w:rFonts w:ascii="Times New Roman" w:cs="Times New Roman" w:eastAsia="Times New Roman" w:hAnsi="Times New Roman"/>
          <w:sz w:val="18"/>
          <w:szCs w:val="18"/>
          <w:color w:val="auto"/>
        </w:rPr>
      </w:pPr>
    </w:p>
    <w:p>
      <w:pPr>
        <w:ind w:left="1020" w:right="660" w:hanging="494"/>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activities;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products and technology; and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regulatory approvals.</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8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years ended December 31, 2014, 2013 and 2012 (in thousands):</w:t>
      </w:r>
    </w:p>
    <w:p>
      <w:pPr>
        <w:ind w:left="8720"/>
        <w:spacing w:after="0" w:line="236" w:lineRule="auto"/>
        <w:rPr>
          <w:sz w:val="20"/>
          <w:szCs w:val="20"/>
          <w:color w:val="auto"/>
        </w:rPr>
      </w:pPr>
      <w:r>
        <w:rPr>
          <w:rFonts w:ascii="Times New Roman" w:cs="Times New Roman" w:eastAsia="Times New Roman" w:hAnsi="Times New Roman"/>
          <w:sz w:val="14"/>
          <w:szCs w:val="14"/>
          <w:b w:val="1"/>
          <w:bCs w:val="1"/>
          <w:color w:val="auto"/>
        </w:rPr>
        <w:t>Years Ended</w:t>
      </w:r>
    </w:p>
    <w:p>
      <w:pPr>
        <w:ind w:left="868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69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NDC platform</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11,772</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227"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CRLX101 is currently being studied in multiple clinical trials, including the RCC Trial and the three ISTs described above. We expect to conduct additional trials of CRLX101, including a Phase 1b trial of CRLX101 in combination with weekly paclitaxel in patients with relapsed ovarian cancer, which we will conduct in collaboration with GOG.</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45"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227"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CRLX301 is currently in early stage clinical development, with a Phase 1 trial ongoing. Assuming we are successful in establishing a safe maximum tolerated dose, or MTD, and/or a recommended Phase 2 dose in the Phase 1 trial, we plan to rapidly advance CRLX301 into Phase 2 development.</w:t>
      </w:r>
    </w:p>
    <w:p>
      <w:pPr>
        <w:spacing w:after="0" w:line="16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 clinical trial of CRLX301 in December 2014. We may also be required to make milestone payments in an aggregate amount of up to $18.0 million to Calando if we achieve certain development and sales events with respect to any CDP-based product. Further, under the Platform Agreement, if we, or one of our affiliates, sell CRLX301, or any CDP-based product,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Nanoparticle-Drug Conjugates</w:t>
      </w:r>
    </w:p>
    <w:p>
      <w:pPr>
        <w:spacing w:after="0" w:line="227"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NDC’s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any of our product candidates is highly uncertain. As such, at this time, we cannot reasonably predict with certainty the duration and costs of the current or future clinical trials of any of our product candidates or if, when or to what extent we will generate revenues from any commercialization and sale of any of our product candidates that obtain marketing approval. We may never succeed in achieving regulatory approval for any of our product candidates. The duration, costs and timing of development of our product candidates will depend on a variety of factors, including:</w:t>
      </w:r>
    </w:p>
    <w:p>
      <w:pPr>
        <w:spacing w:after="0" w:line="72" w:lineRule="exact"/>
        <w:rPr>
          <w:sz w:val="20"/>
          <w:szCs w:val="20"/>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our ongoing clinical trials;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any product candidate once approved;</w:t>
      </w:r>
    </w:p>
    <w:p>
      <w:pPr>
        <w:spacing w:after="0" w:line="292" w:lineRule="exact"/>
        <w:rPr>
          <w:rFonts w:ascii="Times New Roman" w:cs="Times New Roman" w:eastAsia="Times New Roman" w:hAnsi="Times New Roman"/>
          <w:sz w:val="18"/>
          <w:szCs w:val="18"/>
          <w:color w:val="auto"/>
        </w:rPr>
      </w:pPr>
    </w:p>
    <w:p>
      <w:pPr>
        <w:ind w:left="1020" w:right="380" w:hanging="494"/>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ongoing as well as any future clinical trials;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in the United States and abroad;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or approval of our product candidates in the United States and abroad;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suppliers or raw materials and third party manufacturers of finished drug product;</w:t>
      </w:r>
    </w:p>
    <w:p>
      <w:pPr>
        <w:spacing w:after="0" w:line="292"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any of our product candidates that we are developing or may develop in the future;</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and maintaining, enforcing and defending intellectual property-related claims.</w:t>
      </w:r>
    </w:p>
    <w:p>
      <w:pPr>
        <w:spacing w:after="0" w:line="200" w:lineRule="exact"/>
        <w:rPr>
          <w:sz w:val="20"/>
          <w:szCs w:val="20"/>
          <w:color w:val="auto"/>
        </w:rPr>
      </w:pPr>
    </w:p>
    <w:p>
      <w:pPr>
        <w:spacing w:after="0" w:line="20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 product candidate could mean a significant change in the cost and timing associated with the development of that product candidate. For example, if the FDA, or a comparable non-U.S. regulatory authority were to require us to conduct clinical trials beyond those that we currently anticipate will be required for the completion of clinical development of a product candidate, or if we experience significant delays in enrollment in 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659" w:right="2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of our clinical trials, we could be required to expend significant additional financial resources and time on the completion of clinical development.</w:t>
      </w:r>
    </w:p>
    <w:p>
      <w:pPr>
        <w:spacing w:after="0" w:line="22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product candidates. We anticipate that we will make determinations as to which additional programs to pursue and how much funding to direct to each program on an ongoing basis in response to the scientific and clinical data with respect to each product candidate, as well as our ongoing assessment of the product candidate’s commercial potential. We will need to raise additional capital in the future in order to complete the development and commercialization of CRLX101 and CRLX301 and to fund the development of our other product candidates, if 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1020" w:right="520" w:hanging="494"/>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229" w:lineRule="exact"/>
        <w:rPr>
          <w:rFonts w:ascii="Times New Roman" w:cs="Times New Roman" w:eastAsia="Times New Roman" w:hAnsi="Times New Roman"/>
          <w:sz w:val="18"/>
          <w:szCs w:val="18"/>
          <w:color w:val="auto"/>
        </w:rPr>
      </w:pPr>
    </w:p>
    <w:p>
      <w:pPr>
        <w:ind w:left="1020" w:right="220" w:hanging="494"/>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243" w:lineRule="exact"/>
        <w:rPr>
          <w:rFonts w:ascii="Times New Roman" w:cs="Times New Roman" w:eastAsia="Times New Roman" w:hAnsi="Times New Roman"/>
          <w:sz w:val="18"/>
          <w:szCs w:val="18"/>
          <w:color w:val="auto"/>
        </w:rPr>
      </w:pPr>
    </w:p>
    <w:p>
      <w:pPr>
        <w:ind w:left="1020" w:right="540" w:hanging="494"/>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product candidates in anticipation of commercial launch before we receive regulatory approval of a product candidate.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interest expense on our convertible notes and our debt facility with Lighthouse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Loss on extinguishment of debt is associated with the loss recorded on the conversion of the convertible notes we issued in 2014, or the 2014 Convertible Notes. The loss is an amount equal to the difference between the fair value of shares of our common stock into which the 2014 Convertible Notes converted and the carrying amount of the 2014 Convertible Notes at the closing of the IPO on April 15,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Preferred Stock Warrant Liability</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reclassified to additional paid-in capital as of April 15, 2014.</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553" w:right="2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the disclosure of contingent assets and liabilities in our consolidated financial statements. On an ongoing basis, we evaluate our estimates and judgments, including those related to accrued expenses and stock-based compensation. We base our estimates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 facts and experience. The effects of material revisions in estimates, if any, will be reflected in the consolidated financial statements prospectively from the date of change in estimates.</w:t>
      </w:r>
    </w:p>
    <w:p>
      <w:pPr>
        <w:spacing w:after="0" w:line="18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of the notes to our consolidated financial statements appearing elsewhere in this Annual Report on Form 10-K. We believe the following accounting policies are critical to the judgments and estimates used in the preparation of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clinical expenses include:</w:t>
      </w:r>
    </w:p>
    <w:p>
      <w:pPr>
        <w:spacing w:after="0" w:line="80" w:lineRule="exact"/>
        <w:rPr>
          <w:sz w:val="20"/>
          <w:szCs w:val="20"/>
          <w:color w:val="auto"/>
        </w:rPr>
      </w:pPr>
    </w:p>
    <w:p>
      <w:pPr>
        <w:ind w:left="1020" w:hanging="49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trials;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in connection with the production of clinical trial materials; and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vendors in connection with the preclinical development activities.</w:t>
      </w:r>
    </w:p>
    <w:p>
      <w:pPr>
        <w:spacing w:after="0" w:line="200" w:lineRule="exact"/>
        <w:rPr>
          <w:sz w:val="20"/>
          <w:szCs w:val="20"/>
          <w:color w:val="auto"/>
        </w:rPr>
      </w:pPr>
    </w:p>
    <w:p>
      <w:pPr>
        <w:spacing w:after="0" w:line="20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the service fees, we consider the terms of each agreement, the time period over which the services will be performed and the level of effort required to complete the service. If the actual timing of the performance of the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We have not experienced any significant adjustments to our estimates to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We issue stock-based awards to employees and non-employees in the form of stock options. We apply the fair value recognition provisions of the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or ASC 718. ASC 718 requires all stock-based payments to employees, including grants of employee stock options and modifications to existing stock options, to be recognized in the consolidated statements of operations based on their fair values. We account for stock-based awards to non-employees in accordance with FASB ASC Topic 515-50,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which requires the fair value of the award to be re-measured at fair value as the award vests. We recognize the compensation expense of stock-based awards on a straight-line basis over the vesting period of the award for employees and non-employees. We have issued performance-based grants where the vesting of the grant is tied to certain milestone performance and, in these cases, the compensation is recognized as expense when the probability of the milestone is met. Compensation expense related to our stock-based awards is subject to a number of estimates, including the estimated volatility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657" w:right="239" w:bottom="1440" w:gutter="0" w:footer="0" w:header="0"/>
        </w:sectPr>
      </w:pPr>
    </w:p>
    <w:bookmarkStart w:id="92" w:name="page93"/>
    <w:bookmarkEnd w:id="92"/>
    <w:p>
      <w:pPr>
        <w:ind w:right="60"/>
        <w:spacing w:after="0" w:line="266" w:lineRule="auto"/>
        <w:rPr>
          <w:sz w:val="20"/>
          <w:szCs w:val="20"/>
          <w:color w:val="auto"/>
        </w:rPr>
      </w:pPr>
      <w:r>
        <w:rPr>
          <w:rFonts w:ascii="Times New Roman" w:cs="Times New Roman" w:eastAsia="Times New Roman" w:hAnsi="Times New Roman"/>
          <w:sz w:val="18"/>
          <w:szCs w:val="18"/>
          <w:color w:val="auto"/>
        </w:rPr>
        <w:t>underlying fair value of our common stock, as well as the estimated life of the awards. We estimate the fair value of our stock-based awards for recording stock-based compensation expense using the Black-Scholes option pricing model. Determining the appropriate fair value model and calculating the fair value of stock-based awards requires significant judgment and the use of assumptions.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Prior to our IPO, we were a private company with no active public market for our common stock. Therefore, we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Compensation</w:t>
      </w:r>
      <w:r>
        <w:rPr>
          <w:rFonts w:ascii="Times New Roman" w:cs="Times New Roman" w:eastAsia="Times New Roman" w:hAnsi="Times New Roman"/>
          <w:sz w:val="18"/>
          <w:szCs w:val="18"/>
          <w:color w:val="auto"/>
        </w:rPr>
        <w:t>, or the Practice Aid. We performed these contemporaneous valuations as of December 31, 2011, December 1, 2012, September 30,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December 31, 2013. In conducting the contemporaneous valuations, we considered all objective and subjective factors that we believed to be relevant for each valuation conducted, including our best estimate of our business condition, prospects and operating performance at each valuation date. Within the contemporaneous valuations performed, a range of factors, assumptions and methodologies were used. The significant factors included:</w:t>
      </w:r>
    </w:p>
    <w:p>
      <w:pPr>
        <w:spacing w:after="0" w:line="81" w:lineRule="exact"/>
        <w:rPr>
          <w:sz w:val="20"/>
          <w:szCs w:val="20"/>
          <w:color w:val="auto"/>
        </w:rPr>
      </w:pPr>
    </w:p>
    <w:p>
      <w:pPr>
        <w:ind w:left="1020" w:right="240" w:hanging="49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preferred stock sold to or exchanged between outside investors in arms’ length transactions, and the rights, preferences and privileges of our preferred stock as compared to the rights of our common stock, including the liquidation preferences of our preferred stock;</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position and the status of our research and development efforts;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given that we are a private company;</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w:t>
      </w:r>
    </w:p>
    <w:p>
      <w:pPr>
        <w:spacing w:after="0" w:line="292" w:lineRule="exact"/>
        <w:rPr>
          <w:rFonts w:ascii="Times New Roman" w:cs="Times New Roman" w:eastAsia="Times New Roman" w:hAnsi="Times New Roman"/>
          <w:sz w:val="18"/>
          <w:szCs w:val="18"/>
          <w:color w:val="auto"/>
        </w:rPr>
      </w:pPr>
    </w:p>
    <w:p>
      <w:pPr>
        <w:ind w:left="1020" w:right="880" w:hanging="49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peer companies;</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life sciences and biotechnology industry sectors;</w:t>
      </w:r>
    </w:p>
    <w:p>
      <w:pPr>
        <w:spacing w:after="0" w:line="292"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and stock options, such as an initial public offering, or a sale of our company, given prevailing market conditions;</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initial public offering market for similarly situated privately held biotechnology companies; and</w:t>
      </w:r>
    </w:p>
    <w:p>
      <w:pPr>
        <w:spacing w:after="0" w:line="292" w:lineRule="exact"/>
        <w:rPr>
          <w:rFonts w:ascii="Times New Roman" w:cs="Times New Roman" w:eastAsia="Times New Roman" w:hAnsi="Times New Roman"/>
          <w:sz w:val="18"/>
          <w:szCs w:val="18"/>
          <w:color w:val="auto"/>
        </w:rPr>
      </w:pPr>
    </w:p>
    <w:p>
      <w:pPr>
        <w:ind w:left="1020" w:right="180" w:hanging="494"/>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recent contemporaneous valuations prepared by our board of directors and management in accordance with methodologies outlined in the Practice Aid.</w:t>
      </w:r>
    </w:p>
    <w:p>
      <w:pPr>
        <w:spacing w:after="0" w:line="33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dates of our contemporaneous valuations did not always coincide with the dates of our stock-based compensation grants. In determining the exercise prices of the options granted,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when available, the prices paid in recent transactions involving our equity securities, as well as our stage of development, our operating and financial performance and current business conditions.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September 2013, based on our review of overall market conditions and the improving market for biopharmaceutical initial public offerings, our board of directors determined that a significant shift was occurring with respect to the valuation that we could achieve in an initial public offering and directed us to begin preparation of a confidential draft registration statement for an initial public offering. We selected underwriters and held an organizational meeting in December 2013. We believe these events increased the probability of an early initial public offering scenario and therefore, in connection with the preparation of our consolidated financial statements, we re-assessed the fair value of our common stock for financial reporting purposes at interim dates between the contemporaneous valuations where there were stock option grants or modifications to existing grants. For these interim periods, we adjusted the fair value based on market conditions, progress made in our development programs and whether we achieved company milestones. A retrospective valuation was conducted as of May 31, 2013.</w:t>
      </w:r>
    </w:p>
    <w:p>
      <w:pPr>
        <w:spacing w:after="0" w:line="185"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In April 2013, our board of directors approved the modification of stock options held by certain employees in connection with the reduction-in-force we implemented between April and August 2013. In exchange for a release of claims, vested stock options held as of termination by these employees were modified to extend the post-employment exercise period from 90 days to two years after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45" w:right="239" w:bottom="1440" w:gutter="0" w:footer="0" w:header="0"/>
        </w:sectPr>
      </w:pPr>
    </w:p>
    <w:bookmarkStart w:id="93" w:name="page94"/>
    <w:bookmarkEnd w:id="93"/>
    <w:p>
      <w:pPr>
        <w:ind w:right="40"/>
        <w:spacing w:after="0" w:line="255" w:lineRule="auto"/>
        <w:rPr>
          <w:sz w:val="20"/>
          <w:szCs w:val="20"/>
          <w:color w:val="auto"/>
        </w:rPr>
      </w:pPr>
      <w:r>
        <w:rPr>
          <w:rFonts w:ascii="Times New Roman" w:cs="Times New Roman" w:eastAsia="Times New Roman" w:hAnsi="Times New Roman"/>
          <w:sz w:val="18"/>
          <w:szCs w:val="18"/>
          <w:color w:val="auto"/>
        </w:rPr>
        <w:t>the termination date. In addition, in June 2013, our board of directors approved accelerated vesting on certain stock options held by an executive officer included in the reduction-in-force. In December 2013, with the benefit of hindsight, and our belief that the probability of an initial public offering scenario had increased from April 2013, we conducted a retrospective valuation for our common stock as of May 31, 2013. The retrospective valuation for our common stock as of May 31, 2013 was used to record stock compensation expense for the modification on stock options for employees with termination dates in the second quarter of 2013. The contemporaneous valuation we conducted as of September 30, 2013, was used to record stock compensation expense for the modification on stock options for terminated employees with termination dates in the third quarter of 2013. In total, we recorded additional stock compensation expense of $0.1 million in connection with the stock option modifications.</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There were significant judgments and estimates inherent in the determination of fair value of our common stock, including the contemporaneous valuations. These judgments and estimates included assumptions regarding our future operating performance, the time to completing an IPO or other liquidity event and the determinations of the appropriate valuation methods. If we had made different assumptions, our stock-based compensation expense, net loss and net loss per common share could have been significantly different.</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Since our IPO, we have determined the fair value of our common stock based on the closing price of our common stock on The NASDAQ Global Market on the applicable date of such grant.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Market Value of Common Stock Prior to IPO</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Valuation Methodologies</w:t>
      </w:r>
    </w:p>
    <w:p>
      <w:pPr>
        <w:spacing w:after="0" w:line="11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Prior to our IPO, our contemporaneous and retrospective valuations discussed below were prepared in accordance with the guidelines in the Practice Aid, which prescribes several valuation approaches for setting the value of an enterprise, such as the cost, market and income approaches, and various methodologies for allocating the value of an enterprise to its common stock. We generally used the market approach, in particular the guideline company and precedent transaction methodologies, based on inputs from comparable public companies’ equity valuations and comparable acquisition transactions, to estimate the enterprise value of our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Used to Allocate Our Enterprise Value to Classes of Securities</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accordance with the Practice Aid, we considered the various methods for allocating the enterprise value across our classes and series of capital stock to determine the fair value of our common stock at each valuation date. The methods we considered consisted of the following:</w:t>
      </w:r>
    </w:p>
    <w:p>
      <w:pPr>
        <w:spacing w:after="0" w:line="52" w:lineRule="exact"/>
        <w:rPr>
          <w:sz w:val="20"/>
          <w:szCs w:val="20"/>
          <w:color w:val="auto"/>
        </w:rPr>
      </w:pPr>
    </w:p>
    <w:p>
      <w:pPr>
        <w:ind w:left="1020" w:right="140" w:hanging="494"/>
        <w:spacing w:after="0" w:line="315"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Current Value Method</w:t>
      </w:r>
      <w:r>
        <w:rPr>
          <w:rFonts w:ascii="Times New Roman" w:cs="Times New Roman" w:eastAsia="Times New Roman" w:hAnsi="Times New Roman"/>
          <w:sz w:val="17"/>
          <w:szCs w:val="17"/>
          <w:color w:val="auto"/>
        </w:rPr>
        <w:t>. Under the current value method, once the fair value of the enterprise is established, the value is allocated to the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of preferred and common stock based on their respective seniority, liquidation preferences or conversion values, whichever is greatest.</w:t>
      </w:r>
    </w:p>
    <w:p>
      <w:pPr>
        <w:spacing w:after="0" w:line="202" w:lineRule="exact"/>
        <w:rPr>
          <w:rFonts w:ascii="Times New Roman" w:cs="Times New Roman" w:eastAsia="Times New Roman" w:hAnsi="Times New Roman"/>
          <w:sz w:val="17"/>
          <w:szCs w:val="17"/>
          <w:color w:val="auto"/>
        </w:rPr>
      </w:pPr>
    </w:p>
    <w:p>
      <w:pPr>
        <w:ind w:left="1020" w:right="20" w:hanging="494"/>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Pricing Method</w:t>
      </w:r>
      <w:r>
        <w:rPr>
          <w:rFonts w:ascii="Times New Roman" w:cs="Times New Roman" w:eastAsia="Times New Roman" w:hAnsi="Times New Roman"/>
          <w:sz w:val="18"/>
          <w:szCs w:val="18"/>
          <w:color w:val="auto"/>
        </w:rPr>
        <w:t>. Under the option pricing method, shares are valued by creating a series of call options with exercise prices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preferences and conversion terms of each equity class. The values of the preferred and common stock are inferred by analyzing these options.</w:t>
      </w:r>
    </w:p>
    <w:p>
      <w:pPr>
        <w:spacing w:after="0" w:line="241" w:lineRule="exact"/>
        <w:rPr>
          <w:rFonts w:ascii="Times New Roman" w:cs="Times New Roman" w:eastAsia="Times New Roman" w:hAnsi="Times New Roman"/>
          <w:sz w:val="18"/>
          <w:szCs w:val="18"/>
          <w:color w:val="auto"/>
        </w:rPr>
      </w:pPr>
    </w:p>
    <w:p>
      <w:pPr>
        <w:ind w:left="1020" w:right="120" w:hanging="494"/>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Probability-Weighted Expected Return Method, or PWERM</w:t>
      </w:r>
      <w:r>
        <w:rPr>
          <w:rFonts w:ascii="Times New Roman" w:cs="Times New Roman" w:eastAsia="Times New Roman" w:hAnsi="Times New Roman"/>
          <w:sz w:val="18"/>
          <w:szCs w:val="18"/>
          <w:color w:val="auto"/>
        </w:rPr>
        <w:t>. The PWERM is a scenario-based analysis that estimates the value per share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probability-weighted present value of expected future investment returns, considering each of the possible outcomes available to us, as well as the economic and control rights of each share class.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53"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2014 and 2013,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6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shd w:val="clear" w:color="auto" w:fill="CFF0FC"/>
          </w:tcPr>
          <w:p>
            <w:pPr>
              <w:spacing w:after="0"/>
              <w:rPr>
                <w:sz w:val="19"/>
                <w:szCs w:val="19"/>
                <w:color w:val="auto"/>
              </w:rPr>
            </w:pPr>
          </w:p>
        </w:tc>
        <w:tc>
          <w:tcPr>
            <w:tcW w:w="18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Not meaningful</w:t>
            </w:r>
          </w:p>
        </w:tc>
        <w:tc>
          <w:tcPr>
            <w:tcW w:w="1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For the year ended December 31, 2014 revenue was $80,000 compared to $6,000 for the year ended December 31, 2013. For both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is from two material transfer agreements and reflects timing of activity and payments received under the agreements.</w:t>
      </w:r>
    </w:p>
    <w:p>
      <w:pPr>
        <w:spacing w:after="0" w:line="155" w:lineRule="exact"/>
        <w:rPr>
          <w:sz w:val="20"/>
          <w:szCs w:val="20"/>
          <w:color w:val="auto"/>
        </w:rPr>
      </w:pPr>
    </w:p>
    <w:p>
      <w:pPr>
        <w:ind w:right="300" w:firstLine="51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years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and 2013,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2014 was $11.8 million compared to $9.7 million for the year ended December 31, 2013, an increase of $2.1 million, or 21%. The increase was primarily attributable to an increase in costs associated with the CRLX101 program and partially offset by lower costs associated with our Dynamic Tumor Targeting Platform new discovery research.</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costs associated with the CRLX101 program increased $2.6 million, or 55%, to $7.2 million from $4.6 million for the year ended December 31, 2013. The increase was primarily due to ongoing costs associated with the RCC Trial. CRLX101 clinical trial expenses increased by $2.0 million in 2014 compared to the prior year as a result of increased costs for our CRO and laboratories, as well as clinical site initiation costs and patient fees for the RCC Trial. Salary, benefits and other expenses allocated to CRLX101 increased $0.6 million in 2014 compared to the prior year to support CRLX101 development and clinical trials.</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2014, costs associated with the CRLX301 program were $2.4 million compared to $2.3 million for the year ended December 31, 2013, an increase of $0.1 million, or 6%. The increase in CRLX301 program expense was primarily due to costs associated with the Phase 1 clinical trial that we initiated in December 2014. CRLX301 clinical trial expenses increased by $0.3 million in 2014 compared to the prior year. The increase was due to CRO and laboratory costs associated with initiating our Phase 1 clinical trial of CRLX301 including costs associated with setting up clinical sites and laboratories. Salary and benefits expenses allocated to CRLX301 increased $0.4 million in 2014 compared to the prior year. The increased CRLX301 expenses were partially offset by a $0.3 million decrease in research costs and a $0.3 million decrease in chemistry manufacturing and controls development activities as CRLX301 transitioned into clinical stage development.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49" w:right="239" w:bottom="1440" w:gutter="0" w:footer="0" w:header="0"/>
        </w:sectPr>
      </w:pPr>
    </w:p>
    <w:bookmarkStart w:id="95" w:name="page96"/>
    <w:bookmarkEnd w:id="95"/>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decreased $0.8 million in 2014 as compared to 2013, mainly as a result of reduced staff in new discovery research as we continue to shift our emphasis to the development of our existing product candidates.</w:t>
      </w:r>
    </w:p>
    <w:p>
      <w:pPr>
        <w:spacing w:after="0" w:line="15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year ended December 31, 2014 was $8.6 million compared to $6.2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2013, an increase of $2.4 million, or 39%. The increase was primarily attributable to the incremental costs of being a public company, including an increase of $1.1 million for board of director fees, insurance for directors and officers, audit and tax fees, and corporate communication and printer fees. Salary and benefits expense increased $0.4 million in 2014 compared to the prior year reflecting additional resources in finance and accounting, legal and corporate communications, along with an increase in stock-based compensation expense. Professional and recruiting fees increased by $0.5 million in 2014 compared to 2013, primarily reflecting increased recruiting and placement fees. Other consulting costs also increased $0.4 million year over year. These increases in general and administrative costs were partially offset by a decrease in legal fees of $0.4 million.</w:t>
      </w:r>
    </w:p>
    <w:p>
      <w:pPr>
        <w:spacing w:after="0" w:line="183"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year ended December 31, 2014 was $3.1 million compared to $1.3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2013, an increase of $1.8 million. The increase in net other expense primarily resulted from a loss of $2.5 million incurred on the conversion of convertible debt to common stock. The increase was offset by a decrease of $0.3 million due to a decrease in the value of the preferred stock warrant liability and a decrease in interest expense of $0.4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2013 and 2012</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2013 and 2012,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6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(6,107)</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18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year ended December 31, 2013 was $6,000 compared to $0.6 million for the year ended December 31, 2012. We recorded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 2013 and 2012 in connection with two material transfer agreements, each with a different pharmaceutical company. Pursuant to each of the agreements, we received payments in exchange for the pharmaceutical company’s use of our proprietary technology for research purposes.</w:t>
      </w:r>
    </w:p>
    <w:p>
      <w:pPr>
        <w:spacing w:after="0" w:line="63" w:lineRule="exact"/>
        <w:rPr>
          <w:sz w:val="20"/>
          <w:szCs w:val="20"/>
          <w:color w:val="auto"/>
        </w:rPr>
      </w:pPr>
    </w:p>
    <w:p>
      <w:pPr>
        <w:ind w:right="300" w:firstLine="51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years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 and 2012,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3"/>
          </w:tcPr>
          <w:p>
            <w:pPr>
              <w:jc w:val="right"/>
              <w:ind w:right="35"/>
              <w:spacing w:after="0" w:line="139" w:lineRule="exact"/>
              <w:rPr>
                <w:sz w:val="20"/>
                <w:szCs w:val="20"/>
                <w:color w:val="auto"/>
              </w:rPr>
            </w:pPr>
            <w:r>
              <w:rPr>
                <w:rFonts w:ascii="Times New Roman" w:cs="Times New Roman" w:eastAsia="Times New Roman" w:hAnsi="Times New Roman"/>
                <w:sz w:val="14"/>
                <w:szCs w:val="14"/>
                <w:b w:val="1"/>
                <w:bCs w:val="1"/>
                <w:color w:val="auto"/>
              </w:rPr>
              <w:t>Years Ended</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20" w:type="dxa"/>
            <w:vAlign w:val="bottom"/>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14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74" w:lineRule="auto"/>
        <w:rPr>
          <w:sz w:val="20"/>
          <w:szCs w:val="20"/>
          <w:color w:val="auto"/>
        </w:rPr>
      </w:pPr>
      <w:r>
        <w:rPr>
          <w:rFonts w:ascii="Times New Roman" w:cs="Times New Roman" w:eastAsia="Times New Roman" w:hAnsi="Times New Roman"/>
          <w:sz w:val="17"/>
          <w:szCs w:val="17"/>
          <w:color w:val="auto"/>
        </w:rPr>
        <w:t>Research and development expense for the year ended December 31, 2013 was $9.7 million compared to $15.8 million for the year ended December 31, 2012, a decrease of $6.1 million, or 39%. The decrease was reflected across all programs. The $3.7 million decrease in CRLX101 expense was primarily the result of winding down our Phase 2 clinical trial of CRLX101 as monotherapy in patients with NSCLC, which was substantially completed in March 2013. Clinical trial expense decreased $2.1 million and contract manufacturing expense for clinical trial material decreased $1.6 million. The decrease in spending on the CRLX301 program in the year ended December 31, 2013 from the year ended December 31, 2012 was the result of our completion of development activities, such as investigational new drug enabling studies and process development, early in 2013. Expenses associated with our Dynamic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553" w:right="239" w:bottom="1440" w:gutter="0" w:footer="0" w:header="0"/>
        </w:sectPr>
      </w:pPr>
    </w:p>
    <w:bookmarkStart w:id="96" w:name="page97"/>
    <w:bookmarkEnd w:id="96"/>
    <w:p>
      <w:pPr>
        <w:ind w:right="120"/>
        <w:spacing w:after="0" w:line="266" w:lineRule="auto"/>
        <w:rPr>
          <w:sz w:val="20"/>
          <w:szCs w:val="20"/>
          <w:color w:val="auto"/>
        </w:rPr>
      </w:pPr>
      <w:r>
        <w:rPr>
          <w:rFonts w:ascii="Times New Roman" w:cs="Times New Roman" w:eastAsia="Times New Roman" w:hAnsi="Times New Roman"/>
          <w:sz w:val="18"/>
          <w:szCs w:val="18"/>
          <w:color w:val="auto"/>
        </w:rPr>
        <w:t>Tumor Targeting Platform decreased $0.6 million, mainly as a result of reduced staff in new discovery research as our primary emphasis shifted to the development of our product candidates. The $0.3 million decrease in overhead expense was due mainly to a reduction in retainer-based advisory agreements and reduced depreciation expense.</w:t>
      </w:r>
    </w:p>
    <w:p>
      <w:pPr>
        <w:spacing w:after="0" w:line="172"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year ended December 31, 2013 was $6.2 million compared to $6.4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2013, a decrease of $0.2 million, or 4%. The decrease was the result of a $0.4 million decrease in outside corporate and intellectual property legal expenses, offset by a $0.1 million increase in personnel costs and a $0.1 million increase in consulting expense.</w:t>
      </w:r>
    </w:p>
    <w:p>
      <w:pPr>
        <w:spacing w:after="0" w:line="171"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year ended December 31, 2013 was $1.3 million compared to $0.5 million net expense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2012, an increase of net other expense of $0.8 million. The increase in net other expense primarily resulted from $0.9 million increase in recorded interest expense on our borrowings under the Lighthouse Loan Agreement. In addition, the adjustment to the fair value of our outstanding preferred stock warrants resulted in $0.2 million of other income for the year ended December 31, 2013 compared with $39,000 of other income for the year ended December 31, 2012.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From our incorporation through December 31, 2014, we have raised an aggregate of $171.4 million to fund our operations, of which $84.2 million was from the sale of preferred stock in private placements, $59.9 million was from our IPO, $17.3 million was from the sale of convertible promissory notes, and $10.0 million was from borrowings under the Lighthouse Loan Agreement. As of December 31, 2014, we had cash and cash equivalents of approximately $51.2 million.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Financing Activity. </w:t>
      </w:r>
      <w:r>
        <w:rPr>
          <w:rFonts w:ascii="Times New Roman" w:cs="Times New Roman" w:eastAsia="Times New Roman" w:hAnsi="Times New Roman"/>
          <w:sz w:val="18"/>
          <w:szCs w:val="18"/>
          <w:color w:val="auto"/>
        </w:rPr>
        <w:t>On January 8, 2015, we entered into the Hercules Loan Agreement and borrowed $15.0 million from Hercules. We 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those proceeds to repay our outstanding indebtedness under the Lighthouse Loan Agreement.</w:t>
      </w:r>
    </w:p>
    <w:p>
      <w:pPr>
        <w:spacing w:after="0" w:line="5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Hercules Loan Agreement provides for up to three separate tranches of borrowings, the first of which was funded in the amount of $15.0 million on January 8, 2015. We may draw the second tranche of up to $5.0 million, subject to the satisfaction of customary funding conditions, on or prior to December 15, 2015, provided that we meet certain clinical milestones specified in the Hercules Loan Agreement. We may draw the third tranche of up to $6.0 million at no less than $3.0 million per draw and subject to the satisfaction of customary funding conditions, on or after September 30, 2015 but before December 15, 2015, provided that between January 8, 2015 and December 15, 2015, we have received net cash proceeds of at least $40.0 million from our issuance and sale of equity securities and/or upfront cash payments from one or more strategic corporate partnerships.</w:t>
      </w:r>
    </w:p>
    <w:p>
      <w:pPr>
        <w:spacing w:after="0" w:line="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provides for interest-only payments on a monthly basis until December 31, 2015. The interest only period may be extended at our option for a three month period if we attain certain clinical milestones specified in the Hercules Loan Agreement, and for an additional three month period if we attain certain clinical milestones and receive net cash proceeds of at least $30.0 million from the issuance and sale of our equity securities and/or upfront cash payments from one or more strategic corporate partnerships. Thereafter, amortization payments will be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(i) 3.0% if such prepayment occurs on or before January 8, 2016, (ii) 2.0% if such prepayment occurs after January 8, 2016, but on or before January 8, 2017, and (iii)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make a final payment to Hercules in the amount of 6.70% of the aggregate original principal amount advanced by Hercules.</w:t>
      </w:r>
    </w:p>
    <w:p>
      <w:pPr>
        <w:spacing w:after="0" w:line="8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is secured by substantially all of our assets other than our intellectual property. We have also granted Hercules a negative pledge with respect to our intellectual property, which, among other things, prohibits us from selling, transferring, assigning, mortgaging, pledging, leasing, granting a security interest in or otherwise encumbering our intellectual property. The Hercules Loan Agreement includes restrictive covenants that may restrict our ability to obtain further debt or equity financing.</w:t>
      </w:r>
    </w:p>
    <w:p>
      <w:pPr>
        <w:spacing w:after="0" w:line="178" w:lineRule="exact"/>
        <w:rPr>
          <w:sz w:val="20"/>
          <w:szCs w:val="20"/>
          <w:color w:val="auto"/>
        </w:rPr>
      </w:pPr>
    </w:p>
    <w:p>
      <w:pPr>
        <w:jc w:val="both"/>
        <w:ind w:right="3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Lighthouse Loan Agreement. </w:t>
      </w:r>
      <w:r>
        <w:rPr>
          <w:rFonts w:ascii="Times New Roman" w:cs="Times New Roman" w:eastAsia="Times New Roman" w:hAnsi="Times New Roman"/>
          <w:sz w:val="18"/>
          <w:szCs w:val="18"/>
          <w:color w:val="auto"/>
        </w:rPr>
        <w:t>In 2011, we entered into the Lighthouse Loan Agreement, which permitted us to borrow up to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$10.0 million. We borrowed $5.0 million in March 2012 and an additional $5.0 million in August 2012. Interest accrued under the Lighthouse Loan Agreement at an annual rate of 8.25%. As of December 31, 2014, there was $3.3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553" w:right="259" w:bottom="1440" w:gutter="0" w:footer="0" w:header="0"/>
        </w:sectPr>
      </w:pPr>
    </w:p>
    <w:bookmarkStart w:id="97" w:name="page98"/>
    <w:bookmarkEnd w:id="97"/>
    <w:p>
      <w:pPr>
        <w:ind w:right="60"/>
        <w:spacing w:after="0" w:line="282" w:lineRule="auto"/>
        <w:rPr>
          <w:sz w:val="20"/>
          <w:szCs w:val="20"/>
          <w:color w:val="auto"/>
        </w:rPr>
      </w:pPr>
      <w:r>
        <w:rPr>
          <w:rFonts w:ascii="Times New Roman" w:cs="Times New Roman" w:eastAsia="Times New Roman" w:hAnsi="Times New Roman"/>
          <w:sz w:val="18"/>
          <w:szCs w:val="18"/>
          <w:color w:val="auto"/>
        </w:rPr>
        <w:t>in aggregate principal amount outstanding under the Lighthouse Loan Agreement. We repaid in full our outstanding indebtedness under the Lighthouse Loan Agreement on January 8, 2015.</w:t>
      </w:r>
    </w:p>
    <w:p>
      <w:pPr>
        <w:spacing w:after="0" w:line="16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In 2014, we issued and sold the 2014 Convertible Notes, in an aggregate principal amount of $8.5 million, to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and one additional purchaser. The 2014 Convertible Notes accrued interest at an annual rate of 7%. In connection with the completion of our IPO on April 15, 2014, all principal and accrued interest under our 2014 Convertible Notes converted into an aggregate of 1,582,931 shares of our common stock, at 77.5% of the IPO price, or $5.43 per share.</w:t>
      </w:r>
    </w:p>
    <w:p>
      <w:pPr>
        <w:spacing w:after="0" w:line="18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2013, we issued and sold convertible promissory notes, or our 2013 Convertible Notes, in an aggregate principal amount of $8.8 million to certain of our stockholders. Our 2013 Convertible Notes accrued interest at an annual rate of 7%. In connection with the completion of our IPO on April 15, 2014, all principal and accrued interest under our 2013 Convertible Notes converted into an aggregate of 1,319,302 shares of our common stock, at the IPO price of $7.00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121" w:lineRule="exact"/>
        <w:rPr>
          <w:sz w:val="20"/>
          <w:szCs w:val="20"/>
          <w:color w:val="auto"/>
        </w:rPr>
      </w:pPr>
    </w:p>
    <w:p>
      <w:pPr>
        <w:jc w:val="both"/>
        <w:ind w:right="100" w:firstLine="518"/>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contract manufacturing services, laboratory and related supplies, clinical trial costs, legal and other regulatory expenses and general overhead costs.</w:t>
      </w:r>
    </w:p>
    <w:p>
      <w:pPr>
        <w:spacing w:after="0" w:line="54"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2014, together with the net proceeds we received from Hercules on January 8, 2015, will enable us to fund our operating expenses, debt service and capital expenditure requirements into the third quarter of 2016. We have based this estimate on assumptions that may prove to be wrong, and we could use our capital resources sooner than we currently expect. Our future capital requirements will depend on many factors, including:</w:t>
      </w:r>
    </w:p>
    <w:p>
      <w:pPr>
        <w:spacing w:after="0" w:line="72" w:lineRule="exact"/>
        <w:rPr>
          <w:sz w:val="20"/>
          <w:szCs w:val="20"/>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we pursue;</w:t>
      </w:r>
    </w:p>
    <w:p>
      <w:pPr>
        <w:spacing w:after="0" w:line="292" w:lineRule="exact"/>
        <w:rPr>
          <w:rFonts w:ascii="Times New Roman" w:cs="Times New Roman" w:eastAsia="Times New Roman" w:hAnsi="Times New Roman"/>
          <w:sz w:val="18"/>
          <w:szCs w:val="18"/>
          <w:color w:val="auto"/>
        </w:rPr>
      </w:pPr>
    </w:p>
    <w:p>
      <w:pPr>
        <w:ind w:left="1020" w:right="400" w:hanging="494"/>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92" w:lineRule="exact"/>
        <w:rPr>
          <w:rFonts w:ascii="Times New Roman" w:cs="Times New Roman" w:eastAsia="Times New Roman" w:hAnsi="Times New Roman"/>
          <w:sz w:val="18"/>
          <w:szCs w:val="18"/>
          <w:color w:val="auto"/>
        </w:rPr>
      </w:pPr>
    </w:p>
    <w:p>
      <w:pPr>
        <w:ind w:left="1020" w:right="280" w:hanging="494"/>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292" w:lineRule="exact"/>
        <w:rPr>
          <w:rFonts w:ascii="Times New Roman" w:cs="Times New Roman" w:eastAsia="Times New Roman" w:hAnsi="Times New Roman"/>
          <w:sz w:val="18"/>
          <w:szCs w:val="18"/>
          <w:color w:val="auto"/>
        </w:rPr>
      </w:pPr>
    </w:p>
    <w:p>
      <w:pPr>
        <w:ind w:left="1020" w:right="420" w:hanging="494"/>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229"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292" w:lineRule="exact"/>
        <w:rPr>
          <w:rFonts w:ascii="Times New Roman" w:cs="Times New Roman" w:eastAsia="Times New Roman" w:hAnsi="Times New Roman"/>
          <w:sz w:val="18"/>
          <w:szCs w:val="18"/>
          <w:color w:val="auto"/>
        </w:rPr>
      </w:pPr>
    </w:p>
    <w:p>
      <w:pPr>
        <w:ind w:left="1020" w:hanging="49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9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553"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3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69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use of cash in all periods resulted primarily from our net losses adjusted for non-cash charges and changes in components of working capital.</w:t>
      </w:r>
    </w:p>
    <w:p>
      <w:pPr>
        <w:spacing w:after="0" w:line="225"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$19.1 million for the year ended December 31, 2014, compared with $16.6 million for the year ended December 31, 2013, an increase of $2.5 million. The increase in cash used in operating activities resulted from an increase in operating expenses of $4.5 million, partially offset by changes in the components of working capital of $1.7 million and a decrease in interest payments on our debt facility with Lighthouse Capital of $0.3 million.</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$16.6 million for the year ended December 31, 2013 compared with $21.0 million for the year ended December 31, 2012, a decrease of $4.4 million. The decrease primarily resulted from a $6.3 million decrease in operating expenses, which was partially offset by a $0.7 million increase in interest payments on our debt facility with Lighthouse Capital, $0.6 million in revenue from material transfer agreements recorded in the year ended December 31, 2012 and $0.6 million resulting from net changes in the components of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reflects purchases of property and equipment of $225,000 for the year ended December 31, 2014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for the year ended December 31, 2013, an increase of $218,000. The increase is attributable to purchases of laboratory, office and computer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$173,000 and furniture, fixtures and leasehold improvements of $52,000 in the year ended December 31, 2014, compared to laboratory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$7,000 in the year ended December 31, 2013. The increase for the year ended December 31, 2014 was partially offset by proceeds of $40,000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sale of property and equipment.</w:t>
      </w:r>
    </w:p>
    <w:p>
      <w:pPr>
        <w:spacing w:after="0" w:line="207"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$7,000 for the year ended December 31, 2013 compared to $180,000 for the year ended December 31, 2012. The decrease was primarily due to purchases of laboratory equipment, employee computers and office equipment and furniture in the year ended December 31, 2012 compared to the year ended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$65.0 million for the year ended December 31, 2014 compared with $5.4 million for the year ended December 31, 2013. For the year ended December 31, 2014, we raised net proceeds of $59.9 million from our IPO and $8.3 million through the sale of convertible promissory notes compared to raising $8.8 million through the sale of convertible promissory notes for the year ended December 31, 2013. We repaid indebtedness under the Loan Agreement with Lighthouse Capital in the amount of $3.3 million for the year ended December 31, 2014 compared to repayments of $3.1 million for the year ended December 31, 2013. We received $0.1 million of proceeds from the exercise of common stock options for the year ended December 31, 2014 compared to $35,000 for the year ended December 31, 2013.</w:t>
      </w:r>
    </w:p>
    <w:p>
      <w:pPr>
        <w:spacing w:after="0" w:line="188"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$5.4 million for the year ended December 31, 2013 compared to $22.5 million during the year ended December 31, 2012. During the year ended December 31, 2013, we sold $8.8 million in convertible promissory notes, repaid indebtedness under the Lighthouse Loan Agreement in the amount of $3.1 million and paid $0.4 million of debt issuance cost related to the convertible note issuance and this offering. In the year ended December 31, 2012, we sold preferred stock for net proceeds of $12.9 million, borrowed $10.0 million under the Lighthouse Loan Agreement and repaid indebtedness under the Lighthouse Loan Agreement in the amount of $0.4 million.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657"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significant contractual obligations as of December 31, 2014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Payments Due by Period ($)</w:t>
            </w:r>
          </w:p>
        </w:tc>
        <w:tc>
          <w:tcPr>
            <w:tcW w:w="1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Contractual Obligations</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rPr>
              <w:t>Less than</w:t>
            </w:r>
          </w:p>
        </w:tc>
        <w:tc>
          <w:tcPr>
            <w:tcW w:w="340" w:type="dxa"/>
            <w:vAlign w:val="bottom"/>
          </w:tcPr>
          <w:p>
            <w:pPr>
              <w:spacing w:after="0"/>
              <w:rPr>
                <w:sz w:val="11"/>
                <w:szCs w:val="11"/>
                <w:color w:val="auto"/>
              </w:rPr>
            </w:pPr>
          </w:p>
        </w:tc>
        <w:tc>
          <w:tcPr>
            <w:tcW w:w="1460" w:type="dxa"/>
            <w:vAlign w:val="bottom"/>
            <w:gridSpan w:val="3"/>
          </w:tcPr>
          <w:p>
            <w:pPr>
              <w:ind w:left="160"/>
              <w:spacing w:after="0" w:line="133" w:lineRule="exact"/>
              <w:rPr>
                <w:sz w:val="20"/>
                <w:szCs w:val="20"/>
                <w:color w:val="auto"/>
              </w:rPr>
            </w:pPr>
            <w:r>
              <w:rPr>
                <w:rFonts w:ascii="Times New Roman" w:cs="Times New Roman" w:eastAsia="Times New Roman" w:hAnsi="Times New Roman"/>
                <w:sz w:val="14"/>
                <w:szCs w:val="14"/>
                <w:color w:val="auto"/>
              </w:rPr>
              <w:t>1 to 3</w:t>
            </w:r>
          </w:p>
        </w:tc>
        <w:tc>
          <w:tcPr>
            <w:tcW w:w="116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3 to 5</w:t>
            </w:r>
          </w:p>
        </w:tc>
        <w:tc>
          <w:tcPr>
            <w:tcW w:w="1460" w:type="dxa"/>
            <w:vAlign w:val="bottom"/>
          </w:tcPr>
          <w:p>
            <w:pPr>
              <w:jc w:val="center"/>
              <w:ind w:right="139"/>
              <w:spacing w:after="0" w:line="133" w:lineRule="exact"/>
              <w:rPr>
                <w:sz w:val="20"/>
                <w:szCs w:val="20"/>
                <w:color w:val="auto"/>
              </w:rPr>
            </w:pPr>
            <w:r>
              <w:rPr>
                <w:rFonts w:ascii="Times New Roman" w:cs="Times New Roman" w:eastAsia="Times New Roman" w:hAnsi="Times New Roman"/>
                <w:sz w:val="14"/>
                <w:szCs w:val="14"/>
                <w:color w:val="auto"/>
              </w:rPr>
              <w:t>More than</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1 year</w:t>
            </w:r>
          </w:p>
        </w:tc>
        <w:tc>
          <w:tcPr>
            <w:tcW w:w="340" w:type="dxa"/>
            <w:vAlign w:val="bottom"/>
          </w:tcPr>
          <w:p>
            <w:pPr>
              <w:spacing w:after="0"/>
              <w:rPr>
                <w:sz w:val="14"/>
                <w:szCs w:val="14"/>
                <w:color w:val="auto"/>
              </w:rPr>
            </w:pP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years</w:t>
            </w: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years</w:t>
            </w:r>
          </w:p>
        </w:tc>
        <w:tc>
          <w:tcPr>
            <w:tcW w:w="146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9"/>
              </w:rPr>
              <w:t>5 years</w:t>
            </w:r>
          </w:p>
        </w:tc>
        <w:tc>
          <w:tcPr>
            <w:tcW w:w="0" w:type="dxa"/>
            <w:vAlign w:val="bottom"/>
          </w:tcPr>
          <w:p>
            <w:pPr>
              <w:spacing w:after="0"/>
              <w:rPr>
                <w:sz w:val="1"/>
                <w:szCs w:val="1"/>
                <w:color w:val="auto"/>
              </w:rPr>
            </w:pP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Obligations(1)</w:t>
            </w:r>
          </w:p>
        </w:tc>
        <w:tc>
          <w:tcPr>
            <w:tcW w:w="128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40" w:right="40" w:hanging="532"/>
        <w:spacing w:after="0" w:line="254"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future lease payments under our non-cancellable operating lease. The minimum lease payments above do not include any related common area maintenance charges or real estate taxes. On July 11, 2014, we signed a lease amendment to expand our leased premises at 840 Memorial Drive, Cambridge, Massachusetts, by approximately 8,628 rentable square feet. The amendment became effective on July 15, 2014, and the lease expires on February 29, 2016. For the year ended December 31, 2014 total base rent for all of our rented space at 840 Memorial Drive amounted to approximately $737,000.</w:t>
      </w:r>
    </w:p>
    <w:p>
      <w:pPr>
        <w:spacing w:after="0" w:line="3" w:lineRule="exact"/>
        <w:rPr>
          <w:rFonts w:ascii="Times New Roman" w:cs="Times New Roman" w:eastAsia="Times New Roman" w:hAnsi="Times New Roman"/>
          <w:sz w:val="18"/>
          <w:szCs w:val="18"/>
          <w:color w:val="auto"/>
        </w:rPr>
      </w:pPr>
    </w:p>
    <w:p>
      <w:pPr>
        <w:ind w:left="540" w:right="60" w:hanging="532"/>
        <w:spacing w:after="0" w:line="255"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 obligations for principal and interest to Lighthouse Capital under the Lighthouse Loan Agreement. As of December 31, 2014, we had $3.2 million in outstanding borrowings under the debt facility, bearing interest at 8.25% with a one-time final payment of 6% of the original principal amount of $10.0 million due on December 1, 2015.</w:t>
      </w:r>
    </w:p>
    <w:p>
      <w:pPr>
        <w:spacing w:after="0" w:line="186"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Milestone and royalty payments associated with our license agreements have not been included in the above table of contractual obligations as we cannot reasonably estimate if or when they will occur. Possible future payments under our intellectual property agreements include the following:</w:t>
      </w:r>
    </w:p>
    <w:p>
      <w:pPr>
        <w:spacing w:after="0" w:line="54" w:lineRule="exact"/>
        <w:rPr>
          <w:sz w:val="20"/>
          <w:szCs w:val="20"/>
          <w:color w:val="auto"/>
        </w:rPr>
      </w:pPr>
    </w:p>
    <w:p>
      <w:pPr>
        <w:ind w:left="1020" w:right="20" w:hanging="494"/>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CRLX101 Agreement, we will be required to pay to Calando: (1) milestone payments in an aggregate amount of up to $32.8 million upon the achievement of certain development, regulatory and commercial milestones, (2) tiered royalty payments ranging from low- to mid-single digits, as a percentage of worldwide net sales, if we or one of our affiliates sells CRLX101 and (3) a percentage, ranging from the low- to mid-double digits, of any licensing or sublicensing income we receive from our license or sublicense of CRLX101.</w:t>
      </w:r>
    </w:p>
    <w:p>
      <w:pPr>
        <w:spacing w:after="0" w:line="247" w:lineRule="exact"/>
        <w:rPr>
          <w:rFonts w:ascii="Times New Roman" w:cs="Times New Roman" w:eastAsia="Times New Roman" w:hAnsi="Times New Roman"/>
          <w:sz w:val="18"/>
          <w:szCs w:val="18"/>
          <w:color w:val="auto"/>
        </w:rPr>
      </w:pPr>
    </w:p>
    <w:p>
      <w:pPr>
        <w:ind w:left="1020" w:right="20" w:hanging="494"/>
        <w:spacing w:after="0" w:line="25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Platform Agreement, we paid to Calando in January 2015 a $250,000 clinical development milestone to Calando following the initiation of our Phase 1 clinical trial of CRLX301 in December 2014. In addition, under the Platform Agreement, we will be required to pay to Calando: (1) additional milestone payments in an aggregate amount of up to $17.8 million to Calando upon the achievement of certain regulatory and commercial milestones, (2) tiered royalty payments ranging from low- to mid-single digits, as a percentage of worldwide net sales, in the event we or one of our affiliates sells CRLX301 and (3) a percentage, in the low-double digits, of any licensing or sublicensing income we receive from our license or sublicense of CRLX301.</w:t>
      </w:r>
    </w:p>
    <w:p>
      <w:pPr>
        <w:spacing w:after="0" w:line="363"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contractual obligations table does not include the $15.0 million borrowing under the Hercules Loan Agreement entered into on January 8, 2015, and potential payments we may be required to make under manufacturing and CRO agreements as the timing of when these payments will actually be made is uncertain and the payments are contingent upon the initiation and completion of future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(the “FASB”) issued Accounting Standards Update (“ASU”) 2014-15,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Uncertainties About an Entity’s Ability to Continue as a Going Concern </w:t>
      </w:r>
      <w:r>
        <w:rPr>
          <w:rFonts w:ascii="Times New Roman" w:cs="Times New Roman" w:eastAsia="Times New Roman" w:hAnsi="Times New Roman"/>
          <w:sz w:val="18"/>
          <w:szCs w:val="18"/>
          <w:color w:val="auto"/>
        </w:rPr>
        <w:t>(“ASU 2014-15”). ASU 2014-15 requires management to evaluate, at each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we do not expect that it will have a material impact on our consolidated financial statements.</w:t>
      </w:r>
    </w:p>
    <w:p>
      <w:pPr>
        <w:spacing w:after="0" w:line="7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June 2014, the FASB issued ASU No. 2014-10, </w:t>
      </w:r>
      <w:r>
        <w:rPr>
          <w:rFonts w:ascii="Times New Roman" w:cs="Times New Roman" w:eastAsia="Times New Roman" w:hAnsi="Times New Roman"/>
          <w:sz w:val="18"/>
          <w:szCs w:val="18"/>
          <w:i w:val="1"/>
          <w:iCs w:val="1"/>
          <w:color w:val="auto"/>
        </w:rPr>
        <w:t>Development Stage Entities: Elimination of Certain Financial Reporting Requirements,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Amendment to Variable Interest Entities Guidance in Topic 810, Consolidation</w:t>
      </w:r>
      <w:r>
        <w:rPr>
          <w:rFonts w:ascii="Times New Roman" w:cs="Times New Roman" w:eastAsia="Times New Roman" w:hAnsi="Times New Roman"/>
          <w:sz w:val="18"/>
          <w:szCs w:val="18"/>
          <w:color w:val="auto"/>
        </w:rPr>
        <w:t>. This accounting standard eliminates all incremental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from generally accepted accounting principles in the United States for development stage entities. This ASU is effective on a prospective basis for annual and interim reporting periods beginning on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549" w:right="239" w:bottom="1440" w:gutter="0" w:footer="0" w:header="0"/>
        </w:sectPr>
      </w:pPr>
    </w:p>
    <w:bookmarkStart w:id="100" w:name="page101"/>
    <w:bookmarkEnd w:id="100"/>
    <w:p>
      <w:pPr>
        <w:ind w:right="680"/>
        <w:spacing w:after="0" w:line="313" w:lineRule="auto"/>
        <w:rPr>
          <w:sz w:val="20"/>
          <w:szCs w:val="20"/>
          <w:color w:val="auto"/>
        </w:rPr>
      </w:pPr>
      <w:r>
        <w:rPr>
          <w:rFonts w:ascii="Times New Roman" w:cs="Times New Roman" w:eastAsia="Times New Roman" w:hAnsi="Times New Roman"/>
          <w:sz w:val="17"/>
          <w:szCs w:val="17"/>
          <w:color w:val="auto"/>
        </w:rPr>
        <w:t>after December 15, 2014, with early adoption permitted. We elected to early adopt the ASU starting with our June 30, 2014 financial statements and, accordingly, have not included inception to date information in our financial statements appearing elsewhere in this Annual Report on Form 10-K.</w:t>
      </w:r>
    </w:p>
    <w:p>
      <w:pPr>
        <w:spacing w:after="0" w:line="24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2014, we had cash and cash equivalents of approximately $51.2 million, consisting primarily of investments in money market funds and certificates of deposit. Our primary exposure to market risk is interest rate sensitivity, which is affected by changes in the general level of U.S.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445" w:right="2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2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760" w:type="dxa"/>
            <w:vAlign w:val="bottom"/>
            <w:gridSpan w:val="5"/>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CERULEAN PHARMA INC.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20" w:type="dxa"/>
            <w:vAlign w:val="bottom"/>
            <w:gridSpan w:val="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980" w:type="dxa"/>
            <w:vAlign w:val="bottom"/>
            <w:gridSpan w:val="10"/>
            <w:vMerge w:val="restart"/>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Report of Independent Registered Public Accounting Firm</w:t>
              </w:r>
            </w:hyperlink>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80" w:type="dxa"/>
            <w:vAlign w:val="bottom"/>
            <w:gridSpan w:val="10"/>
            <w:vMerge w:val="continue"/>
          </w:tcPr>
          <w:p>
            <w:pPr>
              <w:spacing w:after="0"/>
              <w:rPr>
                <w:sz w:val="14"/>
                <w:szCs w:val="14"/>
                <w:color w:val="auto"/>
              </w:rPr>
            </w:pPr>
          </w:p>
        </w:tc>
        <w:tc>
          <w:tcPr>
            <w:tcW w:w="4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04">
              <w:r>
                <w:rPr>
                  <w:rFonts w:ascii="Times New Roman" w:cs="Times New Roman" w:eastAsia="Times New Roman" w:hAnsi="Times New Roman"/>
                  <w:sz w:val="18"/>
                  <w:szCs w:val="18"/>
                  <w:color w:val="0000EE"/>
                  <w:w w:val="99"/>
                </w:rPr>
                <w:t>Consolidated Balance Sheets as of December 31, 2014 and 2013</w:t>
              </w:r>
            </w:hyperlink>
          </w:p>
        </w:tc>
        <w:tc>
          <w:tcPr>
            <w:tcW w:w="632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0980" w:type="dxa"/>
            <w:vAlign w:val="bottom"/>
            <w:gridSpan w:val="10"/>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0"/>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Consolidated Statements of Redeemable Convertible Preferred Stock and Stockholders’ Equity (Deficit) for the years ended December 31, 2014,</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2013 and 2012</w:t>
              </w:r>
            </w:hyperlink>
          </w:p>
        </w:tc>
        <w:tc>
          <w:tcPr>
            <w:tcW w:w="9140" w:type="dxa"/>
            <w:vAlign w:val="bottom"/>
            <w:tcBorders>
              <w:top w:val="single" w:sz="8" w:color="0000EE"/>
            </w:tcBorders>
            <w:gridSpan w:val="6"/>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40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Notes to Consolidated Financial Statements</w:t>
              </w:r>
            </w:hyperlink>
          </w:p>
        </w:tc>
        <w:tc>
          <w:tcPr>
            <w:tcW w:w="7820" w:type="dxa"/>
            <w:vAlign w:val="bottom"/>
            <w:gridSpan w:val="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657"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11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Cerulean Pharma Inc. and subsidiary (the “Company”) as of December 31, 2014 and 2013, and the related consolidated statements of operations, redeemable convertible preferred stock and stockholders’ equity (deficit),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Cerulean Pharma Inc. and subsidiary as of December 31, 2014 and 2013, and the results of their consolidated operations and their cash flows for each of the three years in the period ended December 31, 2014,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80"/>
          </w:cols>
          <w:pgMar w:left="240" w:top="333" w:right="2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(In thousands, except share data and par value)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9"/>
                <w:szCs w:val="19"/>
                <w:color w:val="auto"/>
              </w:rPr>
            </w:pPr>
          </w:p>
        </w:tc>
      </w:tr>
      <w:tr>
        <w:trPr>
          <w:trHeight w:val="263"/>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Borders>
              <w:bottom w:val="single" w:sz="8" w:color="CFF0FC"/>
            </w:tcBorders>
          </w:tcPr>
          <w:p>
            <w:pPr>
              <w:spacing w:after="0"/>
              <w:rPr>
                <w:sz w:val="22"/>
                <w:szCs w:val="22"/>
                <w:color w:val="auto"/>
              </w:rPr>
            </w:pP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promissory notes payable to shareholders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payable — net of current portion</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Noncurrent accrued interest</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(Note 8)</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13)</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120,000,000 shares authorized, 20,125,049 and 785,531 shares issued and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2014 and 2013, respectively</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(121,781)</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(98,439)</w:t>
            </w:r>
          </w:p>
        </w:tc>
      </w:tr>
      <w:tr>
        <w:trPr>
          <w:trHeight w:val="223"/>
        </w:trPr>
        <w:tc>
          <w:tcPr>
            <w:tcW w:w="8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(94,299)</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333"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(In thousands, except per share and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(2,493)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 net</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63"/>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r>
      <w:tr>
        <w:trPr>
          <w:trHeight w:val="210"/>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609,344</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333"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ind w:left="520" w:right="5360" w:hanging="493"/>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 OF REDEEMABLE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 and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380" w:type="dxa"/>
            <w:vAlign w:val="bottom"/>
            <w:gridSpan w:val="3"/>
          </w:tcPr>
          <w:p>
            <w:pPr>
              <w:jc w:val="center"/>
              <w:ind w:left="619"/>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560" w:type="dxa"/>
            <w:vAlign w:val="bottom"/>
          </w:tcPr>
          <w:p>
            <w:pPr>
              <w:spacing w:after="0"/>
              <w:rPr>
                <w:sz w:val="11"/>
                <w:szCs w:val="11"/>
                <w:color w:val="auto"/>
              </w:rPr>
            </w:pPr>
          </w:p>
        </w:tc>
        <w:tc>
          <w:tcPr>
            <w:tcW w:w="2320" w:type="dxa"/>
            <w:vAlign w:val="bottom"/>
            <w:tcBorders>
              <w:right w:val="single" w:sz="8" w:color="auto"/>
            </w:tcBorders>
            <w:gridSpan w:val="5"/>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Convertible Preferred</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80" w:type="dxa"/>
            <w:vAlign w:val="bottom"/>
            <w:gridSpan w:val="2"/>
          </w:tcPr>
          <w:p>
            <w:pPr>
              <w:jc w:val="center"/>
              <w:ind w:left="839"/>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3"/>
          </w:tcPr>
          <w:p>
            <w:pPr>
              <w:jc w:val="right"/>
              <w:ind w:right="386"/>
              <w:spacing w:after="0" w:line="13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3560" w:type="dxa"/>
            <w:vAlign w:val="bottom"/>
          </w:tcPr>
          <w:p>
            <w:pPr>
              <w:spacing w:after="0"/>
              <w:rPr>
                <w:sz w:val="12"/>
                <w:szCs w:val="12"/>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$0.01 Par Value</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26"/>
              <w:spacing w:after="0"/>
              <w:rPr>
                <w:sz w:val="20"/>
                <w:szCs w:val="20"/>
                <w:color w:val="auto"/>
              </w:rPr>
            </w:pPr>
            <w:r>
              <w:rPr>
                <w:rFonts w:ascii="Times New Roman" w:cs="Times New Roman" w:eastAsia="Times New Roman" w:hAnsi="Times New Roman"/>
                <w:sz w:val="12"/>
                <w:szCs w:val="12"/>
                <w:b w:val="1"/>
                <w:bCs w:val="1"/>
                <w:color w:val="auto"/>
              </w:rPr>
              <w:t>$0.0001 Par Value</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2"/>
                <w:szCs w:val="12"/>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0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35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2011</w:t>
            </w:r>
          </w:p>
        </w:tc>
        <w:tc>
          <w:tcPr>
            <w:tcW w:w="9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71,374,896</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70,751</w:t>
            </w:r>
          </w:p>
        </w:tc>
        <w:tc>
          <w:tcPr>
            <w:tcW w:w="240" w:type="dxa"/>
            <w:vAlign w:val="bottom"/>
            <w:tcBorders>
              <w:top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609,041</w:t>
            </w: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798</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(59,195)</w:t>
            </w:r>
          </w:p>
        </w:tc>
        <w:tc>
          <w:tcPr>
            <w:tcW w:w="2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(58,397)</w:t>
            </w: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2"/>
                <w:szCs w:val="12"/>
                <w:color w:val="auto"/>
              </w:rPr>
            </w:pPr>
          </w:p>
        </w:tc>
      </w:tr>
      <w:tr>
        <w:trPr>
          <w:trHeight w:val="130"/>
        </w:trPr>
        <w:tc>
          <w:tcPr>
            <w:tcW w:w="356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Sale of Series D Convertible Preferred Stock at $0.83</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per share, net of issuance costs of $73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15,662,650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12,927</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60" w:type="dxa"/>
            <w:vAlign w:val="bottom"/>
          </w:tcPr>
          <w:p>
            <w:pPr>
              <w:spacing w:after="0"/>
              <w:rPr>
                <w:sz w:val="12"/>
                <w:szCs w:val="12"/>
                <w:color w:val="auto"/>
              </w:rPr>
            </w:pPr>
          </w:p>
        </w:tc>
      </w:tr>
      <w:tr>
        <w:trPr>
          <w:trHeight w:val="14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Accretion of issuance costs to redemption value</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(73)</w:t>
            </w: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(22,101)</w:t>
            </w:r>
          </w:p>
        </w:tc>
        <w:tc>
          <w:tcPr>
            <w:tcW w:w="2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(22,101)</w:t>
            </w:r>
          </w:p>
        </w:tc>
      </w:tr>
      <w:tr>
        <w:trPr>
          <w:trHeight w:val="142"/>
        </w:trPr>
        <w:tc>
          <w:tcPr>
            <w:tcW w:w="35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2012</w:t>
            </w:r>
          </w:p>
        </w:tc>
        <w:tc>
          <w:tcPr>
            <w:tcW w:w="9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87,037,546</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83,751</w:t>
            </w:r>
          </w:p>
        </w:tc>
        <w:tc>
          <w:tcPr>
            <w:tcW w:w="240" w:type="dxa"/>
            <w:vAlign w:val="bottom"/>
            <w:tcBorders>
              <w:top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609,945</w:t>
            </w: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1,257</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(81,296)</w:t>
            </w:r>
          </w:p>
        </w:tc>
        <w:tc>
          <w:tcPr>
            <w:tcW w:w="2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(80,039)</w:t>
            </w: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2"/>
                <w:szCs w:val="12"/>
                <w:color w:val="auto"/>
              </w:rPr>
            </w:pPr>
          </w:p>
        </w:tc>
      </w:tr>
      <w:tr>
        <w:trPr>
          <w:trHeight w:val="14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60" w:type="dxa"/>
            <w:vAlign w:val="bottom"/>
            <w:shd w:val="clear" w:color="auto" w:fill="CFF0FC"/>
          </w:tcPr>
          <w:p>
            <w:pPr>
              <w:spacing w:after="0"/>
              <w:rPr>
                <w:sz w:val="12"/>
                <w:szCs w:val="12"/>
                <w:color w:val="auto"/>
              </w:rPr>
            </w:pPr>
          </w:p>
        </w:tc>
      </w:tr>
      <w:tr>
        <w:trPr>
          <w:trHeight w:val="130"/>
        </w:trPr>
        <w:tc>
          <w:tcPr>
            <w:tcW w:w="35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preferred stock into common stock at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$14.51 to $39.21 per share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(1,830,190)</w:t>
            </w:r>
          </w:p>
        </w:tc>
        <w:tc>
          <w:tcPr>
            <w:tcW w:w="20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(2,226)</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166,675</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60" w:type="dxa"/>
            <w:vAlign w:val="bottom"/>
          </w:tcPr>
          <w:p>
            <w:pPr>
              <w:spacing w:after="0"/>
              <w:rPr>
                <w:sz w:val="13"/>
                <w:szCs w:val="13"/>
                <w:color w:val="auto"/>
              </w:rPr>
            </w:pPr>
          </w:p>
        </w:tc>
      </w:tr>
      <w:tr>
        <w:trPr>
          <w:trHeight w:val="14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(17,143)</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(17,143)</w:t>
            </w:r>
          </w:p>
        </w:tc>
      </w:tr>
      <w:tr>
        <w:trPr>
          <w:trHeight w:val="142"/>
        </w:trPr>
        <w:tc>
          <w:tcPr>
            <w:tcW w:w="35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2013</w:t>
            </w:r>
          </w:p>
        </w:tc>
        <w:tc>
          <w:tcPr>
            <w:tcW w:w="9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85,207,356</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81,525</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785,531</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4,140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(98,439)</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(94,299)</w:t>
            </w:r>
          </w:p>
        </w:tc>
        <w:tc>
          <w:tcPr>
            <w:tcW w:w="60" w:type="dxa"/>
            <w:vAlign w:val="bottom"/>
          </w:tcPr>
          <w:p>
            <w:pPr>
              <w:spacing w:after="0"/>
              <w:rPr>
                <w:sz w:val="12"/>
                <w:szCs w:val="12"/>
                <w:color w:val="auto"/>
              </w:rPr>
            </w:pPr>
          </w:p>
        </w:tc>
      </w:tr>
      <w:tr>
        <w:trPr>
          <w:trHeight w:val="14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41,566</w:t>
            </w: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shd w:val="clear" w:color="auto" w:fill="CFF0FC"/>
          </w:tcPr>
          <w:p>
            <w:pPr>
              <w:spacing w:after="0"/>
              <w:rPr>
                <w:sz w:val="12"/>
                <w:szCs w:val="12"/>
                <w:color w:val="auto"/>
              </w:rPr>
            </w:pP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60" w:type="dxa"/>
            <w:vAlign w:val="bottom"/>
          </w:tcPr>
          <w:p>
            <w:pPr>
              <w:spacing w:after="0"/>
              <w:rPr>
                <w:sz w:val="12"/>
                <w:szCs w:val="12"/>
                <w:color w:val="auto"/>
              </w:rPr>
            </w:pPr>
          </w:p>
        </w:tc>
      </w:tr>
      <w:tr>
        <w:trPr>
          <w:trHeight w:val="130"/>
        </w:trPr>
        <w:tc>
          <w:tcPr>
            <w:tcW w:w="356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from initial public</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35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offering, net of underwriting fees and issuance</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costs of $7,126</w:t>
            </w: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9,569,715</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59,861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59,862</w:t>
            </w:r>
          </w:p>
        </w:tc>
        <w:tc>
          <w:tcPr>
            <w:tcW w:w="60" w:type="dxa"/>
            <w:vAlign w:val="bottom"/>
            <w:shd w:val="clear" w:color="auto" w:fill="CFF0FC"/>
          </w:tcPr>
          <w:p>
            <w:pPr>
              <w:spacing w:after="0"/>
              <w:rPr>
                <w:sz w:val="13"/>
                <w:szCs w:val="13"/>
                <w:color w:val="auto"/>
              </w:rPr>
            </w:pPr>
          </w:p>
        </w:tc>
      </w:tr>
      <w:tr>
        <w:trPr>
          <w:trHeight w:val="130"/>
        </w:trPr>
        <w:tc>
          <w:tcPr>
            <w:tcW w:w="35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convertible preferred stock into</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(85,207,356)</w:t>
            </w:r>
          </w:p>
        </w:tc>
        <w:tc>
          <w:tcPr>
            <w:tcW w:w="20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(81,525)</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6,826,004</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81,526</w:t>
            </w:r>
          </w:p>
        </w:tc>
        <w:tc>
          <w:tcPr>
            <w:tcW w:w="60" w:type="dxa"/>
            <w:vAlign w:val="bottom"/>
          </w:tcPr>
          <w:p>
            <w:pPr>
              <w:spacing w:after="0"/>
              <w:rPr>
                <w:sz w:val="13"/>
                <w:szCs w:val="13"/>
                <w:color w:val="auto"/>
              </w:rPr>
            </w:pPr>
          </w:p>
        </w:tc>
      </w:tr>
      <w:tr>
        <w:trPr>
          <w:trHeight w:val="130"/>
        </w:trPr>
        <w:tc>
          <w:tcPr>
            <w:tcW w:w="356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Reclassification of warrants in connection with</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initial public offering</w:t>
            </w: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60" w:type="dxa"/>
            <w:vAlign w:val="bottom"/>
            <w:shd w:val="clear" w:color="auto" w:fill="CFF0FC"/>
          </w:tcPr>
          <w:p>
            <w:pPr>
              <w:spacing w:after="0"/>
              <w:rPr>
                <w:sz w:val="13"/>
                <w:szCs w:val="13"/>
                <w:color w:val="auto"/>
              </w:rPr>
            </w:pPr>
          </w:p>
        </w:tc>
      </w:tr>
      <w:tr>
        <w:trPr>
          <w:trHeight w:val="130"/>
        </w:trPr>
        <w:tc>
          <w:tcPr>
            <w:tcW w:w="35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convertible notes, net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costs of $187</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2,902,233</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60" w:type="dxa"/>
            <w:vAlign w:val="bottom"/>
          </w:tcPr>
          <w:p>
            <w:pPr>
              <w:spacing w:after="0"/>
              <w:rPr>
                <w:sz w:val="13"/>
                <w:szCs w:val="13"/>
                <w:color w:val="auto"/>
              </w:rPr>
            </w:pPr>
          </w:p>
        </w:tc>
      </w:tr>
      <w:tr>
        <w:trPr>
          <w:trHeight w:val="14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(23,342)</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(23,342)</w:t>
            </w:r>
          </w:p>
        </w:tc>
      </w:tr>
      <w:tr>
        <w:trPr>
          <w:trHeight w:val="142"/>
        </w:trPr>
        <w:tc>
          <w:tcPr>
            <w:tcW w:w="35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2014</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20,125,049</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167,104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(121,781)</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45,325</w:t>
            </w:r>
          </w:p>
        </w:tc>
        <w:tc>
          <w:tcPr>
            <w:tcW w:w="60" w:type="dxa"/>
            <w:vAlign w:val="bottom"/>
          </w:tcPr>
          <w:p>
            <w:pPr>
              <w:spacing w:after="0"/>
              <w:rPr>
                <w:sz w:val="12"/>
                <w:szCs w:val="12"/>
                <w:color w:val="auto"/>
              </w:rPr>
            </w:pPr>
          </w:p>
        </w:tc>
      </w:tr>
      <w:tr>
        <w:trPr>
          <w:trHeight w:val="20"/>
        </w:trPr>
        <w:tc>
          <w:tcPr>
            <w:tcW w:w="3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333"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(23,342)</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(22,101)</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rent expense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3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3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3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initial public offering, net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loans payable</w:t>
            </w:r>
          </w:p>
        </w:tc>
        <w:tc>
          <w:tcPr>
            <w:tcW w:w="300" w:type="dxa"/>
            <w:vAlign w:val="bottom"/>
          </w:tcPr>
          <w:p>
            <w:pPr>
              <w:spacing w:after="0"/>
              <w:rPr>
                <w:sz w:val="19"/>
                <w:szCs w:val="19"/>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capital lease</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300" w:type="dxa"/>
            <w:vAlign w:val="bottom"/>
          </w:tcPr>
          <w:p>
            <w:pPr>
              <w:spacing w:after="0"/>
              <w:rPr>
                <w:sz w:val="19"/>
                <w:szCs w:val="19"/>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(3,348)</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(3,084)</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1"/>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redeemable convertible preferred stock, net of</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costs</w:t>
            </w:r>
          </w:p>
        </w:tc>
        <w:tc>
          <w:tcPr>
            <w:tcW w:w="300" w:type="dxa"/>
            <w:vAlign w:val="bottom"/>
          </w:tcPr>
          <w:p>
            <w:pPr>
              <w:spacing w:after="0"/>
              <w:rPr>
                <w:sz w:val="20"/>
                <w:szCs w:val="20"/>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220" w:type="dxa"/>
            <w:vAlign w:val="bottom"/>
          </w:tcPr>
          <w:p>
            <w:pPr>
              <w:spacing w:after="0"/>
              <w:rPr>
                <w:sz w:val="23"/>
                <w:szCs w:val="23"/>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6920" w:type="dxa"/>
            <w:vAlign w:val="bottom"/>
            <w:tcBorders>
              <w:top w:val="single" w:sz="8" w:color="CFF0FC"/>
            </w:tcBorders>
            <w:shd w:val="clear" w:color="auto" w:fill="CFF0FC"/>
          </w:tcPr>
          <w:p>
            <w:pPr>
              <w:ind w:left="260"/>
              <w:spacing w:after="0" w:line="192" w:lineRule="exact"/>
              <w:rPr>
                <w:sz w:val="20"/>
                <w:szCs w:val="20"/>
                <w:color w:val="auto"/>
              </w:rPr>
            </w:pPr>
            <w:r>
              <w:rPr>
                <w:rFonts w:ascii="Times New Roman" w:cs="Times New Roman" w:eastAsia="Times New Roman" w:hAnsi="Times New Roman"/>
                <w:sz w:val="18"/>
                <w:szCs w:val="18"/>
                <w:color w:val="auto"/>
              </w:rPr>
              <w:t>Conversion of convertible notes and accrued interest into</w:t>
            </w: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Reclassification of warrants to additional paid-in capital</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Fair value of preferred stock warrants issued in connection with debt</w:t>
            </w: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333"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40" w:hanging="532"/>
        <w:spacing w:after="0"/>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17" w:lineRule="exact"/>
        <w:rPr>
          <w:sz w:val="20"/>
          <w:szCs w:val="20"/>
          <w:color w:val="auto"/>
        </w:rPr>
      </w:pPr>
    </w:p>
    <w:p>
      <w:pPr>
        <w:jc w:val="both"/>
        <w:ind w:right="1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Cerulean Pharma Inc. (the “Company”) was incorporated on November 28, 2005, as a Delaware corporation and is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Cambridge, Massachusetts. The Company was formed to develop novel, nanotechnology-based therapeutics in the areas of oncology and other diseases. In 2013, the Company formed a wholly-owned subsidiary, Cerulean Pharma Australia Pty Ltd as an Australian-based proprietary limited company, to perform clinical activities in Australia. To date, operations of the Australia subsidiary have been immaterial.</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operations to date have consisted primarily of raising capital, product research and development, and initial market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is considered to be in the development stage at December 31, 2014.</w:t>
      </w:r>
    </w:p>
    <w:p>
      <w:pPr>
        <w:spacing w:after="0" w:line="9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has not generated any revenue related to its primary business purpose to date and is subject to a number of risks similar to those of other development stage life science companies, including dependence on key individuals, competition from other companies, the need for development of commercially viable products, and the need to obtain adequate additional financing to fund the development of its product candidates. The Company is also subject to a number of risks similar to other companies in the industry, including rapid technological change, regulatory approval of products,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w:t>
      </w:r>
    </w:p>
    <w:p>
      <w:pPr>
        <w:spacing w:after="0" w:line="80"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has an accumulated deficit of $121.8 million at December 31, 2014. The Company has financed its operations primarily through private placements of its preferred stock, proceeds from borrowings, and an initial public offering completed in 2014. The Company has not completed development of any product candidate and has devoted substantially all of its financial resources and efforts to research and development, including preclinical and clinical development. The Company expects to continue to incur significant expenses and increasing operating losses for at least several years.</w:t>
      </w:r>
    </w:p>
    <w:p>
      <w:pPr>
        <w:spacing w:after="0" w:line="68"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 On April 15, 2014, the Company completed the sale of 8,500,000 shares of its common stock in its initial public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shares to the public resulted in net proceeds of $59.9 million after deducting underwriting discounts and commissions and offering expenses payable by the Company.</w:t>
      </w:r>
    </w:p>
    <w:p>
      <w:pPr>
        <w:spacing w:after="0" w:line="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preparation for the IPO, the Company’s board of directors and stockholders approved a 1-for-14.5074 reverse stock split of the Company’s common stock effective March 31, 2014. All share and per share amounts in the consolidated financial statements contained herein and notes thereto have been retroactively adjusted, where necessary, to give effect to this reverse stock split. 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 in shares outstanding in April 2014 is expected to impact the year-over-year comparability of the Company’s net loss per share calculations in future periods.</w:t>
      </w:r>
    </w:p>
    <w:p>
      <w:pPr>
        <w:spacing w:after="0" w:line="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280" w:lineRule="exact"/>
        <w:rPr>
          <w:sz w:val="20"/>
          <w:szCs w:val="20"/>
          <w:color w:val="auto"/>
        </w:rPr>
      </w:pPr>
    </w:p>
    <w:p>
      <w:pPr>
        <w:ind w:left="540" w:hanging="532"/>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right="2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6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an ongoing basis, the Company's management evaluates its estimates, including estimates related to clinical trial accruals, stock-based compensation expense, and reported amounts of revenues and expenses during the reported period. The Company bases its estimates on historical experience and other market-specific or other relevant assumptions that it believes to be reasonable under the circumstances. Although the Company regularly assesses these estimates, actual results could differ from those estimates. Changes in estimates are recorded in the period in which they become known.</w:t>
      </w:r>
    </w:p>
    <w:p>
      <w:pPr>
        <w:spacing w:after="0" w:line="176" w:lineRule="exact"/>
        <w:rPr>
          <w:sz w:val="20"/>
          <w:szCs w:val="20"/>
          <w:color w:val="auto"/>
        </w:rPr>
      </w:pPr>
    </w:p>
    <w:p>
      <w:pPr>
        <w:ind w:right="40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accounts and transactions have been eliminated.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00"/>
          </w:cols>
          <w:pgMar w:left="240" w:top="333" w:right="259" w:bottom="1440" w:gutter="0" w:footer="0" w:header="0"/>
        </w:sectPr>
      </w:pPr>
    </w:p>
    <w:bookmarkStart w:id="108" w:name="page109"/>
    <w:bookmarkEnd w:id="108"/>
    <w:p>
      <w:pPr>
        <w:ind w:right="22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evaluation by the chief operating decision-maker in making decisions regarding resource allocation and assessing performance. The Company views its operations and manages its business in one operating segment; however, the Company operates in two geographic regions: United States (Cambridge, MA) and Australia (Sydney, NSW). There is no revenue generated or long-lived assets located within the Australian location.</w:t>
      </w:r>
    </w:p>
    <w:p>
      <w:pPr>
        <w:spacing w:after="0" w:line="177"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equivalents include all highly liquid investments maturing within 90 days from the date of purchase and consist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of money market funds.</w:t>
      </w:r>
    </w:p>
    <w:p>
      <w:pPr>
        <w:spacing w:after="0" w:line="155" w:lineRule="exact"/>
        <w:rPr>
          <w:sz w:val="20"/>
          <w:szCs w:val="20"/>
          <w:color w:val="auto"/>
        </w:rPr>
      </w:pPr>
    </w:p>
    <w:p>
      <w:pPr>
        <w:ind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that subject the Company to significant concentrations of credit risk consist primarily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Substantially all of the Company’s cash and cash equivalents are held at one financial institution that management believes to be of high-credit quality. Deposits with this financial institution may exceed the amount of insurance provided on such deposits; however these deposits may be redeemed upon demand and, therefore, bear minimal risk.</w:t>
      </w:r>
    </w:p>
    <w:p>
      <w:pPr>
        <w:spacing w:after="0" w:line="177" w:lineRule="exact"/>
        <w:rPr>
          <w:sz w:val="20"/>
          <w:szCs w:val="20"/>
          <w:color w:val="auto"/>
        </w:rPr>
      </w:pPr>
    </w:p>
    <w:p>
      <w:pPr>
        <w:jc w:val="both"/>
        <w:ind w:right="22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At December 31, 2014 and 2013, the Company has restricted cash of $117,000 representing a letter of credit for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lease that is scheduled to expire in February 2016. The letter of credit is secured by certificates of deposit that renew monthly. The restricted cash is included within other assets in the balance sheet.</w:t>
      </w:r>
    </w:p>
    <w:p>
      <w:pPr>
        <w:spacing w:after="0" w:line="171" w:lineRule="exact"/>
        <w:rPr>
          <w:sz w:val="20"/>
          <w:szCs w:val="20"/>
          <w:color w:val="auto"/>
        </w:rPr>
      </w:pPr>
    </w:p>
    <w:p>
      <w:pPr>
        <w:ind w:right="38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over their estimated useful lives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Repairs and maintenance costs are expensed as incurred, whereas major improvements are capitalized as additions to property and equipment.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is provided using the straight-line method over the following estimated useful lives: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280" w:type="dxa"/>
            <w:vAlign w:val="bottom"/>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280" w:type="dxa"/>
            <w:vAlign w:val="bottom"/>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r>
    </w:tbl>
    <w:p>
      <w:pPr>
        <w:spacing w:after="0" w:line="216" w:lineRule="exact"/>
        <w:rPr>
          <w:sz w:val="20"/>
          <w:szCs w:val="20"/>
          <w:color w:val="auto"/>
        </w:rPr>
      </w:pPr>
    </w:p>
    <w:p>
      <w:pPr>
        <w:ind w:right="16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For the years ended December 31, 2014 and 2013, the Company has not recorded an impairment charge for its long-lived assets.</w:t>
      </w:r>
    </w:p>
    <w:p>
      <w:pPr>
        <w:spacing w:after="0" w:line="180"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Company’s revenue to date has been insignificant and has been generated from short-term research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companies and federal grants. There have been no multiple element arrangements. Revenue is recognized when four basic criteria are met: (1) persuasive evidence of an arrangement exists, (2) delivery has occurred or services have been rendered, (3) the fee is fixed or determinable, and (4) collectability is reasonably assured. Accordingly, the Company has recognized revenue under its agreements as the services were performed.</w:t>
      </w:r>
    </w:p>
    <w:p>
      <w:pPr>
        <w:spacing w:after="0" w:line="177" w:lineRule="exact"/>
        <w:rPr>
          <w:sz w:val="20"/>
          <w:szCs w:val="20"/>
          <w:color w:val="auto"/>
        </w:rPr>
      </w:pPr>
    </w:p>
    <w:p>
      <w:pPr>
        <w:ind w:right="60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Comprehensive Loss </w:t>
      </w:r>
      <w:r>
        <w:rPr>
          <w:rFonts w:ascii="Times New Roman" w:cs="Times New Roman" w:eastAsia="Times New Roman" w:hAnsi="Times New Roman"/>
          <w:sz w:val="18"/>
          <w:szCs w:val="18"/>
          <w:color w:val="auto"/>
        </w:rPr>
        <w:t>— Comprehensive loss consists of net loss and changes in equity during a period from transactions and other equity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generated from non-owner sources. The Company had no items of comprehensive loss, other than its net loss, for each of the periods presented.</w:t>
      </w:r>
    </w:p>
    <w:p>
      <w:pPr>
        <w:spacing w:after="0" w:line="17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 Research and development expenses consist of expenses incurred in performing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including compensation and benefits for full-time research and development employees, an allocation of facilities expenses, overhead expenses, manufacturing process-development and scale-up activities, clinical trial and related clinical manufacturing expenses, fees paid to clinical research organizations, or CROs, and investigative sites, payments to universities under the Company’s license agreements and other outside expenses. In the early phases of development, the Company’s research and development costs are often devoted to expanding its product platform and are not necessarily allocable to a specific target. Research and development costs are expensed as incurred. Nonrefundable advanced payments, if any, for goods and services used in research and development are recognized as an expense as the related goods are delivered or services are performed.</w:t>
      </w:r>
    </w:p>
    <w:p>
      <w:pPr>
        <w:spacing w:after="0" w:line="183"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Preferred Stock Warrant Liability </w:t>
      </w:r>
      <w:r>
        <w:rPr>
          <w:rFonts w:ascii="Times New Roman" w:cs="Times New Roman" w:eastAsia="Times New Roman" w:hAnsi="Times New Roman"/>
          <w:sz w:val="18"/>
          <w:szCs w:val="18"/>
          <w:color w:val="auto"/>
        </w:rPr>
        <w:t>— Freestanding warrants related to shares that are redeemable or contingently redeemable are classified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on the Company’s balance sheets. The Company uses the Black-Scholes option-pricing model to estimate the fair value of the warrants. Changes in the fair value of these warrants are recorded in the statements of operations. All of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549" w:right="239" w:bottom="1440" w:gutter="0" w:footer="0" w:header="0"/>
        </w:sectPr>
      </w:pPr>
    </w:p>
    <w:bookmarkStart w:id="109" w:name="page110"/>
    <w:bookmarkEnd w:id="109"/>
    <w:p>
      <w:pPr>
        <w:ind w:right="20"/>
        <w:spacing w:after="0" w:line="282" w:lineRule="auto"/>
        <w:rPr>
          <w:sz w:val="20"/>
          <w:szCs w:val="20"/>
          <w:color w:val="auto"/>
        </w:rPr>
      </w:pPr>
      <w:r>
        <w:rPr>
          <w:rFonts w:ascii="Times New Roman" w:cs="Times New Roman" w:eastAsia="Times New Roman" w:hAnsi="Times New Roman"/>
          <w:sz w:val="18"/>
          <w:szCs w:val="18"/>
          <w:color w:val="auto"/>
        </w:rPr>
        <w:t>Company’s warrants to purchase preferred stock were converted to warrants to purchase common stock upon the Company’s IPO in April 2014. Accordingly, the preferred stock warrant liability was reclassified to additional paid-in capital.</w:t>
      </w:r>
    </w:p>
    <w:p>
      <w:pPr>
        <w:spacing w:after="0" w:line="158"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Redeemable Convertible Preferred Stock </w:t>
      </w:r>
      <w:r>
        <w:rPr>
          <w:rFonts w:ascii="Times New Roman" w:cs="Times New Roman" w:eastAsia="Times New Roman" w:hAnsi="Times New Roman"/>
          <w:sz w:val="18"/>
          <w:szCs w:val="18"/>
          <w:color w:val="auto"/>
        </w:rPr>
        <w:t>— The Company classifies redeemable convertible preferred stock that is redeemable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control outside of permanent equity. The Company recorded such redeemable preferred stock at fair value upon issuance, net of any issuance costs or discounts, and the carrying value is being increased by periodic accretion to its redemption value. In the absence of retained earnings these accretion charges are recorded against additional paid-in capital, if any, and then to accumulated deficit. The Company amortizes the accretion using the interest method. All of the Company’s redeemable convertible preferred stock was automatically converted to common stock in connection with the Company’s IPO in April 2014.</w:t>
      </w:r>
    </w:p>
    <w:p>
      <w:pPr>
        <w:spacing w:after="0" w:line="183"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accounts for stock-based awards at fair value, which is measured using the Black-Scholes option-pricing model. The fair value measurement date for employee awards is generally the date of grant. The fair value measurement date for nonemployee awards is generally the date the performance of services is completed. Stock-based compensation costs are recognized as an expense over the requisite service period, which is generally the vesting period, on a straight-line basis for all time-vested awards. The Company issued performance based grants where the vesting of the grant is tied to certain milestone performance and in these cases, the compensation is recognized as expense when the probability of the milestone is met.</w:t>
      </w:r>
    </w:p>
    <w:p>
      <w:pPr>
        <w:spacing w:after="0" w:line="184"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Stock-based awards to nonemployees are remeasured at each reporting date and recognized as services are rendered, generally on a straight-line basis. The Company believes that the fair value of these awards is more reliably measurable than the fair value of the services rendered. Stock-based compensation is classified in the accompanying consolidated statements of operations in the department where the related services are provided.</w:t>
      </w:r>
    </w:p>
    <w:p>
      <w:pPr>
        <w:spacing w:after="0" w:line="1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Net Loss per Share Attributable to Common Stockholders </w:t>
      </w:r>
      <w:r>
        <w:rPr>
          <w:rFonts w:ascii="Times New Roman" w:cs="Times New Roman" w:eastAsia="Times New Roman" w:hAnsi="Times New Roman"/>
          <w:sz w:val="18"/>
          <w:szCs w:val="18"/>
          <w:color w:val="auto"/>
        </w:rPr>
        <w:t>— Basic net loss attributable to common stockholders per share is computed by dividing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net loss attributable to common stockholders by the weighted-average number of common shares outstanding for the period. During periods where the Company might earn net income, the Company would allocate participating securities a proportional share of net income determined by dividing total weighted average participating securities by the sum of the total weighted average common shares and participating securities (the “two-class method”). Participating securities have the effect of diluting both basic and diluted earnings per share during periods of income. During periods where the Company incurred net loss, the Company allocates no loss to participating securities because they have no contractual obligation to share in the losses of the Company. The Company computes diluted loss per common share after giving consideration to the dilutive effect of stock options and warrants that are outstanding during the period, except where such nonparticipating securities would be antidilutive.</w:t>
      </w:r>
    </w:p>
    <w:p>
      <w:pPr>
        <w:spacing w:after="0" w:line="185"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Deferred income taxes are provided for the temporary differences arising between the carrying amounts of assets and liabilities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purposes and the amounts used for income tax purposes and for operating loss carryforwards and credits. Deferred tax assets and liabilities are recorded using tax rates expected to be in effect in the year in which the differences are expected to reverse. A valuation allowance is provided for any net deferred tax assets for which management believes it is more likely than not that the net deferred tax assets will not be realized.</w:t>
      </w:r>
    </w:p>
    <w:p>
      <w:pPr>
        <w:spacing w:after="0" w:line="18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provides reserves for potential payment of tax to various tax authorities related to uncertain tax positions. The tax benefits recorded are based on a determination of whether and how much of a tax benefit taken by the Company in its filings or positions is “more likely than not” to be realized following resolution of any uncertainty related to the tax benefit, assuming the matter in question will be raised by the tax authorities. Potential interest and penalties associated with such uncertain tax positions are recorded as a component of income tax expense. At December 31, 2014 and 2013, the Company has not identified any significant uncertain tax positions.</w:t>
      </w:r>
    </w:p>
    <w:p>
      <w:pPr>
        <w:spacing w:after="0" w:line="180" w:lineRule="exact"/>
        <w:rPr>
          <w:sz w:val="20"/>
          <w:szCs w:val="20"/>
          <w:color w:val="auto"/>
        </w:rPr>
      </w:pPr>
    </w:p>
    <w:p>
      <w:pPr>
        <w:jc w:val="both"/>
        <w:ind w:right="2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Guarantees and Indemnification </w:t>
      </w:r>
      <w:r>
        <w:rPr>
          <w:rFonts w:ascii="Times New Roman" w:cs="Times New Roman" w:eastAsia="Times New Roman" w:hAnsi="Times New Roman"/>
          <w:sz w:val="18"/>
          <w:szCs w:val="18"/>
          <w:color w:val="auto"/>
        </w:rPr>
        <w:t>— As permitted under Delaware law, the Company indemnifies its officers, directors, and employees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occurrences while the officer or director is, or was serving at the Company’s request in such a capacity. The term of the indemnification is for the officer’s or director’s lifetime.</w:t>
      </w:r>
    </w:p>
    <w:p>
      <w:pPr>
        <w:spacing w:after="0" w:line="171"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August 2014 Financial Accounting Standards Board (the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the Company’s consolidated financial statements.</w:t>
      </w:r>
    </w:p>
    <w:p>
      <w:pPr>
        <w:spacing w:after="0" w:line="182" w:lineRule="exact"/>
        <w:rPr>
          <w:sz w:val="20"/>
          <w:szCs w:val="20"/>
          <w:color w:val="auto"/>
        </w:rPr>
      </w:pPr>
    </w:p>
    <w:p>
      <w:pPr>
        <w:ind w:right="100" w:firstLine="518"/>
        <w:spacing w:after="0" w:line="267" w:lineRule="auto"/>
        <w:rPr>
          <w:sz w:val="20"/>
          <w:szCs w:val="20"/>
          <w:color w:val="auto"/>
        </w:rPr>
      </w:pPr>
      <w:r>
        <w:rPr>
          <w:rFonts w:ascii="Times New Roman" w:cs="Times New Roman" w:eastAsia="Times New Roman" w:hAnsi="Times New Roman"/>
          <w:sz w:val="18"/>
          <w:szCs w:val="18"/>
          <w:color w:val="auto"/>
        </w:rPr>
        <w:t>In June 2014, the FASB issued ASU No. 2014-10, “</w:t>
      </w:r>
      <w:r>
        <w:rPr>
          <w:rFonts w:ascii="Times New Roman" w:cs="Times New Roman" w:eastAsia="Times New Roman" w:hAnsi="Times New Roman"/>
          <w:sz w:val="18"/>
          <w:szCs w:val="18"/>
          <w:i w:val="1"/>
          <w:iCs w:val="1"/>
          <w:color w:val="auto"/>
        </w:rPr>
        <w:t>Development Stage Entities: Elimination of Certain Financial Reporting Requirements,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Amendment to Variable Interest Entities Guidance in Topic 810, Consolidation</w:t>
      </w:r>
      <w:r>
        <w:rPr>
          <w:rFonts w:ascii="Times New Roman" w:cs="Times New Roman" w:eastAsia="Times New Roman" w:hAnsi="Times New Roman"/>
          <w:sz w:val="18"/>
          <w:szCs w:val="18"/>
          <w:color w:val="auto"/>
        </w:rPr>
        <w:t>.” This accounting standard eliminates all incremental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from U.S. GAAP for development stage entities, thereby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553" w:right="239" w:bottom="1440" w:gutter="0" w:footer="0" w:header="0"/>
        </w:sectPr>
      </w:pPr>
    </w:p>
    <w:bookmarkStart w:id="110" w:name="page111"/>
    <w:bookmarkEnd w:id="110"/>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improving financial reporting by reducing the cost and complexity associated with providing such information. The Company will no longer be required to present inception-to-date information. This ASU is effective on a prospective basis for annual and interim reporting periods beginning on or after December 15, 2014, with early adoption permitted. The Company elected to early adopt the ASU starting with its June 30, 2014 financial statements and, accordingly, has not included inception to date information it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hanging="532"/>
        <w:spacing w:after="0"/>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data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preferred stock issuance costs to redemption value</w:t>
            </w:r>
          </w:p>
        </w:tc>
        <w:tc>
          <w:tcPr>
            <w:tcW w:w="280" w:type="dxa"/>
            <w:vAlign w:val="bottom"/>
          </w:tcPr>
          <w:p>
            <w:pPr>
              <w:spacing w:after="0"/>
              <w:rPr>
                <w:sz w:val="19"/>
                <w:szCs w:val="19"/>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 basic and diluted</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reported a net loss for all periods presented, therefore diluted net loss per common share is the same as basic net loss per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 of diluted weighted-average shares outstanding, because such securities had an antidilutive impact due to the losses reported (in common stock equivalent shares):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1,062,694</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1,046,178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6,826,004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6,992,694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754,785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(1,532)</w:t>
            </w:r>
          </w:p>
        </w:tc>
      </w:tr>
      <w:tr>
        <w:trPr>
          <w:trHeight w:val="223"/>
        </w:trPr>
        <w:tc>
          <w:tcPr>
            <w:tcW w:w="7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2014, 2013 and 2012 was $126,000, $197,000 and $346,000,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553" w:right="239" w:bottom="1440" w:gutter="0" w:footer="0" w:header="0"/>
        </w:sectPr>
      </w:pPr>
    </w:p>
    <w:bookmarkStart w:id="111" w:name="page112"/>
    <w:bookmarkEnd w:id="111"/>
    <w:p>
      <w:pPr>
        <w:ind w:left="540" w:hanging="532"/>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40" w:hanging="532"/>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May 2010 and September 2010, the Company issued one-year convertible notes payable in the amounts of $5,000,000 and $1,500,000, respectively, to existing investors, with a stated interest rate of 7%. In November 2010, the principal and accrued interest of $176,000 were converted into 9,021,175 shares of Series C Preferred Stock at $0.74 per share. The Company also provided for the issuance of seven-year warrants to purchase Series C Preferred Stock with the notes. The issuance of the warrants was contingent upon the conversion of the notes to Series C Preferred Stock. The number of shares included in the warrants was determined by dividing 10% of the note principal converted to Series C Preferred Stock by the Series C Preferred Stock per share issue price. Concurrent with the conversion of the notes, warrants to purchase 878,370 shares of Series C Preferred Stock at $0.74 per share became exercisable. The Company estimated the fair value of the warrants on the issue date to be $474,000 using the Black-Scholes option-pricing model with the following assumptions: volatility of 80%, contractual term of seven years, risk-free interest rate of 1.85%, and no dividend yield. The Company determined the fair value of the warrants at the end of each subsequent reporting period using the Black-Scholes option-pricing model (see Note 11) until their conversion to warrants to purchase 60,532 shares of common stock upon the IPO in April 2014.</w:t>
      </w:r>
    </w:p>
    <w:p>
      <w:pPr>
        <w:spacing w:after="0" w:line="78"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August 2013, the Company issued convertible promissory notes in the amount of $8,824,000 to existing investors, with a stated interest rate of 7%. Outstanding principal and unpaid accrued interest due under the notes were automatically converted into shares of the Company’s common stock upon the closing of the Company’s IPO in April 2014.</w:t>
      </w:r>
    </w:p>
    <w:p>
      <w:pPr>
        <w:spacing w:after="0" w:line="6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February and March 2014, the Company issued convertible promissory notes in the aggregate amount of $6,000,000 to existing investors and a convertible promissory note in the amount of $2,500,000 to a new investor. All the notes had a stated interest rate of 7%. Outstanding principal and unpaid accrued interest due under the notes were automatically converted into shares of the Company’s common stock upon the closing of the Company’s IPO in April 2014, at a conversion price equal to 77.5% of the IPO price. The Company recorded a loss on the extinguishment of the notes of $2,493,000 in April 2014, equal to the difference between the fair value of the shares into which the notes converted and the carrying amount of the notes upon the closing of the Company’s IPO.</w:t>
      </w:r>
    </w:p>
    <w:p>
      <w:pPr>
        <w:spacing w:after="0" w:line="386" w:lineRule="exact"/>
        <w:rPr>
          <w:sz w:val="20"/>
          <w:szCs w:val="20"/>
          <w:color w:val="auto"/>
        </w:rPr>
      </w:pPr>
    </w:p>
    <w:p>
      <w:pPr>
        <w:ind w:left="540" w:hanging="532"/>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August 2008, the Company entered into a Loan and Security Agreement (the “Loan Agreement”) with a bank to borrow up to $1,500,000 in one or more advances to finance certain equipment purchases made by the Company through May 31, 2009. In September 2008, the Company received its only advance totaling $695,000 and issued a note payable to the bank. No additional advances were made. The note was payable over a 48-month period in equal principal payments, plus interest on the outstanding balance, fixed at the 8.75%. The note was secured by a security interest in the specific equipment financed. In September 2012, the Company paid the remaining balance in accordance with the original repayment schedule.</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the Loan Agreement, the Company issued the bank a warrant to purchase 15,000 shares of the Company’s Series B Preferred Stock at an exercise price of $2.00 per share. The warrant was immediately exercisable and expires 10 years from the date of grant. The value of the warrant was recorded as a discount to the note payable and was amortized to interest expense using the effective interest method over the 48-month repayment term. The Company estimated the fair value of the warrant on the grant date to be $25,000 using the Black-Scholes option-pricing model with the following assumptions: volatility of 79%, contractual term of 10 years, risk-free interest rate of 3.89%, and no dividend yield. The Company determined the fair value of the warrants at the end of each subsequent reporting period using the Black-Scholes option pricing model (see Note 11) until their conversion to common stock warrants to purchase 1,695 shares of common stock upon the completion of the IPO in April 2014.</w:t>
      </w:r>
    </w:p>
    <w:p>
      <w:pPr>
        <w:spacing w:after="0" w:line="18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In December 2011, the Company entered into a loan and security agreement with Lighthouse Capital Partners VI, L.P. (“Lighthouse Capital”) to borrow up to $10,000,000 in one or more advances by December 31, 2012. Debt proceeds are available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549"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Company to fund research and development activities and other general corporate purposes. The Company granted Lighthouse Capital a first priority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interest in all unsecured present and future assets, other than intellectual property, and the Company entered into a negative pledge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whereby the Company agrees not to grant a security interest in or encumber any of the Company’s intellectual property. The Company also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its ability to obtain additional debt that is not permitted under the agreement. In both March 2012 and August 2012, the Company borrowed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under the loan and security agreement, for a total of $10,000,000. This amount was being repaid over 36 months beginning on December 1,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interest rate of 8.25%.</w:t>
      </w:r>
    </w:p>
    <w:p>
      <w:pPr>
        <w:spacing w:after="0" w:line="207"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In addition, the Company is required to make an additional interest payment in the amount of $600,000 at the end of the loan term. The amount is being accrued over the loan term as interest expense. The amount accrued as of December 31, 2014 was $574,000 and is included in accrued expense in the accompanying balance sheet. As of December 31, 2013 the amount accrued was $391,000, and was included as non-current accrued interest expense in the accompanying balance sheet. The minimum future principal payments are as follows (in thousands):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relating to warrants</w:t>
            </w:r>
          </w:p>
        </w:tc>
        <w:tc>
          <w:tcPr>
            <w:tcW w:w="7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9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7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(3,124)</w:t>
            </w:r>
          </w:p>
        </w:tc>
      </w:tr>
      <w:tr>
        <w:trPr>
          <w:trHeight w:val="223"/>
        </w:trPr>
        <w:tc>
          <w:tcPr>
            <w:tcW w:w="9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2015, the Company repaid in full the amount outstanding under the Lighthouse Capital loan with the proceeds from a new loan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7"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loan and security agreement with Lighthouse Capital, the Company issued the lender a warrant to purchase a maximum of 66,436 shares of the Company’s Series D Preferred Stock, at an exercise price of $12.04 per share. The warrant was immediately exercisable for</w:t>
      </w:r>
    </w:p>
    <w:p>
      <w:pPr>
        <w:ind w:right="120"/>
        <w:spacing w:after="0" w:line="252" w:lineRule="auto"/>
        <w:rPr>
          <w:sz w:val="20"/>
          <w:szCs w:val="20"/>
          <w:color w:val="auto"/>
        </w:rPr>
      </w:pPr>
      <w:r>
        <w:rPr>
          <w:rFonts w:ascii="Times New Roman" w:cs="Times New Roman" w:eastAsia="Times New Roman" w:hAnsi="Times New Roman"/>
          <w:sz w:val="18"/>
          <w:szCs w:val="18"/>
          <w:color w:val="auto"/>
        </w:rPr>
        <w:t>29,067 shares at the date of issue and expires 10 years from the date of issue (December 2021). The exercisable shares increased in March 2012 and August 2012 as the Company borrowed under the loan and security agreement. At December 31, 2014 and 2013, 66,436 shares were exercisable. The fair value of the warrant was estimated on the date of issue for the exercisable shares at that date and the fair value of each increment was estimated on the date the shares became exercisable, using the Black-Scholes option-pricing model. The Company estimated the fair value of the warrant for shares exercisable on the issue date in December 2011 and incremental shares exercisable in March 2012 and August 2012 to be $284,000, $182,000 and $178,000, respectively. The following table shows the Black-Scholes assumptions used to value the preferred stock warrants in connection with the loan and security agreement on the respective dates: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3340" w:type="dxa"/>
            <w:vAlign w:val="bottom"/>
            <w:tcBorders>
              <w:bottom w:val="single" w:sz="8" w:color="auto"/>
            </w:tcBorders>
            <w:gridSpan w:val="5"/>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Series D Preferred Stock Warrants</w:t>
            </w: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7"/>
        </w:trPr>
        <w:tc>
          <w:tcPr>
            <w:tcW w:w="68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2011</w:t>
            </w:r>
          </w:p>
        </w:tc>
        <w:tc>
          <w:tcPr>
            <w:tcW w:w="1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2012</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August 2012</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2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 years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value of the warrant is recorded as a discount to the loan and is being amortized to interest expense using the effective interest method over the 36-month repayment term.</w:t>
      </w:r>
    </w:p>
    <w:p>
      <w:pPr>
        <w:spacing w:after="0" w:line="162"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warrant at the end of each subsequent reporting period using the Black-Scholes option pricing model (see Note 11) until their conversion to warrants to purchase 66,436 shares of common stock upon the completion of the IPO in April 2014.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553" w:right="239" w:bottom="1440" w:gutter="0" w:footer="0" w:header="0"/>
        </w:sectPr>
      </w:pPr>
    </w:p>
    <w:bookmarkStart w:id="113" w:name="page114"/>
    <w:bookmarkEnd w:id="113"/>
    <w:p>
      <w:pPr>
        <w:ind w:left="540" w:hanging="532"/>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IPO in April 2014, all of the Company’s outstanding convertible preferred stock automatically converted to common stock resulting in an additional 6,826,004 shares of common stock of the Company becoming outstanding.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2013, preferred stock consisted of the following (in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3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 /Liquidation</w:t>
            </w:r>
          </w:p>
        </w:tc>
        <w:tc>
          <w:tcPr>
            <w:tcW w:w="180" w:type="dxa"/>
            <w:vAlign w:val="bottom"/>
          </w:tcPr>
          <w:p>
            <w:pPr>
              <w:spacing w:after="0"/>
              <w:rPr>
                <w:sz w:val="12"/>
                <w:szCs w:val="12"/>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Seed</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tcBorders>
              <w:top w:val="single" w:sz="8" w:color="CFF0FC"/>
            </w:tcBorders>
            <w:shd w:val="clear" w:color="auto" w:fill="CFF0FC"/>
          </w:tcPr>
          <w:p>
            <w:pPr>
              <w:spacing w:after="0"/>
              <w:rPr>
                <w:sz w:val="19"/>
                <w:szCs w:val="19"/>
                <w:color w:val="auto"/>
              </w:rPr>
            </w:pPr>
          </w:p>
        </w:tc>
        <w:tc>
          <w:tcPr>
            <w:tcW w:w="3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2006</w:t>
            </w: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9,307,692</w:t>
            </w:r>
          </w:p>
        </w:tc>
        <w:tc>
          <w:tcPr>
            <w:tcW w:w="220" w:type="dxa"/>
            <w:vAlign w:val="bottom"/>
          </w:tcPr>
          <w:p>
            <w:pPr>
              <w:spacing w:after="0"/>
              <w:rPr>
                <w:sz w:val="19"/>
                <w:szCs w:val="19"/>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2007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9,307,692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4,077,500</w:t>
            </w:r>
          </w:p>
        </w:tc>
        <w:tc>
          <w:tcPr>
            <w:tcW w:w="220" w:type="dxa"/>
            <w:vAlign w:val="bottom"/>
            <w:shd w:val="clear" w:color="auto" w:fill="CFF0FC"/>
          </w:tcPr>
          <w:p>
            <w:pPr>
              <w:spacing w:after="0"/>
              <w:rPr>
                <w:sz w:val="19"/>
                <w:szCs w:val="19"/>
                <w:color w:val="auto"/>
              </w:rPr>
            </w:pPr>
          </w:p>
        </w:tc>
        <w:tc>
          <w:tcPr>
            <w:tcW w:w="36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December 2007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Series B-1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tcPr>
          <w:p>
            <w:pPr>
              <w:spacing w:after="0"/>
              <w:rPr>
                <w:sz w:val="19"/>
                <w:szCs w:val="19"/>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2009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33,310,787</w:t>
            </w:r>
          </w:p>
        </w:tc>
        <w:tc>
          <w:tcPr>
            <w:tcW w:w="220" w:type="dxa"/>
            <w:vAlign w:val="bottom"/>
            <w:shd w:val="clear" w:color="auto" w:fill="CFF0FC"/>
          </w:tcPr>
          <w:p>
            <w:pPr>
              <w:spacing w:after="0"/>
              <w:rPr>
                <w:sz w:val="19"/>
                <w:szCs w:val="19"/>
                <w:color w:val="auto"/>
              </w:rPr>
            </w:pPr>
          </w:p>
        </w:tc>
        <w:tc>
          <w:tcPr>
            <w:tcW w:w="36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2010 and June 2011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31,836,392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Series 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34,698,793</w:t>
            </w:r>
          </w:p>
        </w:tc>
        <w:tc>
          <w:tcPr>
            <w:tcW w:w="220" w:type="dxa"/>
            <w:vAlign w:val="bottom"/>
            <w:tcBorders>
              <w:bottom w:val="single" w:sz="8" w:color="CFF0FC"/>
            </w:tcBorders>
          </w:tcPr>
          <w:p>
            <w:pPr>
              <w:spacing w:after="0"/>
              <w:rPr>
                <w:sz w:val="19"/>
                <w:szCs w:val="19"/>
                <w:color w:val="auto"/>
              </w:rPr>
            </w:pPr>
          </w:p>
        </w:tc>
        <w:tc>
          <w:tcPr>
            <w:tcW w:w="3600" w:type="dxa"/>
            <w:vAlign w:val="bottom"/>
            <w:tcBorders>
              <w:bottom w:val="single" w:sz="8" w:color="CFF0FC"/>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2011 and November 2012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33,158,272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88,894,772</w:t>
            </w:r>
          </w:p>
        </w:tc>
        <w:tc>
          <w:tcPr>
            <w:tcW w:w="22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85,207,356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81,990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w:t>
      </w:r>
    </w:p>
    <w:p>
      <w:pPr>
        <w:spacing w:after="0" w:line="225" w:lineRule="exact"/>
        <w:rPr>
          <w:sz w:val="20"/>
          <w:szCs w:val="20"/>
          <w:color w:val="auto"/>
        </w:rPr>
      </w:pPr>
    </w:p>
    <w:p>
      <w:pPr>
        <w:ind w:right="42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As discussed in Note 1, during 2014 the Company issued 19,297,952 shares of common stock in connection with its IPO,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preferred stock and convertible notes into common stock, and the partial exercise of the underwriters’ overallotment option in the IPO.</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Reserved Shares of Common Stock </w:t>
      </w:r>
      <w:r>
        <w:rPr>
          <w:rFonts w:ascii="Times New Roman" w:cs="Times New Roman" w:eastAsia="Times New Roman" w:hAnsi="Times New Roman"/>
          <w:sz w:val="18"/>
          <w:szCs w:val="18"/>
          <w:color w:val="auto"/>
        </w:rPr>
        <w:t>— The Company has reserved the following number of shares of common stock at December 31, 2014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22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6,954,691</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3,561,104</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1,201,770</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3,689,767</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8,156,461</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PLANS</w:t>
      </w:r>
    </w:p>
    <w:p>
      <w:pPr>
        <w:spacing w:after="0" w:line="225"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2007 Stock Incentive Plan </w:t>
      </w:r>
      <w:r>
        <w:rPr>
          <w:rFonts w:ascii="Times New Roman" w:cs="Times New Roman" w:eastAsia="Times New Roman" w:hAnsi="Times New Roman"/>
          <w:sz w:val="18"/>
          <w:szCs w:val="18"/>
          <w:color w:val="auto"/>
        </w:rPr>
        <w:t>– The Company’s 2007 Incentive Stock Plan, or the 2007 Plan, provides for the grant of qualified 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nonqualified stock options or other awards to the Company’s employees, officers, directors, advisors, and outside consultants to purchase up to an aggregate of 1,275,211 shares of the Company’s common stock, as amended in January 2014. The stock options generally vest over a four-year period and expire 10 years from the date of grant. Certain options provide for accelerated vesting if there is a change in control, as defined in the 2007 Plan. Effective with the IPO, no additional grants will be issued from the 2007 Plan and all shares available for grant under the 2007 Plan were transferred to the 2014 Plan. Accordingly, at December 31, 2014, there were no shares available for future grant under the 2007 Plan. At December 31, 2013, there were 139,076 shares available for future grant under the 2007 Plan.</w:t>
      </w:r>
    </w:p>
    <w:p>
      <w:pPr>
        <w:spacing w:after="0" w:line="18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Prior to the IPO, in determining the exercise prices for options granted, the Company’s board of directors considered the fair value of the common stock as of the measurement date. The fair value of the common stock was determined by the board of directors at each award grant date based upon a variety of factors, including the results obtained from a common stock valuation, the Company’s financial position and historical financial performance, the status of technological developments within the Company’s products, the composition and ability of the current research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549" w:right="239" w:bottom="1440" w:gutter="0" w:footer="0" w:header="0"/>
        </w:sectPr>
      </w:pPr>
    </w:p>
    <w:bookmarkStart w:id="114" w:name="page115"/>
    <w:bookmarkEnd w:id="114"/>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2014 Stock Incentive Plan </w:t>
      </w:r>
      <w:r>
        <w:rPr>
          <w:rFonts w:ascii="Times New Roman" w:cs="Times New Roman" w:eastAsia="Times New Roman" w:hAnsi="Times New Roman"/>
          <w:sz w:val="18"/>
          <w:szCs w:val="18"/>
          <w:color w:val="auto"/>
        </w:rPr>
        <w:t>– In March 2014, the Company’s board of directors adopted and its stockholders approved the 2014 Stock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2014 Plan, which became effective upon the closing of the IPO. The 2014 Plan provides for the grant of incentive stock options, nonstatutory stock options, stock appreciation rights, restricted stock, restricted stock units and other stock-based awards. As of December 31, 2014, there were 1,434,928 shares available for future grant under the 2014 Plan.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employee and nonemployee awards under the 2007 Plan and the 2014 Plan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is presented below:</w:t>
      </w:r>
    </w:p>
    <w:tbl>
      <w:tblPr>
        <w:tblLayout w:type="fixed"/>
        <w:tblInd w:w="0" w:type="dxa"/>
        <w:tblCellMar>
          <w:top w:w="0" w:type="dxa"/>
          <w:left w:w="0" w:type="dxa"/>
          <w:bottom w:w="0" w:type="dxa"/>
          <w:right w:w="0" w:type="dxa"/>
        </w:tblCellMar>
      </w:tblPr>
      <w:tr>
        <w:trPr>
          <w:trHeight w:val="146"/>
        </w:trPr>
        <w:tc>
          <w:tcPr>
            <w:tcW w:w="5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January 1, 2014</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1,062,694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1,138,170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(41,566)</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(33,122)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December 31, 2014</w:t>
            </w: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line="20" w:lineRule="exact"/>
              <w:rPr>
                <w:sz w:val="1"/>
                <w:szCs w:val="1"/>
                <w:color w:val="auto"/>
              </w:rPr>
            </w:pPr>
          </w:p>
        </w:tc>
        <w:tc>
          <w:tcPr>
            <w:tcW w:w="1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859,690</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December 31, 2014</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786,623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total intrinsic value of stock options exercised in the years ended December 31, 2014, 2013 and 2012 was $161,000, $15,000, and $0, respectively.</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2014, 2013 and 2012 was $3.33, $2.90, and $2.61, respectively.</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has recorded stock-based compensation expense of $885,000, $622,000 and $529,000 during the years ended December 31, 2014, 2013 and 2012, respectively, which is based on the number of awards ultimately expected to vest. As of December 31, 2014, there was $2.2 million of unrecognized compensation cost related to unvested stock-based compensation arrangements granted under the 2007 Plan and the 2014 Plan. The compensation is expected to be recognized over a weighted-average period of 3.02 years at December 31,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to employees during the years ended December 31, 2014, 2013 and 2012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tcPr>
          <w:p>
            <w:pPr>
              <w:spacing w:after="0"/>
              <w:rPr>
                <w:sz w:val="15"/>
                <w:szCs w:val="15"/>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1740" w:type="dxa"/>
            <w:vAlign w:val="bottom"/>
            <w:tcBorders>
              <w:bottom w:val="single" w:sz="8" w:color="auto"/>
            </w:tcBorders>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63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174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3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1.71%-2.00%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1.09%-1.92%</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0.83%-1.12%</w:t>
            </w: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38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3620" w:type="dxa"/>
            <w:vAlign w:val="bottom"/>
          </w:tcPr>
          <w:p>
            <w:pPr>
              <w:spacing w:after="0"/>
              <w:rPr>
                <w:sz w:val="24"/>
                <w:szCs w:val="24"/>
                <w:color w:val="auto"/>
              </w:rPr>
            </w:pP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15" w:name="page116"/>
    <w:bookmarkEnd w:id="115"/>
    <w:p>
      <w:pPr>
        <w:ind w:right="48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$56,000, $85,000 and $39,000 for the years ended December 31, 2014, 2013 and 2012, respectively. The compensation expense related to the nonemployee awards is included in the total stock-based compensation each year and is subject to re-measurement until the options vest. The Black-Scholes assumptions used to estimate the fair value of these awards for the years ended December 31, 2014, 2013 and 2012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tcPr>
          <w:p>
            <w:pPr>
              <w:spacing w:after="0"/>
              <w:rPr>
                <w:sz w:val="15"/>
                <w:szCs w:val="15"/>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174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63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1740" w:type="dxa"/>
            <w:vAlign w:val="bottom"/>
            <w:tcBorders>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0.99%-2.05%</w:t>
            </w: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did not grant any nonemployee stock option grants in 2014 or in 2013, except for a performance award grant in 2013 to the Company’s board chairman for non-board related services. During the year ended December 31, 2014, the board of directors changed the vesting conditions of this award from performance-based vesting to time-based vesting and reduced the total number of shares subject to the stock option. As a result, the 16,000 shares subject to this stock option now vest over three years, with the first third vesting on March 26, 2014. The change in vesting condition was accounted for as a modification of this stock option, which had an immaterial impact on the Company’s financial statements.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2013 and 2012, the Company granted to the Company’s Chief Executive Officer (“CEO”) options to purchase up to 53,489 and 56,053 shares of common stock, respectively. The vesting of these awards was contingent upon either (i) a change of control at a minimum price per share or (ii) the registration of the Company’s common stock under the Securities Exchange Act of 1934 and the stock being quoted, listed or traded on an over-the-counter market or national securities exchange at a certain price per share. The CEO resigned in October 2014 and although the Company completed its IPO in April 2014, the minimum price per share required was never achieved therefore these awards will not vest. Also in 2012, the Company granted options to purchase 60,934 common shares to a second Company officer that will vest upon the achievement of business milestones as defined within the stock option agreement. These awards have not vested as of December 31, 2014. Compensation expense for the awards will be recorded if and when the awards are determined to be probable.</w:t>
      </w:r>
    </w:p>
    <w:p>
      <w:pPr>
        <w:spacing w:after="0" w:line="18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2014 Employee Stock Purchase Plan </w:t>
      </w:r>
      <w:r>
        <w:rPr>
          <w:rFonts w:ascii="Times New Roman" w:cs="Times New Roman" w:eastAsia="Times New Roman" w:hAnsi="Times New Roman"/>
          <w:sz w:val="18"/>
          <w:szCs w:val="18"/>
          <w:color w:val="auto"/>
        </w:rPr>
        <w:t>– In March 2014, the Company’s board of directors adopted and its stockholders approved the 2014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Purchase Plan (the “2014 ESPP”), which became effective upon the closing of the IPO. The 2014 ESPP will be administered by the Company’s board of directors or by a committee appointed by the Company’s board of directors. The 2014 ESPP initially provides participating employees with the opportunity to purchase up to an aggregate 500,000 of shares of the Company’s common stock. The number of shares of the Company’s common stock reserved for issuance under the 2014 ESPP will automatically increase on the first day of each fiscal year, commencing on January 1, 2015 and ending January 1, 2024, in an amount equal to the least of (i) 600,000 shares of the Company’s common stock, (ii) 1% of the total number of shares of the Company’s common stock outstanding on the first day of the applicable year, or (iii) an amount determined by the Company’s board of directors. The Company did not offer shares to its employees under the 2014 ESPP during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short-term nature of the debt and that the debt bears interest at the prevailing market rate for instruments with similar characteristics. If recorded at fair value, Level 2 measurements, as defined below, would have been used to estimate the fair value. Included in cash and cash equivalents as of December 31, 2014 and 2013, are money market fund investments of $50,541,000 and $5,233,000, respectively, which are reported at fair value.</w:t>
      </w:r>
    </w:p>
    <w:p>
      <w:pPr>
        <w:spacing w:after="0" w:line="18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445" w:right="239" w:bottom="1440" w:gutter="0" w:footer="0" w:header="0"/>
        </w:sectPr>
      </w:pPr>
    </w:p>
    <w:bookmarkStart w:id="116" w:name="page117"/>
    <w:bookmarkEnd w:id="116"/>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December 31, 2014 and 2013,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94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10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1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1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2014 and 2013, there have been no transfers between levels.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the Company’s liabilities measured at fair value on a recurring basis using unobservable inputs (Level 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28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2012</w:t>
            </w:r>
          </w:p>
        </w:tc>
        <w:tc>
          <w:tcPr>
            <w:tcW w:w="6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recorded in other income</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2013</w:t>
            </w:r>
          </w:p>
        </w:tc>
        <w:tc>
          <w:tcPr>
            <w:tcW w:w="6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reclassified to additional paid-in capital in connection</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the IPO on April 15, 2014</w:t>
            </w: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2014</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Company’s warrants were valued using the Black-Scholes option-pricing model. The fair values were derived by applying the following assumptions: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6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23"/>
        </w:trPr>
        <w:tc>
          <w:tcPr>
            <w:tcW w:w="8800" w:type="dxa"/>
            <w:vAlign w:val="bottom"/>
            <w:vMerge w:val="continue"/>
          </w:tcPr>
          <w:p>
            <w:pPr>
              <w:spacing w:after="0"/>
              <w:rPr>
                <w:sz w:val="19"/>
                <w:szCs w:val="19"/>
                <w:color w:val="auto"/>
              </w:rPr>
            </w:pPr>
          </w:p>
        </w:tc>
        <w:tc>
          <w:tcPr>
            <w:tcW w:w="2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years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preferred stock warrants were automatically adjusted on the date of the closing of the IPO to provide for the issuance of shares of common stock upon their exercise, and is no longer measured at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553" w:right="239" w:bottom="1440" w:gutter="0" w:footer="0" w:header="0"/>
        </w:sectPr>
      </w:pPr>
    </w:p>
    <w:bookmarkStart w:id="117" w:name="page118"/>
    <w:bookmarkEnd w:id="117"/>
    <w:p>
      <w:pPr>
        <w:ind w:left="540" w:hanging="532"/>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components of the Company’s deferred taxes at December 31, 2014 and 2013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2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FF0FC"/>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(45,020)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(37,500)</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has provided a valuation allowance for the full amount of deferred tax assets as the realization of the deferred tax assets is not determined to be more-likely-than-not. The valuation allowance increased in 2014 and 2013 by approximately $7.6 million and $7.1 million, respectively, due to the increase in the deferred tax assets by the same amount.</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computed at the statutory federal income tax rate to income taxes as reflected in the financial statements is as follows:</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000" w:type="dxa"/>
            <w:vAlign w:val="bottom"/>
            <w:tcBorders>
              <w:top w:val="single" w:sz="8" w:color="auto"/>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of state net operating loss</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has approximately $77.3 million of federal and $58.1 million of state net operating loss carryforwards that expire at various dates through 2034. At December 31, 2014, the Company has approximately $1.2 million of federal and $0.8 million of state research and development credit carryforwards that expire at various dates through 2034 for federal credits and 2029 for state credits.</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Realization of the future tax benefits is dependent on many factors, including the Company’s ability to generate taxable income within the net operating loss carryforward period. The future realization of the net operating loss carryforwards may also be limited by the change of ownership rules of the Internal Revenue Service under Section 382 of the Internal Revenue Code. If substantial changes in ownership should occur, there could be annual limitations on the amount of carryforwards that can be realized in future periods.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the Commonwealth of Massachusetts, and Australia. The tax years 2006 through 2014 remain open to examination by these taxing jurisdictions, as carryforwards attributes generated in past years may be adjusted in a future period. The Company is currently not under examination by the Internal Revenue Service or any other jurisdictions for any tax years. At December 31, 2014 and 2013, the Company has not identified any significant uncertain tax positions.</w:t>
      </w:r>
    </w:p>
    <w:p>
      <w:pPr>
        <w:spacing w:after="0" w:line="365"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ind w:right="12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Facility Lease </w:t>
      </w:r>
      <w:r>
        <w:rPr>
          <w:rFonts w:ascii="Times New Roman" w:cs="Times New Roman" w:eastAsia="Times New Roman" w:hAnsi="Times New Roman"/>
          <w:sz w:val="18"/>
          <w:szCs w:val="18"/>
          <w:color w:val="auto"/>
        </w:rPr>
        <w:t>— On November 1, 2009, the Company entered into a noncancelable operating lease with a third party for office and laboratory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was scheduled to expire in February 2013, subject to a three-year renewal option. In June 2012, the Company exercised its renewal option extending the lease through February 2016. On July 11, 2014, the Company signed a lease amendment for additional office space in the same building which expires concurrent with the lease agreement in February 2016. The lease agreement and amendment include base rent escalation over the lease term, therefore, the Company is amortizing the cost of the lease on a straight-line basis over the lease term and the resulting deferred liability recorded in other current and long-term liabilities as of December 31, 2014 and 2013 was $41,000 and $12,000, respectively. Rent expense under this lease was $766,000, $598,000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657" w:right="239" w:bottom="1440" w:gutter="0" w:footer="0" w:header="0"/>
        </w:sectPr>
      </w:pPr>
    </w:p>
    <w:bookmarkStart w:id="118" w:name="page119"/>
    <w:bookmarkEnd w:id="118"/>
    <w:p>
      <w:pPr>
        <w:ind w:right="40"/>
        <w:spacing w:after="0" w:line="266" w:lineRule="auto"/>
        <w:rPr>
          <w:sz w:val="20"/>
          <w:szCs w:val="20"/>
          <w:color w:val="auto"/>
        </w:rPr>
      </w:pPr>
      <w:r>
        <w:rPr>
          <w:rFonts w:ascii="Times New Roman" w:cs="Times New Roman" w:eastAsia="Times New Roman" w:hAnsi="Times New Roman"/>
          <w:sz w:val="18"/>
          <w:szCs w:val="18"/>
          <w:color w:val="auto"/>
        </w:rPr>
        <w:t>$517,000 for the years ended December 31, 2014, 2013 and 2012, respectively. The lease requires the Company to share in prorated expenses and property taxes based upon actual amounts incurred; those amounts are not fixed for future periods and, therefore, not included in the future minimum obligations listed below.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including the three-year extension, under the non-cancelable operating lease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6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9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tcPr>
          <w:p>
            <w:pPr>
              <w:spacing w:after="0"/>
              <w:rPr>
                <w:sz w:val="19"/>
                <w:szCs w:val="19"/>
                <w:color w:val="auto"/>
              </w:rPr>
            </w:pPr>
          </w:p>
        </w:tc>
      </w:tr>
      <w:tr>
        <w:trPr>
          <w:trHeight w:val="223"/>
        </w:trPr>
        <w:tc>
          <w:tcPr>
            <w:tcW w:w="9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LICENSING AGREEMENTS</w:t>
      </w:r>
    </w:p>
    <w:p>
      <w:pPr>
        <w:spacing w:after="0" w:line="225"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Massachusetts Institute of Technology License </w:t>
      </w:r>
      <w:r>
        <w:rPr>
          <w:rFonts w:ascii="Times New Roman" w:cs="Times New Roman" w:eastAsia="Times New Roman" w:hAnsi="Times New Roman"/>
          <w:sz w:val="18"/>
          <w:szCs w:val="18"/>
          <w:color w:val="auto"/>
        </w:rPr>
        <w:t>— The Company’s license agreement with the Massachusetts Institute of Technology (“MIT”),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requires the Company to pay MIT nonrefundable annual license maintenance fees that increase each year beginning in 2015 through 2020 and remain constant thereafter. The annual license fee is not material in any individual year. In addition, the Company may be required to pay milestone payments and/or product royalties in the event future partner collaborations or product sales incorporate technology covered by this license agreement. In connection with this agreement, the Company recorded research and development expense for annual maintenance fees of $10,000 each in the years ended December 31, 2014, 2013 and 2012.</w:t>
      </w:r>
    </w:p>
    <w:p>
      <w:pPr>
        <w:spacing w:after="0" w:line="183" w:lineRule="exact"/>
        <w:rPr>
          <w:sz w:val="20"/>
          <w:szCs w:val="20"/>
          <w:color w:val="auto"/>
        </w:rPr>
      </w:pPr>
    </w:p>
    <w:p>
      <w:pPr>
        <w:ind w:right="4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Calando License </w:t>
      </w:r>
      <w:r>
        <w:rPr>
          <w:rFonts w:ascii="Times New Roman" w:cs="Times New Roman" w:eastAsia="Times New Roman" w:hAnsi="Times New Roman"/>
          <w:sz w:val="18"/>
          <w:szCs w:val="18"/>
          <w:color w:val="auto"/>
        </w:rPr>
        <w:t>— The Company has a product license agreement and a platform license agreement with Calando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(“Calando”). Under the product license agreement, the Company may be required to pay Calando up to $32.8 million upon the achievement of specified regulatory and commercial milestones and pay tiered royalty payment ranging from low-to mid-single digits on commercial sales.</w:t>
      </w:r>
    </w:p>
    <w:p>
      <w:pPr>
        <w:spacing w:after="0" w:line="175"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Under the platform license agreement, the Company was required to pay Calando a $250,000 clinical development milestone upon initiation of a Phase 1 clinical trial for CRLX301. In addition, the Company may be required to pay Calando up to $17.8 million upon the achievement of specified regulatory and commercial milestones and pay royalty payments ranging from low-to mid-single digits on commercial sales.</w:t>
      </w:r>
    </w:p>
    <w:p>
      <w:pPr>
        <w:spacing w:after="0" w:line="1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this agreement, the Company recorded research and development expense of $250,000 for the year ended December 31, 2014 upon initiation of the Phase 1 clinical trial for CRLX301 in December 2014.</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March 2014, Calando entered Chapter 7 bankruptcy in the District of Delaware and, as a result, the intellectual property rights the Company has obtained from Calando are subject to potential risks that may arise in connection with bankruptcy. For instance, while the Company’s ability to develop and/or commercialize its current product candidates and its ability to utilize its platform are not dependent on the rights that it licenses from Calando, its license agreements with Calando could be rejected in connection with Calando’s bankruptcy, in which case, the Company could, subject to elections and other rights and defenses that may be available to it, lose certain rights granted to it under such licenses. On March 3, 2015, Calando’s bankruptcy trustee submitted an application with the bankruptcy court seeking authority to retain a broker to sell Calando’s rights in certain assets including its rights in the license agreements with the Company, the Company has reserved its rights with respect to any such sale.</w:t>
      </w:r>
    </w:p>
    <w:p>
      <w:pPr>
        <w:spacing w:after="0" w:line="18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SUNY License </w:t>
      </w:r>
      <w:r>
        <w:rPr>
          <w:rFonts w:ascii="Times New Roman" w:cs="Times New Roman" w:eastAsia="Times New Roman" w:hAnsi="Times New Roman"/>
          <w:sz w:val="18"/>
          <w:szCs w:val="18"/>
          <w:color w:val="auto"/>
        </w:rPr>
        <w:t>— The Company is party to a license agreement with The Research Foundation of State University of New York (“SUNY”)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The agreement as amended requires the Company to pay nonrefundable annual license maintenance fees each year until the date of first commercial sale of a licensed product pursuant to the license agreement, as amended. The annual license fee is not material in any individual year. In the event of future partner collaborations or product sales incorporating technology covered by this license agreement, the Company may be required to pay milestone payments and/or product royalties. In connection with this agreement, the Company recorded research and development expense of $30,000, $25,000, and $10,000 for the years ended December 31, 2014, 2013 and 2012, respectively.</w:t>
      </w:r>
    </w:p>
    <w:p>
      <w:pPr>
        <w:spacing w:after="0" w:line="183" w:lineRule="exact"/>
        <w:rPr>
          <w:sz w:val="20"/>
          <w:szCs w:val="20"/>
          <w:color w:val="auto"/>
        </w:rPr>
      </w:pPr>
    </w:p>
    <w:p>
      <w:pPr>
        <w:ind w:left="540" w:hanging="532"/>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22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has a 401(k) retirement and profit-sharing plan (the “401(k) Plan”) covering all qualified employees. The 401(k) Plan allows each participant to contribute a portion of their base wages up to an amount not to exceed an annual statutory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553" w:right="239" w:bottom="1440" w:gutter="0" w:footer="0" w:header="0"/>
        </w:sectPr>
      </w:pPr>
    </w:p>
    <w:bookmarkStart w:id="119" w:name="page120"/>
    <w:bookmarkEnd w:id="119"/>
    <w:p>
      <w:pPr>
        <w:spacing w:after="0" w:line="282" w:lineRule="auto"/>
        <w:rPr>
          <w:sz w:val="20"/>
          <w:szCs w:val="20"/>
          <w:color w:val="auto"/>
        </w:rPr>
      </w:pPr>
      <w:r>
        <w:rPr>
          <w:rFonts w:ascii="Times New Roman" w:cs="Times New Roman" w:eastAsia="Times New Roman" w:hAnsi="Times New Roman"/>
          <w:sz w:val="18"/>
          <w:szCs w:val="18"/>
          <w:color w:val="auto"/>
        </w:rPr>
        <w:t>maximum. Effective January 1, 2010, the Company adopted a Safe Harbor Plan that provides a Company match up to 4% of salary. The Company contributed a match of $163,000, $145,000 and $165,000 to the 401(k) Plan for the years ended December 31, 2014, 2013 and 2012, respectively.</w:t>
      </w:r>
    </w:p>
    <w:p>
      <w:pPr>
        <w:spacing w:after="0" w:line="158" w:lineRule="exact"/>
        <w:rPr>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 April 2013, the Company entered into a laboratory, equipment sharing, services and license agreement with an entity affiliated with one of the Company’s directors. Fees recorded offsetting research and development expenses under this agreement and paid in the year ended December 31, 2014 and 2013, were $39,000 and $84,000, respectively. On April 1, 2014, the Company sold used equipment to this entity and recorded proceeds from the sale of $30,000. The agreement was terminated on April 1, 2014.</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2013 and February 2014, the Company issued convertible promissory notes to existing investors, as described in Notes 6.</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2014, these notes were converted into the Company’s common stock in connection with the IPO.</w:t>
      </w:r>
    </w:p>
    <w:p>
      <w:pPr>
        <w:spacing w:after="0" w:line="225"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 April 2014, the Company converted all outstanding shares of the Company’s preferred stock held by existing investors into 6,826,004 shares of the Company’s common stock in connection with the IPO.</w:t>
      </w:r>
    </w:p>
    <w:p>
      <w:pPr>
        <w:spacing w:after="0" w:line="158" w:lineRule="exact"/>
        <w:rPr>
          <w:sz w:val="20"/>
          <w:szCs w:val="20"/>
          <w:color w:val="auto"/>
        </w:rPr>
      </w:pPr>
    </w:p>
    <w:p>
      <w:pPr>
        <w:ind w:left="540" w:hanging="532"/>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entered into a material transfer agreement in February 2012 with a biopharmaceutical company and amended the agreement in March 2012. The terms of the agreement provided revenue in exchange for conducting research using the Company’s proprietary technology and the pharmaceutical company’s proprietary compounds. The Company received $625,000 under this agreement and recognized this amount as revenue during 2012, the period when the research work was performed and all deliverables were completed.</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October 2013, the Company entered into a material transfer agreement with another biopharmaceutical company to conduct feasibility studies using the Company’s proprietary technology. The Company recognized revenue of $61,000 and $6,000 for the years ended December 31, 2014 and 2013, respectively, in connection with this material transfer agreement.</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May 2013, the Company entered into a material transfer agreement with another biopharmaceutical company to conduct feasibility studies using the Company’s proprietary technology. The Company recognized revenue of $19,000 for the year ended December 31, 2014, in connection with this material transfer agreement.</w:t>
      </w:r>
    </w:p>
    <w:p>
      <w:pPr>
        <w:spacing w:after="0" w:line="172" w:lineRule="exact"/>
        <w:rPr>
          <w:sz w:val="20"/>
          <w:szCs w:val="20"/>
          <w:color w:val="auto"/>
        </w:rPr>
      </w:pPr>
    </w:p>
    <w:p>
      <w:pPr>
        <w:ind w:left="540" w:hanging="532"/>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On January 8, 2015 (the “Closing Date”), the Company entered into a term loan facility of up to $26.0 million (the “Term Loan”) with Hercules Technology Growth Capital, Inc., or Hercules, the proceeds of which were used to repay the Company’s existing term loan facility with Lighthouse Capital and for general corporate and working capital purposes.</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January 8, 2015, between the Company and Hercules (the “Hercules Loan Agreement”). The Hercules Loan Agreement provides for up to three separate borrowings, the first of which was funded in the amount of $15.0 million on the Closing Date. The second borrowing of up to $5.0 million may be drawn by the Company, subject to the satisfaction of customary funding conditions, on or prior to December 15, 2015, provided that the Company meets certain clinical milestones. The third borrowing of up to $6.0 million (the “Term C Loan Advance”) may be drawn, at no less than $3.0 million per draw and subject to the satisfaction of customary funding conditions, on or after September 30, 2015 but before December 15, 2015, provided that between the Closing Date and December 15, 2015, the Company has received net cash proceeds of at least $40.0 million from the issuance and sale by the Company of its equity securities and/or upfront cash payments from one or more strategic corporate partnerships.</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Term Loan will mature on July 1, 2018. Each advance under the Term Loan accrues interest at a floating per annum rate equal to the greater of (i) 7.30% or (ii) the sum of 7.30% plus the prime rate minus 5.75%. The Term Loan provides for interest-only payments on a monthly basis until December 31, 2015. The interest only period may be extended at the Company’s option for a three month period if the Company attains certain clinical milestones, and for an additional three month period if the Company attains certain clinical milestones and receives net cash proceeds of at least $30.0 million from the issuance and sale by the Company of its equity securities and/or upfront cash payments from one or more strategic corporate partnerships.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whole or in part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553" w:right="239" w:bottom="1440" w:gutter="0" w:footer="0" w:header="0"/>
        </w:sectPr>
      </w:pPr>
    </w:p>
    <w:bookmarkStart w:id="120" w:name="page121"/>
    <w:bookmarkEnd w:id="120"/>
    <w:p>
      <w:pPr>
        <w:spacing w:after="0" w:line="256" w:lineRule="auto"/>
        <w:rPr>
          <w:sz w:val="20"/>
          <w:szCs w:val="20"/>
          <w:color w:val="auto"/>
        </w:rPr>
      </w:pPr>
      <w:r>
        <w:rPr>
          <w:rFonts w:ascii="Times New Roman" w:cs="Times New Roman" w:eastAsia="Times New Roman" w:hAnsi="Times New Roman"/>
          <w:sz w:val="18"/>
          <w:szCs w:val="18"/>
          <w:color w:val="auto"/>
        </w:rPr>
        <w:t>upon seven business days’ prior written notice to Hercules. Any such prepayment of the Term Loan is subject to a prepayment charge of (i) 3.0% if such prepayment occurs within twelve months of the Closing Date, (ii) 2.0% if such prepayment occurs after twelve months following the Closing Date but on or prior to twenty-four months following the Closing Date, and (iii) 1.0% thereafter. Amounts outstanding during an event of default are payable upon Hercules’ demand and shall accrue interest at an additional rate of 5.0% per annum of the past due amount outstanding. At the end of the loan term (whether at maturity, by prepayment in full or otherwise), the Company shall make a final payment to the lender in the amount of 6.70% of the aggregate original principal amount advanced by the lender.</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 at an exercise price of $6.05 per share. The warrant is initially exercisable for 137,521 shares of common stock. On such date (if any) as a Term C Loan Advance is made to the Company, the warrant shall automatically become exercisable for an additional 34,380 shares of common stock. The exercise price and the number of shares are subject to adjustment upon a merger event, reclassification of the shares of Common Stock, subdivision or combination of the shares of common stock or certain dividend payments. The warrant is exercisable until January 8, 2020.</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2" w:lineRule="exact"/>
        <w:rPr>
          <w:sz w:val="20"/>
          <w:szCs w:val="20"/>
          <w:color w:val="auto"/>
        </w:rPr>
      </w:pPr>
    </w:p>
    <w:p>
      <w:pPr>
        <w:ind w:left="880" w:hanging="872"/>
        <w:spacing w:after="0"/>
        <w:tabs>
          <w:tab w:leader="none" w:pos="8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unaudited quarterly financial data for the last two fiscal years: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00"/>
          </w:cols>
          <w:pgMar w:left="240" w:top="553" w:right="2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thousands, except share data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3"/>
                <w:szCs w:val="13"/>
                <w:color w:val="auto"/>
              </w:rPr>
            </w:pPr>
          </w:p>
        </w:tc>
        <w:tc>
          <w:tcPr>
            <w:tcW w:w="122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 — net</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786,986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16,883,716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20,124,574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20,125,009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3"/>
                <w:szCs w:val="13"/>
                <w:color w:val="auto"/>
              </w:rPr>
            </w:pPr>
          </w:p>
        </w:tc>
        <w:tc>
          <w:tcPr>
            <w:tcW w:w="122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 — net</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612,836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726,987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7" w:right="239" w:bottom="1440" w:gutter="0" w:footer="0" w:header="0"/>
        </w:sectPr>
      </w:pPr>
    </w:p>
    <w:bookmarkStart w:id="122" w:name="page123"/>
    <w:bookmarkEnd w:id="122"/>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is accumulated and communicated to management, including the principal executive officer and principal financial officer, to allow timely decisions regarding required disclosure.</w:t>
      </w:r>
    </w:p>
    <w:p>
      <w:pPr>
        <w:spacing w:after="0" w:line="7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December 31, 2014.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right="340" w:firstLine="518"/>
        <w:spacing w:after="0" w:line="282" w:lineRule="auto"/>
        <w:rPr>
          <w:sz w:val="20"/>
          <w:szCs w:val="20"/>
          <w:color w:val="auto"/>
        </w:rPr>
      </w:pPr>
      <w:r>
        <w:rPr>
          <w:rFonts w:ascii="Times New Roman" w:cs="Times New Roman" w:eastAsia="Times New Roman" w:hAnsi="Times New Roman"/>
          <w:sz w:val="18"/>
          <w:szCs w:val="18"/>
          <w:color w:val="auto"/>
        </w:rPr>
        <w:t>This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2014 that have materially affected, or are reasonably likely to materially affect, our internal control over financial reporting.</w:t>
      </w:r>
    </w:p>
    <w:p>
      <w:pPr>
        <w:spacing w:after="0" w:line="28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80"/>
          </w:cols>
          <w:pgMar w:left="240" w:top="657" w:right="27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March 1, 2015.</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3"/>
        </w:trPr>
        <w:tc>
          <w:tcPr>
            <w:tcW w:w="20" w:type="dxa"/>
            <w:vAlign w:val="bottom"/>
          </w:tcPr>
          <w:p>
            <w:pPr>
              <w:spacing w:after="0"/>
              <w:rPr>
                <w:sz w:val="19"/>
                <w:szCs w:val="19"/>
                <w:color w:val="auto"/>
              </w:rPr>
            </w:pPr>
          </w:p>
        </w:tc>
        <w:tc>
          <w:tcPr>
            <w:tcW w:w="4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D. T. Guiffre, J.D.</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G. Garmey, M.D.</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Vice President and Chief Medical Officer</w:t>
            </w: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 Roberts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A. Friedman, M.D. (4)</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 Rastetter, Ph.D. (1)(3)</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L. Crane</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 Hall, Ph.D. (1)(2)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L. Kelley, M.D. (4)</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 McKee (1)(3)</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Parkinson, M.D. (4)</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 Sasisekharan, Ph.D.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I. Tepper, M.D. (2)</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bl>
    <w:p>
      <w:pPr>
        <w:ind w:left="4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Member of audit committee.</w:t>
      </w:r>
    </w:p>
    <w:p>
      <w:pPr>
        <w:spacing w:after="0" w:line="9" w:lineRule="exact"/>
        <w:rPr>
          <w:rFonts w:ascii="Times New Roman" w:cs="Times New Roman" w:eastAsia="Times New Roman" w:hAnsi="Times New Roman"/>
          <w:sz w:val="18"/>
          <w:szCs w:val="18"/>
          <w:i w:val="1"/>
          <w:iCs w:val="1"/>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Member of compensation committee.</w:t>
      </w:r>
    </w:p>
    <w:p>
      <w:pPr>
        <w:spacing w:after="0" w:line="9" w:lineRule="exact"/>
        <w:rPr>
          <w:rFonts w:ascii="Times New Roman" w:cs="Times New Roman" w:eastAsia="Times New Roman" w:hAnsi="Times New Roman"/>
          <w:sz w:val="18"/>
          <w:szCs w:val="18"/>
          <w:i w:val="1"/>
          <w:iCs w:val="1"/>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Member of nominating and corporate governance committee.</w:t>
      </w:r>
    </w:p>
    <w:p>
      <w:pPr>
        <w:spacing w:after="0" w:line="9" w:lineRule="exact"/>
        <w:rPr>
          <w:rFonts w:ascii="Times New Roman" w:cs="Times New Roman" w:eastAsia="Times New Roman" w:hAnsi="Times New Roman"/>
          <w:sz w:val="18"/>
          <w:szCs w:val="18"/>
          <w:i w:val="1"/>
          <w:iCs w:val="1"/>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Member of clinical advisory committee</w:t>
      </w:r>
    </w:p>
    <w:p>
      <w:pPr>
        <w:spacing w:after="0" w:line="20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Christopher D. T. Guiffre, J.D. </w:t>
      </w:r>
      <w:r>
        <w:rPr>
          <w:rFonts w:ascii="Times New Roman" w:cs="Times New Roman" w:eastAsia="Times New Roman" w:hAnsi="Times New Roman"/>
          <w:sz w:val="18"/>
          <w:szCs w:val="18"/>
          <w:color w:val="auto"/>
        </w:rPr>
        <w:t>has served as our Chief Operating Officer since October 2014. He previously served as our Senior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Business Officer. Prior to that, Mr. Guiffre held a number of senior executive positions at various biopharmaceutical companies, including President and Chief Executive Officer of Alvos Therapeutics, Inc., Chief Business Officer at Hydra Biosciences, Inc. and a senior executive at Cubist Pharmaceuticals, Inc., most recently as Senior Vice President, General Counsel and Secretary. Mr. Guiffre has also held several positions at Renaissance Worldwide, Inc., including Vice President, General Counsel and Clerk. Prior to that, he was an Associate at Bingham, Dana &amp; Gould LLP (now known as Morgan, Lewis &amp; Bockius LLP). Mr. Guiffre received a B.S. from Babson College, a J.D. from Boston College Law School, and an M.B.A. from Boston College Carroll School of Management.</w:t>
      </w:r>
    </w:p>
    <w:p>
      <w:pPr>
        <w:spacing w:after="0" w:line="183"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Edward G. Garmey, M.D. </w:t>
      </w:r>
      <w:r>
        <w:rPr>
          <w:rFonts w:ascii="Times New Roman" w:cs="Times New Roman" w:eastAsia="Times New Roman" w:hAnsi="Times New Roman"/>
          <w:sz w:val="18"/>
          <w:szCs w:val="18"/>
          <w:color w:val="auto"/>
        </w:rPr>
        <w:t>has served as our Chief Medical Officer and Senior Vice President since 2011. Prior to joining Cerulean, Dr. Garmey held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positions at ArQule, Inc., a clinical-stage biotechnology company, including as Vice President for Clinical Development and as Clinical Development Liaison. Dr. Garmey previously served as Medical Director at GPC Biotech, a German biopharmaceutical company and now a subsidiary of Agennix AG, where he helped oversee global clinical development studies. Dr. Garmey received his A.B. from Harvard University and his M.D. from New York University. He is a member of the Scientific Advisory Board for the Harvard-MIT Broad Institute’s Cancer Vaccine Initiative, and he serves on the Board of Visitors of Hearth, a Boston-based non-profit organization dedicated to the elimination of homelessness among the elderly.</w:t>
      </w:r>
    </w:p>
    <w:p>
      <w:pPr>
        <w:spacing w:after="0" w:line="183"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Karen L. Roberts </w:t>
      </w:r>
      <w:r>
        <w:rPr>
          <w:rFonts w:ascii="Times New Roman" w:cs="Times New Roman" w:eastAsia="Times New Roman" w:hAnsi="Times New Roman"/>
          <w:sz w:val="18"/>
          <w:szCs w:val="18"/>
          <w:color w:val="auto"/>
        </w:rPr>
        <w:t>has served as our Senior Vice President, Finance and Administration since 2010. Prior to joining Cerulean, Ms. Roberts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Finance and Administration of Elixir Pharmaceuticals, Inc., a biopharmaceutical company where she was the senior financial executive responsible for all aspects of finance, accounting and administration. Ms. Roberts previously served in a number of roles, including Corporate Controller and Chief Accounting Officer and Vice President, Finance, at Frontline Group, Inc., a provider of business performance improvement services and products. Prior to that, Ms. Roberts served as Director of Finance at Dyax Corp., a biotechnology company, and as Corporate Controller and Director, Financial Administration at T Cell Sciences, Inc., a biopharmaceutical company. Ms. Roberts received her B.S. from Salem State College.</w:t>
      </w:r>
    </w:p>
    <w:p>
      <w:pPr>
        <w:spacing w:after="0" w:line="183"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Paul A. Friedman, M.D. </w:t>
      </w:r>
      <w:r>
        <w:rPr>
          <w:rFonts w:ascii="Times New Roman" w:cs="Times New Roman" w:eastAsia="Times New Roman" w:hAnsi="Times New Roman"/>
          <w:sz w:val="18"/>
          <w:szCs w:val="18"/>
          <w:color w:val="auto"/>
        </w:rPr>
        <w:t>has served as our Executive Chairman since October 2014 and as a director since January 2014. Previously, he was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Incyte Corporation, a public biotechnology company, where he also served as President. Prior to that, Dr. Friedman was President of DuPont Pharmaceuticals Research Laboratories, a wholly owned subsidiary of DuPont Pharmaceuticals Company (formerly The DuPont Merck Pharmaceutical Company), President of Research and Development of The DuPont Merck Pharmaceutical Company, and Senior Vice President at Merck Research Laboratories. Prior to his work at Merck and DuPont, Dr. Friedman was an Associate Professor of Medicine and Pharmacology at Harvard Medical School. Dr. Friedman is a Diplomate of the American Board of Internal Medicine and a Member of the American Society of Clinical Investigation. Dr. Friedman is a director of Incyte, public biopharmaceutical company Synta Pharmaceuticals Corp. and private biopharmaceutical company Gliknik, Inc. Dr. Friedman was a director of Bausch &amp; Lomb Incorporated, Sirtris Pharmaceuticals, Inc. and Auxilium</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80"/>
          </w:cols>
          <w:pgMar w:left="240" w:top="333" w:right="27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Pharmaceuticals, Inc., until the acquisition of each of these companies. Dr. Friedman received his A.B. from Princeton University and his M.D. from Harvard Medical School. We believe that Dr. Friedman is qualified to serve on our board of directors due to his management and research and development experience and his experience serving on the boards of life sciences companies.</w:t>
      </w:r>
    </w:p>
    <w:p>
      <w:pPr>
        <w:spacing w:after="0" w:line="20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William H. Rastetter, Ph.D. </w:t>
      </w:r>
      <w:r>
        <w:rPr>
          <w:rFonts w:ascii="Times New Roman" w:cs="Times New Roman" w:eastAsia="Times New Roman" w:hAnsi="Times New Roman"/>
          <w:sz w:val="18"/>
          <w:szCs w:val="18"/>
          <w:color w:val="auto"/>
        </w:rPr>
        <w:t>has served as a director since January 2014 and as our lead independent director since April 2014. He is a Co-Founder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Receptos, Inc., a biopharmaceutical company, where he serves as Director and Chairman of the Board, and previously held the role of Acting Chief Executive Officer. Dr. Rastetter served as a Partner at the venture capital firm of Venrock Associates. Prior to his tenure with Venrock, Dr. Rastetter was Executive Chairman of Biogen Idec, from the merger of the two companies (Biogen and Idec Pharmaceuticals). He joined Idec Pharmaceuticals as Chairman and Chief Executive Officer. Prior to Idec, he was Director of Corporate Ventures at Genentech, Inc. and served as well in a scientific capacity at Genentech. Dr. Rastetter also serves as the Chairman of public life sciences companies Illumina, Inc., Neurocrine Biosciences, Inc., Fate Therapeutics Inc. and Receptos, Inc. and as a director of Regulus Therapeutics, Inc. Dr. Rastetter has held various faculty positions at the Massachusetts Institute of Technology and Harvard University and is an Alfred P. Sloan Fellow. Dr. Rastetter holds a B.S. from the Massachusetts Institute of Technology and received his M.A. and Ph.D. from Harvard University. We believe Dr. Rastetter is qualified to serve on our board of directors due to his extensive experience in the biotechnology industry, his broad leadership experience with Idec Pharmaceuticals, Inc. and on several public and private biotechnology company boards, and his experience with financial matters.</w:t>
      </w:r>
    </w:p>
    <w:p>
      <w:pPr>
        <w:spacing w:after="0" w:line="193"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Alan L. Crane </w:t>
      </w:r>
      <w:r>
        <w:rPr>
          <w:rFonts w:ascii="Times New Roman" w:cs="Times New Roman" w:eastAsia="Times New Roman" w:hAnsi="Times New Roman"/>
          <w:sz w:val="18"/>
          <w:szCs w:val="18"/>
          <w:color w:val="auto"/>
        </w:rPr>
        <w:t>is one of our co-founders and has served as a member of our board of directors since 2006. Mr. Crane served as our Chairman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to 2014. From our founding until 2009, Mr. Crane served as Cerulean’s Chief Executive Officer. Currently, he is Partner and Entrepreneur at Polaris Partners and previously served as a Venture Partner at Polaris. Mr. Crane has also served as President and Chief Executive Officer of Momenta Pharmaceuticals, Inc. Prior to this, he was Senior Vice President of Global Corporate Development at Millennium Pharmaceuticals, Inc. Mr. Crane serves on the boards of public life sciences company, T2 Biosystems, Inc., and private life sciences companies Arsia Therapeutics, Inc., Visterra, Inc. Seventh Sense Biosystems, Inc., Navitor Pharmaceuticals, Inc., XTuit Pharmaceuticals, Inc., and Vaccinex, Inc. Previously, he served on the boards of Sirtris Pharmaceuticals, Inc. (acquired by GlaxoSmithKline), Adnexus Therapeutics, Inc. (acquired by Bristol Myers Squibb), Hydra Biosciences, Inc. and Ocular Therapeutix, Inc. Mr. Crane received his B.A., M.A. and M.B.A. from Harvard University. We believe that Mr. Crane is qualified to serve on our board of directors due to his role in our founding, his institutional knowledge as a result of his continuous service on our board since 2006, and his significant experience as an investor in, and executive and director of, life sciences companies.</w:t>
      </w:r>
    </w:p>
    <w:p>
      <w:pPr>
        <w:spacing w:after="0" w:line="18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Steven E. Hall, Ph.D. </w:t>
      </w:r>
      <w:r>
        <w:rPr>
          <w:rFonts w:ascii="Times New Roman" w:cs="Times New Roman" w:eastAsia="Times New Roman" w:hAnsi="Times New Roman"/>
          <w:sz w:val="18"/>
          <w:szCs w:val="18"/>
          <w:color w:val="auto"/>
        </w:rPr>
        <w:t>has served as a director since 2010. Dr. Hall serves as a general partner at Lilly Ventures, the venture capital arm of Eli Lilly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serves as President and Chief Executive Officer at privately held Esanex, Inc. Prior to joining Lilly Ventures, Dr. Hall was Senior Vice President, Research and Development, at Serenex, Inc., a biotechnology company (acquired by Pfizer), where he was also a co-founder. Dr. Hall has held multiple research management positions, at companies including Eli Lilly, Sphinx Inc., and Bristol-Myers Squib. Dr. Hall is the author of more than 40 papers and 60 patents. Dr. Hall currently sits on the boards of privately held life sciences companies FORMA Therapeutics, Inc., Esanex, Inc., Nimbus Discovery, LLC, Lysosomal Therapeutics, Inc., Numerate, Inc. and Hydra Biosciences, Inc. Dr. Hall received his B.S. from Central Michigan University and his Ph.D. from Massachusetts Institute of Technology. We believe that Dr. Hall is qualified to serve on our board of directors due to his broad experience in the life sciences industry as a venture capitalist, director and senior executive and his research knowledge.</w:t>
      </w:r>
    </w:p>
    <w:p>
      <w:pPr>
        <w:spacing w:after="0" w:line="185"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Susan L. Kelley, M.D. </w:t>
      </w:r>
      <w:r>
        <w:rPr>
          <w:rFonts w:ascii="Times New Roman" w:cs="Times New Roman" w:eastAsia="Times New Roman" w:hAnsi="Times New Roman"/>
          <w:sz w:val="18"/>
          <w:szCs w:val="18"/>
          <w:color w:val="auto"/>
        </w:rPr>
        <w:t>has served as our director since October 2014. Dr. Kelley has been developing drugs in oncology and immunology for over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She was previously Chief Medical Officer of the Multiple Myeloma Research Consortium and its sister organization, the Multiple Myeloma Research Foundation. Dr. Kelley has held positions of increasing responsibility at Bayer Healthcare Pharmaceuticals and Bayer-Schering Pharma, including Vice President, Global Clinical Development and Therapeutic Area Head – Oncology, where she led the Bayer team responsible for the development and worldwide regulatory approval of Nexavar® (sorafenib), including a renal cell carcinoma indication. She also held positions of increasing responsibility at Bristol-Myers Squibb in Oncology and Immunology drug development. She was a Fellow in Medical Oncology and Clinical Fellow in Medicine at Dana-Farber Cancer Institute, Harvard Medical School, and a Fellow in Medical Oncology and Pharmacology at Yale University School of Medicine, where she also served as a Clinical Assistant Professor of Medicine. Dr. Kelley currently serves as a member of the boards of directors of public oncology-focused biotechnology companies ArQule, Inc. and Alchemia, Pty Ltd. Dr. Kelley received her M.D. from Duke University School of Medicine. We believe that Dr. Kelley is qualified to serve on our board of directors due to her experience in life sciences and clinical development and her experience as a director of other life sciences companies.</w:t>
      </w:r>
    </w:p>
    <w:p>
      <w:pPr>
        <w:spacing w:after="0" w:line="193"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William T. McKee </w:t>
      </w:r>
      <w:r>
        <w:rPr>
          <w:rFonts w:ascii="Times New Roman" w:cs="Times New Roman" w:eastAsia="Times New Roman" w:hAnsi="Times New Roman"/>
          <w:sz w:val="18"/>
          <w:szCs w:val="18"/>
          <w:color w:val="auto"/>
        </w:rPr>
        <w:t>has served as a director since January 2014. Mr. McKee served as Chief Operating Officer and Chief Financial Officer at EKR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Inc., a private specialty pharmaceutical company until EKR was sold to Cornerstone Therapeutics Inc. Prior to that, Mr. McKee served as the Executive Vice President and Chief Financial Officer of Barr Pharmaceuticals, LLC, a subsidiary of Teva Pharmaceutical Industries Limited, a generic pharmaceutical company, and the successor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553" w:right="259" w:bottom="1440" w:gutter="0" w:footer="0" w:header="0"/>
        </w:sectPr>
      </w:pPr>
    </w:p>
    <w:bookmarkStart w:id="125" w:name="page126"/>
    <w:bookmarkEnd w:id="125"/>
    <w:p>
      <w:pPr>
        <w:ind w:right="100"/>
        <w:spacing w:after="0" w:line="255" w:lineRule="auto"/>
        <w:rPr>
          <w:sz w:val="20"/>
          <w:szCs w:val="20"/>
          <w:color w:val="auto"/>
        </w:rPr>
      </w:pPr>
      <w:r>
        <w:rPr>
          <w:rFonts w:ascii="Times New Roman" w:cs="Times New Roman" w:eastAsia="Times New Roman" w:hAnsi="Times New Roman"/>
          <w:sz w:val="18"/>
          <w:szCs w:val="18"/>
          <w:color w:val="auto"/>
        </w:rPr>
        <w:t>entity to Barr Pharmaceuticals, Inc., a public specialty pharmaceutical company, which was acquired by Teva. Mr. McKee was also Executive Vice President and Chief Financial Officer of Barr prior to its acquisition by Teva, after having served in positions of increasing responsibility at Barr until its acquisition. Prior to joining Barr, Mr. McKee served as Director of International Operations and Vice President-Finance at Absolute Entertainment, Inc., a private developer and marketer of entertainment software. Mr. McKee previously worked at Gramkow &amp; Carnevale, CPA’s, an accounting firm, and also worked at Deloitte &amp; Touche. Mr. McKee serves on the board of directors of Agile Therapeutics, Inc., a public specialty biopharmaceutical company, and previously served on the board of Auxilium Pharmaceuticals, Inc. until its acquisition. Mr. McKee received his B.B.A. from the University of Notre Dame. We believe that Mr. McKee is qualified to serve on our board of directors due to his financial and leadership experience as a chief financial officer and a certified public accountant.</w:t>
      </w:r>
    </w:p>
    <w:p>
      <w:pPr>
        <w:spacing w:after="0" w:line="183"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Parkinson, M.D. </w:t>
      </w:r>
      <w:r>
        <w:rPr>
          <w:rFonts w:ascii="Times New Roman" w:cs="Times New Roman" w:eastAsia="Times New Roman" w:hAnsi="Times New Roman"/>
          <w:sz w:val="18"/>
          <w:szCs w:val="18"/>
          <w:color w:val="auto"/>
        </w:rPr>
        <w:t>has served as a director since October 2014. Dr. Parkinson is a venture partner at New Enterprise Associates. Dr. Parkinson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previously served as President and Chief Executive Officer of Nodality, a San Francisco-based biotechnology company. Prior to that, Dr. Parkinson was Senior Vice President of Oncology Research and Development at Biogen Idec, Vice President of Oncology Development at Amgen and Vice President of Global Clinical Oncology Development at Novartis. Dr. Parkinson also worked at the National Cancer Institute, serving as Chief of the Investigational Drug Branch and as acting Associate Director of the Cancer Therapy Evaluation Program. He has also held academic positions at the M.D. Anderson Cancer Center, University of Texas and New England Medical Center at Tufts University School of Medicine. Dr. Parkinson is a past Chairman of the Food &amp; Drug Administration Biologics Advisory Committee and is a recipient of the FDA’s Cody Medal. He is a past President of the International Society of Biological Therapy, and past editor of the </w:t>
      </w:r>
      <w:r>
        <w:rPr>
          <w:rFonts w:ascii="Times New Roman" w:cs="Times New Roman" w:eastAsia="Times New Roman" w:hAnsi="Times New Roman"/>
          <w:sz w:val="18"/>
          <w:szCs w:val="18"/>
          <w:i w:val="1"/>
          <w:iCs w:val="1"/>
          <w:color w:val="auto"/>
        </w:rPr>
        <w:t>Journal of Immunotherapy</w:t>
      </w:r>
      <w:r>
        <w:rPr>
          <w:rFonts w:ascii="Times New Roman" w:cs="Times New Roman" w:eastAsia="Times New Roman" w:hAnsi="Times New Roman"/>
          <w:sz w:val="18"/>
          <w:szCs w:val="18"/>
          <w:color w:val="auto"/>
        </w:rPr>
        <w:t>. He has served a term on the FDA’s Science Board, on the Board of Directors of the American Association of Cancer Research and on the National Cancer Policy Forum of the Institute of Medicine. Dr. Parkinson received his M.D. as gold medalist from the University of Toronto Faculty of Medicine, with internal medicine and hematology/oncology training in Montreal at McGill University and in Boston at New England Medical Center. We believe that Dr. Parkinson is qualified to serve on our board of directors due to his experience in life sciences and knowledge of regulatory issues related to drug development.</w:t>
      </w:r>
    </w:p>
    <w:p>
      <w:pPr>
        <w:spacing w:after="0" w:line="19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Ram Sasisekharan, Ph.D. </w:t>
      </w:r>
      <w:r>
        <w:rPr>
          <w:rFonts w:ascii="Times New Roman" w:cs="Times New Roman" w:eastAsia="Times New Roman" w:hAnsi="Times New Roman"/>
          <w:sz w:val="18"/>
          <w:szCs w:val="18"/>
          <w:color w:val="auto"/>
        </w:rPr>
        <w:t>is one of our co-founders and has served as a consultant and as a member of our board of directors since 2006.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Sasisekharan serves as a Professor of Biological Engineering at the Massachusetts Institute of Technology and is Director of the Harvard-MIT Division of Health Sciences &amp; Technology and Edward Hood Taplin Professor of Biological Engineering &amp; Health Sciences &amp; Technology and also a member of the Koch Institute for Integrative Cancer Research. Dr. Sasisekharan founded Momenta Pharmaceuticals, Inc. and Visterra, Inc., and he serves on the board of directors of Visterra, Inc. Dr. Sasisekharan’s research on complex polysaccharides has led to over 125 publications and over 50 patents, including the core technologies of Momenta Pharmaceuticals, Inc. He has won both the Burroughs Wellcome and Beckman Foundation Young Investigator Awards and was the recipient of the 1998, 1999, 2000, and 2001 CaPCure Awards from the CaPCure Foundation. Dr. Sasisekharan serves on the steering committee of the Consortium for Functional Glycomics. Dr. Sasisekharan received his B.S. from Bangalore University, his M.S. from Harvard University and his Ph.D. from Harvard Medical School. We believe Dr. Sasisekharan is qualified to serve on our board of directors due to his experience in science and research and his institutional knowledge as a result of his continuous service on our board since 2006.</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Robert I. Tepper, M.D. </w:t>
      </w:r>
      <w:r>
        <w:rPr>
          <w:rFonts w:ascii="Times New Roman" w:cs="Times New Roman" w:eastAsia="Times New Roman" w:hAnsi="Times New Roman"/>
          <w:sz w:val="18"/>
          <w:szCs w:val="18"/>
          <w:color w:val="auto"/>
        </w:rPr>
        <w:t>has served as a director since 2006. Dr. Tepper has over 25 years of experience building and operating leading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operations. Dr. Tepper co-founded Third Rock Ventures, L.P. and focuses on the formation, development, and scientific strategy of its portfolio companies, as well as actively identifying and evaluating new investments. Prior to joining Third Rock Ventures, L.P., Dr. Tepper served as President of Research and Development at Millennium Pharmaceuticals, Inc. Before joining Millennium Pharmaceuticals, Inc., he served as principal investigator in the laboratory of tumor biology at Massachusetts General Hospital Cancer Center. Dr. Tepper is also a founder and former member of the scientific advisory board of Cell Genesys/Abgenix. Dr. Tepper serves as an adjunct faculty member at Harvard Medical School and Massachusetts General Hospital and is an advisory board member of several leading healthcare institutions, including the Partners HealthCare Center for Personalized Genetic Medicine, Harvard Medical School and Tufts Medical School. Dr. Tepper is a board member of private life sciences companies Alcresta, Inc., Allena Pharmaceuticals, Inc., Constellation Pharmaceuticals Inc., Jounce Therapeutics, Inc., and Kala Pharmaceuticals, Inc., as well as public biopharmaceutical company bluebird bio Inc., and is also on the board of overseers at Tufts University. Dr. Tepper holds an A.B. from Princeton University and an M.D. from Harvard Medical School. We believe that Dr. Tepper is qualified to serve on our board of directors due to his experience in the venture capital industry, particularly with biotech and pharmaceutical companies, combined with his experience building and operating research and development operations, on the boards of public and private life sciences companies and as faculty and advisory board members of several healthcare institutions.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553"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which operates under a charter that has been approved by our board of directors. The members of our audit committee are Drs. Hall and Rastetter and Mr. McKee. Mr. McKee chairs the audit committee. The audit committee’s responsibilities include:</w:t>
      </w:r>
    </w:p>
    <w:p>
      <w:pPr>
        <w:spacing w:after="0" w:line="68" w:lineRule="exact"/>
        <w:rPr>
          <w:sz w:val="20"/>
          <w:szCs w:val="20"/>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117" w:lineRule="exact"/>
        <w:rPr>
          <w:rFonts w:ascii="Times New Roman" w:cs="Times New Roman" w:eastAsia="Times New Roman" w:hAnsi="Times New Roman"/>
          <w:sz w:val="18"/>
          <w:szCs w:val="18"/>
          <w:color w:val="auto"/>
        </w:rPr>
      </w:pPr>
    </w:p>
    <w:p>
      <w:pPr>
        <w:ind w:left="1040" w:right="60" w:hanging="38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1040" w:right="540" w:hanging="38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registered public accounting firm and procedures for the receipt, retention and treatment of accounting related complaints and concerns;</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registered public accounting firm and management;</w:t>
      </w:r>
    </w:p>
    <w:p>
      <w:pPr>
        <w:spacing w:after="0" w:line="144" w:lineRule="exact"/>
        <w:rPr>
          <w:rFonts w:ascii="Times New Roman" w:cs="Times New Roman" w:eastAsia="Times New Roman" w:hAnsi="Times New Roman"/>
          <w:sz w:val="18"/>
          <w:szCs w:val="18"/>
          <w:color w:val="auto"/>
        </w:rPr>
      </w:pPr>
    </w:p>
    <w:p>
      <w:pPr>
        <w:ind w:left="1040" w:right="280" w:hanging="385"/>
        <w:spacing w:after="0" w:line="282" w:lineRule="auto"/>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our policies and procedures for related person transactions and review and approve or ratify all related person transactions; and</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proxy statement for our annual meeting of stockholders.</w:t>
      </w:r>
    </w:p>
    <w:p>
      <w:pPr>
        <w:spacing w:after="0" w:line="223"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16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these directors is independent within the meaning of Rule 10A-3 under the Securities Exchange Act of 1934, or the Exchange Act. Our board of directors has determined that Mr. McKee is an “audit committee financial expert” as defined by applicable SEC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If we make any substantive amendments to, or grant any waivers from, the code of business conduct and ethics for any officer or director, we will disclose the nature of such amendment or waiver on our website or in a current report on Form 8-K.</w:t>
      </w:r>
    </w:p>
    <w:p>
      <w:pPr>
        <w:spacing w:after="0" w:line="7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Stockholders may locate a current copy of our Code of Business Conduct and Ethics on our website at www.ceruleanrx.com or request a copy without charge from:</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Attn: Vice President, General Counsel</w:t>
      </w: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certain officers and holders of more than 10% of our common stock to file with the SEC initial reports of ownership of our common stock and other equity securities on a Form 3 and reports of changes in such ownership on a Form 4 or Form 5. These Section 16 reporting persons are required by SEC regulations to furnish us with copies of all Section 16(a) forms they file. Based solely on a review of the copies of such forms received by us, and written representations from certain reporting persons, we believe that during 2014, our directors, officers and 10% stockholders complied with all Section 16(a) filing requirements applicable to them with respect to our common stock during that fiscal year.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80"/>
          </w:cols>
          <w:pgMar w:left="240" w:top="549" w:right="279" w:bottom="1440" w:gutter="0" w:footer="0" w:header="0"/>
        </w:sectPr>
      </w:pPr>
    </w:p>
    <w:bookmarkStart w:id="127" w:name="page128"/>
    <w:bookmarkEnd w:id="127"/>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elements of our executive compensation for our “named executive officers” and the most important factors relevant to an analysis of these policies and practices. It provides qualitative information regarding the manner and context in which compensation is awarded to and earned by our executive officers named in the “Summary Compensation Table” below, or our “named executive officers,” and is intended to place in perspective the data presented in the following tables and the corresponding narrative. Our “named executive officers” for 2014 are Oliver S. Fetzer, our former President and Chief Executive Officer, Christopher D.T. Guiffre, our Chief Operating Officer, Edward Garmey, our Senior Vice President and Chief Medical Officer and Karen L. Roberts, our Senior Vice President, Finance and Administration.</w:t>
      </w:r>
    </w:p>
    <w:p>
      <w:pPr>
        <w:spacing w:after="0" w:line="188" w:lineRule="exact"/>
        <w:rPr>
          <w:sz w:val="20"/>
          <w:szCs w:val="20"/>
          <w:color w:val="auto"/>
        </w:rPr>
      </w:pPr>
    </w:p>
    <w:p>
      <w:pPr>
        <w:jc w:val="both"/>
        <w:ind w:right="300" w:firstLine="518"/>
        <w:spacing w:after="0" w:line="261" w:lineRule="auto"/>
        <w:rPr>
          <w:sz w:val="20"/>
          <w:szCs w:val="20"/>
          <w:color w:val="auto"/>
        </w:rPr>
      </w:pPr>
      <w:r>
        <w:rPr>
          <w:rFonts w:ascii="Times New Roman" w:cs="Times New Roman" w:eastAsia="Times New Roman" w:hAnsi="Times New Roman"/>
          <w:sz w:val="18"/>
          <w:szCs w:val="18"/>
          <w:color w:val="auto"/>
        </w:rPr>
        <w:t>As a newly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are appropriate for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named executive officers during our fiscal years ended December 31, 2014 and 2013.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1340" w:type="dxa"/>
            <w:vAlign w:val="bottom"/>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D.T. Guiffre, J.D.</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317,128</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387,336</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11,168</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Chief Operating Officer(3)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10,968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Garmey, M.D.</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98,880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243,390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11,168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Senior Vice President 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10,968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Karen L. Roberts</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260,782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11,168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Senior Vice President Finance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10,968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and Administration</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Oliver S. Fetzer, Ph.D.</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324,438</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1,614,215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14,785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Former President 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146,088</w:t>
            </w: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10,968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right="280" w:hanging="532"/>
        <w:spacing w:after="0" w:line="268"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2014 amount reflects the discretionary bonus earned in 2014 and paid in March 2015, and the 2013 amount reflects the discretionary bonus earned in 2013 and paid in March 2014. Due to his resignation effective October 29, 2014, Dr. Fetzer will not be paid bonus for 2014.</w:t>
      </w:r>
    </w:p>
    <w:p>
      <w:pPr>
        <w:spacing w:after="0" w:line="76" w:lineRule="exact"/>
        <w:rPr>
          <w:rFonts w:ascii="Times New Roman" w:cs="Times New Roman" w:eastAsia="Times New Roman" w:hAnsi="Times New Roman"/>
          <w:sz w:val="18"/>
          <w:szCs w:val="18"/>
          <w:color w:val="auto"/>
        </w:rPr>
      </w:pPr>
    </w:p>
    <w:p>
      <w:pPr>
        <w:ind w:left="540" w:hanging="532"/>
        <w:spacing w:after="0" w:line="281"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fair value computed as of the grant date of the options awarded during the year computed in accordance with the provisions of Financial Accounting Standards Board, or FASB, Accounting Standard Codification, or ASC, Topic 718. See note 10 to our consolidated financial statements appearing at the end of this Annual Report on Form 10-K for assumptions underlying the valuation of equity awards.</w:t>
      </w:r>
    </w:p>
    <w:p>
      <w:pPr>
        <w:spacing w:after="0" w:line="69"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Guiffre served as our Senior Vice President and Chief Business Officer through October 28, 2014 and was named Chief Operating Officer on October 29, 2014.</w:t>
      </w:r>
    </w:p>
    <w:p>
      <w:pPr>
        <w:spacing w:after="0" w:line="1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$10,400 that we matched pursuant to our 401(k) plan and $768 in life insurance premiums.</w:t>
      </w:r>
    </w:p>
    <w:p>
      <w:pPr>
        <w:spacing w:after="0" w:line="1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$10,200 that we matched pursuant to our 401(k) plan and $768 in life insurance premiums.</w:t>
      </w:r>
    </w:p>
    <w:p>
      <w:pPr>
        <w:spacing w:after="0" w:line="1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10,400 that we matched pursuant to our 401(k) plan, $640 in life insurance premiums and $3,745 accrued vacation paid at termination.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9"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In 2014, we paid base salaries of $317,128 to Mr. Guiffre, $309,000 to Dr. Garmey, $242,000 to Ms. Roberts, and $324,438 to Dr. Fetzer.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use base salaries to recognize the experience, skills, knowledge and responsibilities required of all of our employees, including our named executive officers. None of our named executive officers are party to an employment agreement, or other agreement or arrangement that provides for automatic or scheduled increases in base salary. In June 2014, our board of directors, upon the recommendation of our compensation committee, approved a 2014 base salary of $425,000 for Dr. Fetzer. In October 2014, our board of directors promoted Mr. Guiffre to Chief Operating Officer and approved a 2014 base salary of $350,000 for Mr. Guiffre.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657"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In February 2015, our compensation committee approved 2015 base salaries of $364,000 for Mr. Guiffre, $321,360 for Dr. Garmey and $281,680 for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Roberts.</w:t>
      </w:r>
    </w:p>
    <w:p>
      <w:pPr>
        <w:spacing w:after="0" w:line="21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Annual bonus. </w:t>
      </w:r>
      <w:r>
        <w:rPr>
          <w:rFonts w:ascii="Times New Roman" w:cs="Times New Roman" w:eastAsia="Times New Roman" w:hAnsi="Times New Roman"/>
          <w:sz w:val="18"/>
          <w:szCs w:val="18"/>
          <w:color w:val="auto"/>
        </w:rPr>
        <w:t>Our board of directors may, in its discretion, award bonuses to our named executive officers from time to time. We typically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bonus targets based on a set of specified corporate goals for our named executive officers and conduct an annual performance review to determine the attainment of such goals. Our management may propose bonus awards to the compensation committee of the board or the board primarily based on such review process. Our compensation committee makes the final determination of the eligibility requirements for and the amount of the bonus awards paid to our executive officers other than our Chief Executive Officer, and our board of directors makes the final determination of the eligibility requirements for and the amount of the bonus awards paid to our Chief Executive Officer. With respect to 2014, we awarded bonuses, payable in March 2015, of $115,500 to</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Guiffre, $98,880 to Dr. Garmey and $59,895 for Ms. Roberts, such amounts representing 83%, 80% and 83% of bonus targets for Mr. Guiffre, Dr. Garmey and Ms. Roberts, respectively. In each case, such bonuses are based on the combination of each of Mr. Guiffre’s, Dr. Garmey’s and Ms. Roberts’ achievement of individual goals (25% of such bonus) and our attainment of corporate goals (75% of such bonus). Due to his resignation effective October 29, 2014, Dr. Fetzer was not awarded a bonus for fiscal year 2014.</w:t>
      </w:r>
    </w:p>
    <w:p>
      <w:pPr>
        <w:spacing w:after="0" w:line="18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Prior to our initial public offering, or IPO, which was completed in April 2014, our executive officers were eligible to participate in our 2007 stock incentive plan, as amended, or the 2007 Plan. Following the closing of our IPO, our employees and executives became eligible to receive stock options and other stock-based awards pursuant to the 2014 stock incentive plan, or our 2014 Plan.</w:t>
      </w:r>
    </w:p>
    <w:p>
      <w:pPr>
        <w:spacing w:after="0" w:line="19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use stock options to compensate our executive officers in the form of initial grants in connection with the commencement of employment and also at various times, often but not necessarily annually, if we have performed as expected or better than expected. Prior to our IPO, the award of stock options to our executive officers, other than our Chief Executive Officer, was made by our board or compensation committee, and the award of stock options to our Chief Executive Officer was made by our board. We have granted stock options to our executive officers with both time-based and performance-based vesting. Upon initiation of employment, the options that we have granted to our executive officers and other employees with time-based vesting typically become exercisable as to 25% of the shares underlying the option on the first anniversary of the grant date, and as to an additional 1/48th of the shares underlying the option monthly thereafter. Beginning in 2014, following our IPO, options that we grant to existing executive officers and other employees with time-based vesting typically vest ratably over 48 months from the vesting commencement date. None of our executive officers is currently party to an employment agreement that provides for automatic award of stock options. The options that we have granted to date to our executive officers with performance-based vesting become exercisable upon the occurrence of specified business transactions or other specified milestones. Vesting and exercise rights cease shortly after termination of employment except in the case of death or disability. Prior to the exercise of an option, the holder has no rights as a stockholder with respect to the shares subject to such option, including no voting rights and no right to receive dividends or dividend equivalents.</w:t>
      </w:r>
    </w:p>
    <w:p>
      <w:pPr>
        <w:spacing w:after="0" w:line="19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historically granted stock options with exercise prices that are equal to the fair market value of our common stock on the date of grant as determined by our board of directors, based on a number of objective and subjective factors. Following our IPO, the exercise prices of all stock options granted are equal to the fair market value of shares of our common stock on the date of grant, which is determined by reference to the closing market price of our common stock on the NASDAQ Global Market on the date of grant.</w:t>
      </w:r>
    </w:p>
    <w:p>
      <w:pPr>
        <w:spacing w:after="0" w:line="180"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In February 2015, our compensation committee granted an option to purchase 75,000 shares of our common stock to Mr. Guiffre, an option to purchase 43,000 shares of our common stock to Dr. Garmey and an option to purchase 43,000 shares of our common stock to Ms. Roberts. These options have an exercise price of $8.16 per share and vest monthly as to 1/48th of the shares underlying the option over four years following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45"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2014 Outstanding Option Awards at Fiscal-Year End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option awards for each of our named executive officers at 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ind w:left="273"/>
              <w:spacing w:after="0" w:line="14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780" w:type="dxa"/>
            <w:vAlign w:val="bottom"/>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780" w:type="dxa"/>
            <w:vAlign w:val="bottom"/>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780" w:type="dxa"/>
            <w:vAlign w:val="bottom"/>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780" w:type="dxa"/>
            <w:vAlign w:val="bottom"/>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9"/>
                <w:szCs w:val="19"/>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D.T. Guiffre, J.D.</w:t>
            </w:r>
          </w:p>
        </w:tc>
        <w:tc>
          <w:tcPr>
            <w:tcW w:w="180" w:type="dxa"/>
            <w:vAlign w:val="bottom"/>
            <w:tcBorders>
              <w:top w:val="single" w:sz="8" w:color="CFF0FC"/>
            </w:tcBorders>
            <w:shd w:val="clear" w:color="auto" w:fill="CFF0FC"/>
          </w:tcPr>
          <w:p>
            <w:pPr>
              <w:spacing w:after="0"/>
              <w:rPr>
                <w:sz w:val="19"/>
                <w:szCs w:val="19"/>
                <w:color w:val="auto"/>
              </w:rPr>
            </w:pPr>
          </w:p>
        </w:tc>
        <w:tc>
          <w:tcPr>
            <w:tcW w:w="2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2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14,562</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51,698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4,620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9,236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13,444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42,965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47,157</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10/28/2024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Garmey, M.D.</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3,590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6,314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10,340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42,965</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6/23/2024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Karen L. Roberts</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3,447</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7,347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10,340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32,630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17,169</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7/16/2024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Oliver S. Fetzer, Ph.D.</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95,981</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93,949</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8,265</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14,433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2,098</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126,309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265,834</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2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13,280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9,123</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w w:val="99"/>
              </w:rPr>
              <w:t>__________</w:t>
            </w: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January 17, 2016.</w:t>
      </w:r>
    </w:p>
    <w:p>
      <w:pPr>
        <w:spacing w:after="0" w:line="117"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as follows: (i) 27,572 of the underlying shares shall vest in 24 approximately equal monthly installments, commencing upon the closing of a transformative business development transaction, as determined by our board of directors and (ii) the remaining 24,126 shares shall vest upon the occurrence of a change in control event meeting certain objective criteria.</w:t>
      </w:r>
    </w:p>
    <w:p>
      <w:pPr>
        <w:spacing w:after="0" w:line="6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December 31, 2016.</w:t>
      </w:r>
    </w:p>
    <w:p>
      <w:pPr>
        <w:spacing w:after="0" w:line="117" w:lineRule="exact"/>
        <w:rPr>
          <w:rFonts w:ascii="Times New Roman" w:cs="Times New Roman" w:eastAsia="Times New Roman" w:hAnsi="Times New Roman"/>
          <w:sz w:val="18"/>
          <w:szCs w:val="18"/>
          <w:color w:val="auto"/>
        </w:rPr>
      </w:pPr>
    </w:p>
    <w:p>
      <w:pPr>
        <w:ind w:left="540" w:right="280" w:hanging="532"/>
        <w:spacing w:after="0" w:line="26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as follows: (i) 4,988 of the underlying shares shall vest in 24 approximately equal monthly installments, commencing upon the closing of a transformative business development transaction, as determined by our board of directors and (ii) the remaining 4,248 shares shall vest upon the occurrence of a change in control event meeting certain objective criteria.</w:t>
      </w:r>
    </w:p>
    <w:p>
      <w:pPr>
        <w:spacing w:after="0" w:line="6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May 31, 2018.</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September 30,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333" w:right="239" w:bottom="1440" w:gutter="0" w:footer="0" w:header="0"/>
        </w:sectPr>
      </w:pPr>
    </w:p>
    <w:bookmarkStart w:id="130" w:name="page131"/>
    <w:bookmarkEnd w:id="130"/>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May 2, 2015.</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December 31, 2015.</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underlying this option are scheduled to vest in approximately equal monthly installments through December 31, 2017.</w:t>
      </w:r>
    </w:p>
    <w:p>
      <w:pPr>
        <w:spacing w:after="0" w:line="117"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separation agreement we entered into with Dr. Fetzer on October 29, 2014 and amended on March 3, 2015, the unvested shares underlying this option will not vest. Any unexercised vested shares and the unvested shares will expire on September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Mr. Guiffre, Dr. Garmey and Ms. Roberts</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July 2014, we entered into employment agreements with each of Mr. Guiffre, Dr. Garmey and Ms. Roberts in connection with their continuation of their employment with us. These agreements provide that each of Mr. Guiffre, Dr. Garmey and Ms. Roberts are employed at will, and either we or each of Mr. Guiffre, Dr. Garmey and Ms. Roberts may terminate the employment relationship for any reason, at any time, with or without notice.</w:t>
      </w:r>
    </w:p>
    <w:p>
      <w:pPr>
        <w:spacing w:after="0" w:line="2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Pursuant to such agreements, Mr. Guiffre, Dr. Garmey and Ms. Roberts are eligible to receive a performance-based annual cash bonus, which is based upon quantitative and qualitative performance objectives that will be mutually agreed between our board of directors and Mr. Guiffre, Dr. Garmey and Ms. Roberts and which will be determined by our board of directors in its sole discretion. The target annual bonus for the applicable fiscal year is 45% of base salary for Mr. Guiffre, 40% of base salary for Dr. Garmey and 30% of base salary for Ms. Roberts.</w:t>
      </w:r>
    </w:p>
    <w:p>
      <w:pPr>
        <w:spacing w:after="0" w:line="4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If we terminate employment with Mr. Guiffre, Dr. Garmey or Ms. Roberts without cause or if Mr. Guiffre, Dr. Garmey or Ms. Roberts terminates employment with us for good reason, in each case, excluding following a change of control, upon execution and effectiveness of a release of claims, we are obligated to pay such individual (a) an amount equal to his or her base salary for six (6) months, payable in six (6) substantially equal monthly installments, and (b) the amount of any bonus for the prior year that was approved but not yet paid to such individual at the time of termination. We must also continue to provide such individual and certain of his or her dependents with group health insurance for a period of six (6) months following such termination.</w:t>
      </w:r>
    </w:p>
    <w:p>
      <w:pPr>
        <w:spacing w:after="0" w:line="3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If we terminate employment with Mr. Guiffre, Dr. Garmey or Ms. Roberts without cause or if Mr. Guiffre, Dr. Garmey or Ms. Roberts terminates employment with us for good reason, following a change of control, upon execution and effectiveness of a release of claims, we are obligated to pay such individual (a) an amount equal to his or her base salary for six (6) months, plus one (1) additional month for each year of service by such individual with us, up to a maximum of nine (9) months, payable in a lump sum payment, and (b) an amount equal to such individual’s target performance-based annual bonus pro-rated to the severance period in months divided by twelve (12) months. We must also continue to provide such individual and certain of his or her dependents with group health insurance for the duration of the severance period and to accelerate in full the vesting of any outstanding equity awards that are subject to time-based vesting.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Transition and Release of Claims Agreement with Dr. Fetzer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Dr. Fetzer voluntarily resigned from his position as our President, Chief Executive Officer and director, effective October 29, 2014, or the separation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connection with Dr. Fetzer’s termination of employment with us, we entered into a separation, transition, and release of claims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him. To assist us in in our leadership transition, Dr. Fetzer agreed that for one hundred and eighty (180) days following the separation date, or the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he would make himself reasonably available to us by telephone or e-mail from time to time, upon reasonable notice and on an as-needed basis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us with any reasonable information and guidance that we may request from him. On March 3, 2015, we amended the separation, transition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claims agreement with Dr. Fetzer, to extend the consulting period until September 30, 2015. As a result of the extension of the consulting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September 30, 2015, all stock options held by Dr. Fetzer, which ceased vesting as of the separation date, will remain exercisable until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have entered into non-disclosure, non-competition and assignment of intellectual property agreements with each of our executive officers. Under the non-disclosure, non-competition and assignment of intellectual property agreements, each executive officer has agreed (1) to protect our confidential and proprietary information, (2) to assign to us related intellectual property that is developed during such executive officer’s employment and that relates to our business or research and development or from the use of our property, premises or confidential information, (3) not to compete with us during his or her employment and for a period of one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45" w:right="259" w:bottom="1440" w:gutter="0" w:footer="0" w:header="0"/>
        </w:sectPr>
      </w:pPr>
    </w:p>
    <w:bookmarkStart w:id="131" w:name="page132"/>
    <w:bookmarkEnd w:id="131"/>
    <w:p>
      <w:pPr>
        <w:ind w:right="260"/>
        <w:spacing w:after="0" w:line="282" w:lineRule="auto"/>
        <w:rPr>
          <w:sz w:val="20"/>
          <w:szCs w:val="20"/>
          <w:color w:val="auto"/>
        </w:rPr>
      </w:pPr>
      <w:r>
        <w:rPr>
          <w:rFonts w:ascii="Times New Roman" w:cs="Times New Roman" w:eastAsia="Times New Roman" w:hAnsi="Times New Roman"/>
          <w:sz w:val="18"/>
          <w:szCs w:val="18"/>
          <w:color w:val="auto"/>
        </w:rPr>
        <w:t>year after the termination of his or her employment and (4) not to solicit our employees or customers during his or her employment and for a period of one year after the termination of his or her employment.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Other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Stock Incentive Plan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2007 Plan was first adopted by our board of directors in February 2007 and first approved by our stockholders in March 2007 and was amended in May 2007, April 2009, September 2009, March 2010, November 2010, October 2011, December 2011, November 2012, January 2013, February 2013 and January 2014 to increase the number of shares available for issuance under the plan. The 2007 Plan provided for the grant of incentive stock options, nonstatutory stock options, restricted stock, restricted stock units and other stock-based awards. Our employees, officers, directors, consultants and advisors were eligible to receive awards under the 2007 Plan. However, incentive stock options could only be granted to our employees.</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of February 28, 2015, there were outstanding under the 2007 Plan options to purchase an aggregate of 1,038,486 shares of common stock at a weighted-average exercise price of $5.05 per share. We no longer grant stock options or other awards under the 2007 Plan. However, any shares of common stock subject to awards under the 2007 Plan that expire, terminate, or are otherwise surrendered, canceled, forfeited or repurchased at their original issuance price pursuant to a contractual repurchase right become available for issuance under the 2014 Plan (subject, in the case of incentive stock options, to any limitations of the Internal Revenue Code). 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the number and class of securities and exercise price per share of each outstanding option under the 2007 Plan shall be equitably adjusted by us (or substitute awards may be made, if applicable) in a manner determined by our board of directors.</w:t>
      </w:r>
    </w:p>
    <w:p>
      <w:pPr>
        <w:spacing w:after="0" w:line="185"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Upon a reorganization event, as defined in the 2007 Plan, our board of directors may, in the case of awards under the 2007 Plan, take one or more of the following actions as to all or any, or any portion of, outstanding awards, other than restricted stock awards:</w:t>
      </w:r>
    </w:p>
    <w:p>
      <w:pPr>
        <w:spacing w:after="0" w:line="54" w:lineRule="exact"/>
        <w:rPr>
          <w:sz w:val="20"/>
          <w:szCs w:val="20"/>
          <w:color w:val="auto"/>
        </w:rPr>
      </w:pPr>
    </w:p>
    <w:p>
      <w:pPr>
        <w:ind w:left="1040" w:right="620" w:hanging="385"/>
        <w:spacing w:after="0" w:line="282"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outstanding award will be assumed or a substantially similar award will be substituted by the acquiring or succeeding corporation (or an affiliate thereof);</w:t>
      </w:r>
    </w:p>
    <w:p>
      <w:pPr>
        <w:spacing w:after="0" w:line="53" w:lineRule="exact"/>
        <w:rPr>
          <w:rFonts w:ascii="Times New Roman" w:cs="Times New Roman" w:eastAsia="Times New Roman" w:hAnsi="Times New Roman"/>
          <w:sz w:val="18"/>
          <w:szCs w:val="18"/>
          <w:color w:val="auto"/>
        </w:rPr>
      </w:pPr>
    </w:p>
    <w:p>
      <w:pPr>
        <w:ind w:left="1040" w:right="200" w:hanging="385"/>
        <w:spacing w:after="0" w:line="282"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upon notice to the participant, that unexercised awards will terminate immediately prior to the consummation of such reorganization event unless exercised within a specified period of time following the date of such notice;</w:t>
      </w:r>
    </w:p>
    <w:p>
      <w:pPr>
        <w:spacing w:after="0" w:line="53" w:lineRule="exact"/>
        <w:rPr>
          <w:rFonts w:ascii="Times New Roman" w:cs="Times New Roman" w:eastAsia="Times New Roman" w:hAnsi="Times New Roman"/>
          <w:sz w:val="18"/>
          <w:szCs w:val="18"/>
          <w:color w:val="auto"/>
        </w:rPr>
      </w:pPr>
    </w:p>
    <w:p>
      <w:pPr>
        <w:ind w:left="1040" w:hanging="385"/>
        <w:spacing w:after="0" w:line="282"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outstanding awards will become exercisable, realizable or deliverable, or restrictions applicable to such awards will lapse, in full or in part, at or immediately prior to such reorganization event;</w:t>
      </w:r>
    </w:p>
    <w:p>
      <w:pPr>
        <w:spacing w:after="0" w:line="53" w:lineRule="exact"/>
        <w:rPr>
          <w:rFonts w:ascii="Times New Roman" w:cs="Times New Roman" w:eastAsia="Times New Roman" w:hAnsi="Times New Roman"/>
          <w:sz w:val="18"/>
          <w:szCs w:val="18"/>
          <w:color w:val="auto"/>
        </w:rPr>
      </w:pPr>
    </w:p>
    <w:p>
      <w:pPr>
        <w:ind w:left="1040" w:right="20" w:hanging="385"/>
        <w:spacing w:after="0" w:line="258"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reorganization event pursuant to which holders of our common stock will receive a cash payment for each share surrendered in the reorganization event, make or provide for a cash payment to a participant equal to the excess, if any, of (i) the acquisition price times the number of shares of our common stock subject to such participant’s outstanding awards (to the extent then exercisable at prices not in excess of the acquisition price), over (ii) the aggregate exercise price of all such outstanding awards and any applicable tax withholdings, in exchange for the termination of such awards;</w:t>
      </w:r>
    </w:p>
    <w:p>
      <w:pPr>
        <w:spacing w:after="0" w:line="75" w:lineRule="exact"/>
        <w:rPr>
          <w:rFonts w:ascii="Times New Roman" w:cs="Times New Roman" w:eastAsia="Times New Roman" w:hAnsi="Times New Roman"/>
          <w:sz w:val="18"/>
          <w:szCs w:val="18"/>
          <w:color w:val="auto"/>
        </w:rPr>
      </w:pPr>
    </w:p>
    <w:p>
      <w:pPr>
        <w:ind w:left="1040" w:right="200" w:hanging="385"/>
        <w:spacing w:after="0" w:line="282" w:lineRule="auto"/>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the event of a liquidation or dissolution, awards will convert into the right to receive liquidation proceeds (if applicable, net of the exercise price thereof and any applicable tax withholdings); or</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is not obligated under the 2007 Plan to treat all awards, or all awards of the same type, identically.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00"/>
          </w:cols>
          <w:pgMar w:left="240" w:top="445" w:right="259" w:bottom="1440" w:gutter="0" w:footer="0" w:header="0"/>
        </w:sectPr>
      </w:pPr>
    </w:p>
    <w:bookmarkStart w:id="132" w:name="page133"/>
    <w:bookmarkEnd w:id="132"/>
    <w:p>
      <w:pPr>
        <w:ind w:firstLine="518"/>
        <w:spacing w:after="0" w:line="255" w:lineRule="auto"/>
        <w:rPr>
          <w:sz w:val="20"/>
          <w:szCs w:val="20"/>
          <w:color w:val="auto"/>
        </w:rPr>
      </w:pPr>
      <w:r>
        <w:rPr>
          <w:rFonts w:ascii="Times New Roman" w:cs="Times New Roman" w:eastAsia="Times New Roman" w:hAnsi="Times New Roman"/>
          <w:sz w:val="18"/>
          <w:szCs w:val="18"/>
          <w:color w:val="auto"/>
        </w:rPr>
        <w:t>Our board of directors may at any time provide that any award under the 2007 Plan shall become immediately exercisable in full or in part, free of some or all restrictions or conditions, or otherwise realizable in full or in part. Our board of directors may amend, modify or terminate any outstanding award under the 2007 Plan, including but not limited to, changing the date of exercise or realization, and converting an incentive stock option to a nonstatutory stock option, subject in certain cases to the participant’s consent. Our board of directors may amend, suspend or terminate the 2007 Plan or any portion thereof at any time, subject to any stockholder approval requirements under the Internal Revenue Code with respect to incentive stock options. Unless otherwise specified in the amendment, any amendment to the 2007 Plan will apply to, and be binding on the holders of, all awards outstanding under the 2007 Plan at the time the amendment is adopted, provided that our board of directors determines that such amendment does not materially and adversely affect the rights of participants under the 2007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Incentive Plan</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March 2014, our board of directors adopted and our stockholders approved the 2014 Stock Incentive Plan, or 2014 Plan, which became effective upon our IPO. The 2014 Plan provides for the grant of incentive stock options, nonstatutory stock options, stock appreciation rights, restricted stock, restricted stock units and other stock-based awards.</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Our employees, officers, directors, consultants and advisors are eligible to receive awards under the 2014 Plan; however, incentive stock options may only be granted to our employees.</w:t>
      </w:r>
    </w:p>
    <w:p>
      <w:pPr>
        <w:spacing w:after="0" w:line="16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Our board of directors administers the 2014 Plan. Pursuant to the terms of the 2014 Plan, our board of directors selects the recipients of awards and determines:</w:t>
      </w:r>
    </w:p>
    <w:p>
      <w:pPr>
        <w:spacing w:after="0" w:line="54" w:lineRule="exact"/>
        <w:rPr>
          <w:sz w:val="20"/>
          <w:szCs w:val="20"/>
          <w:color w:val="auto"/>
        </w:rPr>
      </w:pPr>
    </w:p>
    <w:p>
      <w:pPr>
        <w:ind w:left="1040" w:hanging="385"/>
        <w:spacing w:after="0"/>
        <w:tabs>
          <w:tab w:leader="none" w:pos="1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covered by options and the conditions and limitations applicable to the exercise of options;</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options to be granted;</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options, which must be at least equal to the fair market value of our common stock on the date of grant;</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options, which may not be in excess of ten years; and</w:t>
      </w:r>
    </w:p>
    <w:p>
      <w:pPr>
        <w:spacing w:after="0" w:line="117" w:lineRule="exact"/>
        <w:rPr>
          <w:rFonts w:ascii="Times New Roman" w:cs="Times New Roman" w:eastAsia="Times New Roman" w:hAnsi="Times New Roman"/>
          <w:sz w:val="18"/>
          <w:szCs w:val="18"/>
          <w:color w:val="auto"/>
        </w:rPr>
      </w:pPr>
    </w:p>
    <w:p>
      <w:pPr>
        <w:ind w:left="1040" w:right="240" w:hanging="385"/>
        <w:spacing w:after="0" w:line="261" w:lineRule="auto"/>
        <w:tabs>
          <w:tab w:leader="none" w:pos="1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any stock appreciation rights, restricted stock awards, restricted stock units or other stock-based awards and the terms and conditions of such awards, including the issue price or purchase price (if any) and conditions for vesting and repurchase (or forfeiture), provided that the measurement price for stock appreciation rights must be at least equal to the fair market value of our common stock on the date of grant and the duration of stock appreciation rights may not be in excess of ten years.</w:t>
      </w:r>
    </w:p>
    <w:p>
      <w:pPr>
        <w:spacing w:after="0" w:line="180" w:lineRule="exact"/>
        <w:rPr>
          <w:sz w:val="20"/>
          <w:szCs w:val="20"/>
          <w:color w:val="auto"/>
        </w:rPr>
      </w:pPr>
    </w:p>
    <w:p>
      <w:pPr>
        <w:ind w:right="800" w:firstLine="518"/>
        <w:spacing w:after="0" w:line="282" w:lineRule="auto"/>
        <w:rPr>
          <w:sz w:val="20"/>
          <w:szCs w:val="20"/>
          <w:color w:val="auto"/>
        </w:rPr>
      </w:pPr>
      <w:r>
        <w:rPr>
          <w:rFonts w:ascii="Times New Roman" w:cs="Times New Roman" w:eastAsia="Times New Roman" w:hAnsi="Times New Roman"/>
          <w:sz w:val="18"/>
          <w:szCs w:val="18"/>
          <w:color w:val="auto"/>
        </w:rPr>
        <w:t>As of February 28, 2015, (i) there were 3,218,490 shares of our common stock reserved for issuance under the 2014 Plan and (ii) there were outstanding options to purchase an aggregate of 1,839,630 shares of common stock at a weighted-average exercise price of $6.09 per share.</w:t>
      </w:r>
    </w:p>
    <w:p>
      <w:pPr>
        <w:spacing w:after="0" w:line="16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our board of directors may delegate its powers under the 2014 Plan to one or more committees or subcommittees of our board or to one or more of our officers. If our board of directors delegates authority to an officer to grant awards under the 2014 Plan, the officer will have the power to make awards to all of our employees, except executive officers. Our board of directors will fix the terms of the awards to be granted by such officer, including the exercise price of such awards (which may include a formula by which the exercise price will be determined), and the maximum number of shares subject to awards that such officer may make.</w:t>
      </w:r>
    </w:p>
    <w:p>
      <w:pPr>
        <w:spacing w:after="0" w:line="184"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our board of directors is required by the 2014 Plan to make equitable adjustments, in a manner determined by our board, to:</w:t>
      </w:r>
    </w:p>
    <w:p>
      <w:pPr>
        <w:spacing w:after="0" w:line="68" w:lineRule="exact"/>
        <w:rPr>
          <w:sz w:val="20"/>
          <w:szCs w:val="20"/>
          <w:color w:val="auto"/>
        </w:rPr>
      </w:pPr>
    </w:p>
    <w:p>
      <w:pPr>
        <w:ind w:left="1040" w:hanging="385"/>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securities available and the share counting rules under the 2014 Plan;</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securities and exercise price per share of each outstanding option;</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and per-share provisions and measurement price of each outstanding stock appreciation right;</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the repurchase price per share subject to each outstanding restricted stock award or restricted stock unit award; and</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and per-share-related provisions and purchase price, if any, of any outstanding other stock-based award.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553" w:right="239" w:bottom="1440" w:gutter="0" w:footer="0" w:header="0"/>
        </w:sectPr>
      </w:pPr>
    </w:p>
    <w:bookmarkStart w:id="133" w:name="page134"/>
    <w:bookmarkEnd w:id="133"/>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Upon a reorganization event, as defined in the 2014 Plan, our board of directors, may, in its sole discretion, take any one or more of the following actions pursuant to the 2014 Plan, as to some or all outstanding awards, other than restricted stock:</w:t>
      </w:r>
    </w:p>
    <w:p>
      <w:pPr>
        <w:spacing w:after="0" w:line="54" w:lineRule="exact"/>
        <w:rPr>
          <w:sz w:val="20"/>
          <w:szCs w:val="20"/>
          <w:color w:val="auto"/>
        </w:rPr>
      </w:pPr>
    </w:p>
    <w:p>
      <w:pPr>
        <w:ind w:left="1040" w:right="560" w:hanging="385"/>
        <w:spacing w:after="0" w:line="282" w:lineRule="auto"/>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awards will be assumed, or substituted equivalent awards will be substituted, by the acquiring or succeeding corporation (or an affiliate thereof);</w:t>
      </w:r>
    </w:p>
    <w:p>
      <w:pPr>
        <w:spacing w:after="0" w:line="53" w:lineRule="exact"/>
        <w:rPr>
          <w:rFonts w:ascii="Times New Roman" w:cs="Times New Roman" w:eastAsia="Times New Roman" w:hAnsi="Times New Roman"/>
          <w:sz w:val="18"/>
          <w:szCs w:val="18"/>
          <w:color w:val="auto"/>
        </w:rPr>
      </w:pPr>
    </w:p>
    <w:p>
      <w:pPr>
        <w:ind w:left="1040" w:right="200" w:hanging="385"/>
        <w:spacing w:after="0" w:line="266" w:lineRule="auto"/>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unvested and/or unexercised awards will terminate immediately prior to the consummation of such reorganization event unless exercised by the participant (to the extent then exercisable) within a specified period following the date of such notice;</w:t>
      </w:r>
    </w:p>
    <w:p>
      <w:pPr>
        <w:spacing w:after="0" w:line="68" w:lineRule="exact"/>
        <w:rPr>
          <w:rFonts w:ascii="Times New Roman" w:cs="Times New Roman" w:eastAsia="Times New Roman" w:hAnsi="Times New Roman"/>
          <w:sz w:val="18"/>
          <w:szCs w:val="18"/>
          <w:color w:val="auto"/>
        </w:rPr>
      </w:pPr>
    </w:p>
    <w:p>
      <w:pPr>
        <w:ind w:left="1040" w:right="40" w:hanging="385"/>
        <w:spacing w:after="0" w:line="282" w:lineRule="auto"/>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53" w:lineRule="exact"/>
        <w:rPr>
          <w:rFonts w:ascii="Times New Roman" w:cs="Times New Roman" w:eastAsia="Times New Roman" w:hAnsi="Times New Roman"/>
          <w:sz w:val="18"/>
          <w:szCs w:val="18"/>
          <w:color w:val="auto"/>
        </w:rPr>
      </w:pPr>
    </w:p>
    <w:p>
      <w:pPr>
        <w:ind w:left="1040" w:right="20" w:hanging="385"/>
        <w:spacing w:after="0" w:line="256" w:lineRule="auto"/>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(i) the number of shares of common stock subject to the vested portion of the award (after giving effect to any acceleration of vesting that occurs upon or immediately prior to such reorganization event) multiplied by (ii) the excess, if any, of the cash payment for each share surrendered in the reorganization event over the exercise, measurement or purchase price of such award and any applicable tax withholdings, in exchange for the termination of such awards;</w:t>
      </w:r>
    </w:p>
    <w:p>
      <w:pPr>
        <w:spacing w:after="0" w:line="79" w:lineRule="exact"/>
        <w:rPr>
          <w:rFonts w:ascii="Times New Roman" w:cs="Times New Roman" w:eastAsia="Times New Roman" w:hAnsi="Times New Roman"/>
          <w:sz w:val="18"/>
          <w:szCs w:val="18"/>
          <w:color w:val="auto"/>
        </w:rPr>
      </w:pPr>
    </w:p>
    <w:p>
      <w:pPr>
        <w:ind w:left="1040" w:right="160" w:hanging="385"/>
        <w:spacing w:after="0" w:line="282" w:lineRule="auto"/>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a liquidation or dissolution, awards convert into the right to receive liquidation proceeds (if applicable, net of the exercise, measurement or purchase price thereof and any applicable tax withholdings); and/or</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39"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Our board of directors is not obligated under the 2014 Plan to treat all awards, all awards held by a participant, or all awards of the same type, identically.</w:t>
      </w:r>
    </w:p>
    <w:p>
      <w:pPr>
        <w:spacing w:after="0" w:line="162"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In the case of certain restricted stock unit awards, no assumption or substitution will be permitted and the restricted stock unit awards will instead be settled in accordance with the terms of the applicable restricted stock unit agreement, and in certain circumstances, any unvested restricted stock unit awards will be terminated immediately prior to the consummation of the reorganization event without any payment in exchange therefor.</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Upon the occurrence of a reorganization event other than a liquidation or dissolution, the repurchase and other rights under each outstanding restricted stock award will continue for the benefit of the successor company and will, unless our board of directors may otherwise determine, apply to the cash, securities or other property into which our common stock is converted pursuant to the reorganization event in the same manner and to the same extent as they applied to such restricted stock. Upon the occurrence of a reorganization event involving a liquidation or dissolution, all restrictions and conditions on each outstanding restricted stock award will automatically be deemed terminated or satisfied, unless otherwise provided in the agreement evidencing the restricted stock award or any other agreement between a participant and us.</w:t>
      </w:r>
    </w:p>
    <w:p>
      <w:pPr>
        <w:spacing w:after="0" w:line="18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At any time, our board of directors may provide that any award under the 2014 Plan shall become immediately exercisable in whole or in part, free of some or all restrictions or conditions, or otherwise realizable in whole or in part, as the case may be.</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Except with respect to certain actions requiring stockholder approval under the Internal Revenue Code or the rules of the NASDAQ Stock Market, our board of directors may amend, modify or terminate any outstanding award under the 2014 Plan, including but not limited to, substituting therefor another award of the same or a different type, changing the date of exercise or realization, and converting an incentive stock option into a nonstatutory stock option, subject to certain participant consent requirements. Unless our stockholders approve such action, the 2014 Plan provides that we may not (except as otherwise permitted in connection with a change in capitalization or reorganization event):</w:t>
      </w:r>
    </w:p>
    <w:p>
      <w:pPr>
        <w:spacing w:after="0" w:line="76" w:lineRule="exact"/>
        <w:rPr>
          <w:sz w:val="20"/>
          <w:szCs w:val="20"/>
          <w:color w:val="auto"/>
        </w:rPr>
      </w:pPr>
    </w:p>
    <w:p>
      <w:pPr>
        <w:ind w:left="1040" w:right="240" w:hanging="385"/>
        <w:spacing w:after="0" w:line="282" w:lineRule="auto"/>
        <w:tabs>
          <w:tab w:leader="none" w:pos="10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stock option or stock appreciation right granted under the 2014 Plan to provide an exercise or measurement price per share that is lower than the then-current exercise or measurement price per share of such outstanding award;</w:t>
      </w:r>
    </w:p>
    <w:p>
      <w:pPr>
        <w:spacing w:after="0" w:line="53" w:lineRule="exact"/>
        <w:rPr>
          <w:rFonts w:ascii="Times New Roman" w:cs="Times New Roman" w:eastAsia="Times New Roman" w:hAnsi="Times New Roman"/>
          <w:sz w:val="18"/>
          <w:szCs w:val="18"/>
          <w:color w:val="auto"/>
        </w:rPr>
      </w:pPr>
    </w:p>
    <w:p>
      <w:pPr>
        <w:ind w:left="1040" w:right="240" w:hanging="385"/>
        <w:spacing w:after="0" w:line="261" w:lineRule="auto"/>
        <w:tabs>
          <w:tab w:leader="none" w:pos="10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outstanding option or stock appreciation right (whether or not granted under the 2014 Plan) and grant in substitution therefor new awards under the 2014 Plan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00"/>
          </w:cols>
          <w:pgMar w:left="240" w:top="553" w:right="259" w:bottom="1440" w:gutter="0" w:footer="0" w:header="0"/>
        </w:sectPr>
      </w:pPr>
    </w:p>
    <w:bookmarkStart w:id="134" w:name="page135"/>
    <w:bookmarkEnd w:id="134"/>
    <w:p>
      <w:pPr>
        <w:ind w:left="1040" w:right="440" w:hanging="385"/>
        <w:spacing w:after="0" w:line="282"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in exchange for a cash payment any outstanding option or stock appreciation right with an exercise or measurement price per share above the then-current fair market value of our common stock; or</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that constitutes a “repricing” within the meaning of the rules of the NASDAQ Stock Market.</w:t>
      </w:r>
    </w:p>
    <w:p>
      <w:pPr>
        <w:spacing w:after="0" w:line="22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No award may be granted under the 2014 Plan after March 26, 2024, but awards previously granted may extend beyond that date. Our board of directors may amend, suspend or terminate the 2014 Plan or any portion thereof at any time, except that stockholder approval will be required to comply with the Internal Revenue Code or stock market requirements.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In March 2014, our board of directors adopted and our stockholders approved the 2014 employee stock purchase plan, or the 2014 ESPP, which became effective upon the IPO. Our board of directors administers the 2014 ESPP. All of our employees or employees of any designated subsidiary, as defined in the 2014 ESPP, are eligible to participate in the 2014 ESPP, provided that:</w:t>
      </w:r>
    </w:p>
    <w:p>
      <w:pPr>
        <w:spacing w:after="0" w:line="68" w:lineRule="exact"/>
        <w:rPr>
          <w:sz w:val="20"/>
          <w:szCs w:val="20"/>
          <w:color w:val="auto"/>
        </w:rPr>
      </w:pPr>
    </w:p>
    <w:p>
      <w:pPr>
        <w:ind w:left="1040" w:right="560" w:hanging="385"/>
        <w:spacing w:after="0" w:line="282" w:lineRule="auto"/>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customarily employed by us or a designated subsidiary for more than 20 hours a week and for more than five months in a calendar year;</w:t>
      </w:r>
    </w:p>
    <w:p>
      <w:pPr>
        <w:spacing w:after="0" w:line="53"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been employed by us or by a designated subsidiary for at least 30 days prior to enrolling in the 2014 ESPP; and</w:t>
      </w:r>
    </w:p>
    <w:p>
      <w:pPr>
        <w:spacing w:after="0" w:line="117" w:lineRule="exact"/>
        <w:rPr>
          <w:rFonts w:ascii="Times New Roman" w:cs="Times New Roman" w:eastAsia="Times New Roman" w:hAnsi="Times New Roman"/>
          <w:sz w:val="18"/>
          <w:szCs w:val="18"/>
          <w:color w:val="auto"/>
        </w:rPr>
      </w:pPr>
    </w:p>
    <w:p>
      <w:pPr>
        <w:ind w:left="1040" w:right="460" w:hanging="385"/>
        <w:spacing w:after="0" w:line="282" w:lineRule="auto"/>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our employee or an employee of a designated subsidiary on the first day of the applicable offering period under the 2014 ESPP.</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employee may purchase shares of our common stock under the 2014 ESPP and any of our other employee stock purchase plans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 of the fair market value of our common stock (as of the date of the option grant) in any calendar year. In addition, no employee may purchase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under the 2014 ESPP that would result in the employee owning 5% or more of the total combined voting power or value of our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of any of our subsidiaries.</w:t>
      </w:r>
    </w:p>
    <w:p>
      <w:pPr>
        <w:spacing w:after="0" w:line="5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expect to make one or more offerings to our eligible employees to purchase stock under the 2014 ESPP beginning at such time as our board of directors may determine. Each offering will consist of a six-month offering period during which payroll deductions will be made and held for the purchase of our common stock at the end of the offering period. Our board of directors may, at its discretion, choose a different period of not more than 12 months for offerings.</w:t>
      </w:r>
    </w:p>
    <w:p>
      <w:pPr>
        <w:spacing w:after="0" w:line="3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On the commencement date of each offering period, each eligible employee may authorize up to a maximum of 15% of his or her compensation to be deducted by us during the offering period. Each employee who continues to be a participant in the 2014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2014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last business day of the offering period.</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 employee who is not a participant on the last day of the offering period is not entitled to purchase shares under the 2014 ESPP, and the employee’s accumulated payroll deductions will be refunded. An employee’s rights under the 2014 ESPP terminate upon voluntary withdrawal from an offering under the 2014 ESPP at any time, or when the employee ceases employment for any reason.</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will be required to make equitable adjustments to the number and class of securities available under the 2014 ESPP, the share limitations under the 2014 ESPP, and the purchase price for an offering period under the 2014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a merger or other reorganization event, as defined in the 2014 ESPP, our board of directors or a committee of our board of directors may take any one or more of the following actions as to outstanding options to purchase shares of our common stock under the 2014 ESPP on such terms as our board or committee determines:</w:t>
      </w:r>
    </w:p>
    <w:p>
      <w:pPr>
        <w:spacing w:after="0" w:line="68" w:lineRule="exact"/>
        <w:rPr>
          <w:sz w:val="20"/>
          <w:szCs w:val="20"/>
          <w:color w:val="auto"/>
        </w:rPr>
      </w:pPr>
    </w:p>
    <w:p>
      <w:pPr>
        <w:ind w:left="1040" w:right="20" w:hanging="385"/>
        <w:spacing w:after="0" w:line="282" w:lineRule="auto"/>
        <w:tabs>
          <w:tab w:leader="none" w:pos="10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options shall be assumed, or substantially equivalent options shall be substituted, by the acquiring or succeeding corporation (or an affiliate thereof);</w:t>
      </w:r>
    </w:p>
    <w:p>
      <w:pPr>
        <w:spacing w:after="0" w:line="53" w:lineRule="exact"/>
        <w:rPr>
          <w:rFonts w:ascii="Times New Roman" w:cs="Times New Roman" w:eastAsia="Times New Roman" w:hAnsi="Times New Roman"/>
          <w:sz w:val="18"/>
          <w:szCs w:val="18"/>
          <w:color w:val="auto"/>
        </w:rPr>
      </w:pPr>
    </w:p>
    <w:p>
      <w:pPr>
        <w:ind w:left="1040" w:right="500" w:hanging="385"/>
        <w:spacing w:after="0" w:line="282" w:lineRule="auto"/>
        <w:tabs>
          <w:tab w:leader="none" w:pos="10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00"/>
          </w:cols>
          <w:pgMar w:left="240" w:top="445" w:right="259" w:bottom="1440" w:gutter="0" w:footer="0" w:header="0"/>
        </w:sectPr>
      </w:pPr>
    </w:p>
    <w:bookmarkStart w:id="135" w:name="page136"/>
    <w:bookmarkEnd w:id="135"/>
    <w:p>
      <w:pPr>
        <w:ind w:left="1040" w:right="440"/>
        <w:spacing w:after="0" w:line="282" w:lineRule="auto"/>
        <w:rPr>
          <w:sz w:val="20"/>
          <w:szCs w:val="20"/>
          <w:color w:val="auto"/>
        </w:rPr>
      </w:pPr>
      <w:r>
        <w:rPr>
          <w:rFonts w:ascii="Times New Roman" w:cs="Times New Roman" w:eastAsia="Times New Roman" w:hAnsi="Times New Roman"/>
          <w:sz w:val="18"/>
          <w:szCs w:val="18"/>
          <w:color w:val="auto"/>
        </w:rPr>
        <w:t>accumulated payroll deductions as of a date specified by our board or committee in such notice, which date shall not be less than ten days preceding the effective date of the reorganization event;</w:t>
      </w:r>
    </w:p>
    <w:p>
      <w:pPr>
        <w:spacing w:after="0" w:line="54" w:lineRule="exact"/>
        <w:rPr>
          <w:sz w:val="20"/>
          <w:szCs w:val="20"/>
          <w:color w:val="auto"/>
        </w:rPr>
      </w:pPr>
    </w:p>
    <w:p>
      <w:pPr>
        <w:ind w:left="1040" w:right="860" w:hanging="385"/>
        <w:spacing w:after="0" w:line="282" w:lineRule="auto"/>
        <w:tabs>
          <w:tab w:leader="none" w:pos="10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53" w:lineRule="exact"/>
        <w:rPr>
          <w:rFonts w:ascii="Times New Roman" w:cs="Times New Roman" w:eastAsia="Times New Roman" w:hAnsi="Times New Roman"/>
          <w:sz w:val="18"/>
          <w:szCs w:val="18"/>
          <w:color w:val="auto"/>
        </w:rPr>
      </w:pPr>
    </w:p>
    <w:p>
      <w:pPr>
        <w:ind w:left="1040" w:hanging="385"/>
        <w:spacing w:after="0" w:line="255" w:lineRule="auto"/>
        <w:tabs>
          <w:tab w:leader="none" w:pos="10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acquisition price is treated as the fair market value of our common stock on the last day of the applicable offering period for purposes of determining the purchase price and where the number of shares that could be purchased is subject to the applicable limitations under the 2014 ESPP minus (2) the result of multiplying such number of shares by the purchase price; and/or</w:t>
      </w:r>
    </w:p>
    <w:p>
      <w:pPr>
        <w:spacing w:after="0" w:line="77" w:lineRule="exact"/>
        <w:rPr>
          <w:rFonts w:ascii="Times New Roman" w:cs="Times New Roman" w:eastAsia="Times New Roman" w:hAnsi="Times New Roman"/>
          <w:sz w:val="18"/>
          <w:szCs w:val="18"/>
          <w:color w:val="auto"/>
        </w:rPr>
      </w:pPr>
    </w:p>
    <w:p>
      <w:pPr>
        <w:ind w:left="1040" w:right="300" w:hanging="385"/>
        <w:spacing w:after="0" w:line="282" w:lineRule="auto"/>
        <w:tabs>
          <w:tab w:leader="none" w:pos="10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our liquidation or dissolution, options shall convert into the right to receive liquidation proceeds (net of the purchase price thereof).</w:t>
      </w:r>
    </w:p>
    <w:p>
      <w:pPr>
        <w:spacing w:after="0" w:line="16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board of directors may at any time, and from time to time, amend or suspend the 2014 ESPP or any portion thereof. We will obtain stockholder approval for any amendment if such approval is required by Section 423 of the Internal Revenue Code. Further, our board of directors may not make any amendment that would cause the 2014 ESPP to fail to comply with Section 423 of the Internal Revenue Code. The 2014 ESPP may be terminated at any time by our board of directors. Upon termination, we will refund all amounts in the accounts of participating employees.</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As of February 28, 2015, there were 701,250 shares of our common stock reserved for issuance under the 2014 ESPP and no shares have been issued under this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121" w:lineRule="exact"/>
        <w:rPr>
          <w:sz w:val="20"/>
          <w:szCs w:val="20"/>
          <w:color w:val="auto"/>
        </w:rPr>
      </w:pPr>
    </w:p>
    <w:p>
      <w:pPr>
        <w:ind w:right="100" w:firstLine="518"/>
        <w:spacing w:after="0" w:line="273" w:lineRule="auto"/>
        <w:rPr>
          <w:sz w:val="20"/>
          <w:szCs w:val="20"/>
          <w:color w:val="auto"/>
        </w:rPr>
      </w:pPr>
      <w:r>
        <w:rPr>
          <w:rFonts w:ascii="Times New Roman" w:cs="Times New Roman" w:eastAsia="Times New Roman" w:hAnsi="Times New Roman"/>
          <w:sz w:val="17"/>
          <w:szCs w:val="17"/>
          <w:color w:val="auto"/>
        </w:rPr>
        <w:t>We maintain a defined contribution employee retirement plan for our employees. Our 401(k) plan is intended to qualify as a tax-qualified plan under Section 401 of the Internal Revenue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which was $17,500 for 2013 and 2014. Participants who are at least 50 years old can also make “catch-up” contributions, which in 2013 and 2014 could be up to an additional $5,500 above the statutory limit. Under our 401(k) plan, each employee is fully vested in his or her deferred salary contributions. Employee contributions are held and invested by the plan’s trustee, subject to participants’ ability to give investment directions by following certain procedures. We match participant contributions up to 4% of a participant’s annual compensation, subject to statutory limits.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Director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during 2014.</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Cash ($)</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 L. Crane</w:t>
            </w:r>
          </w:p>
        </w:tc>
        <w:tc>
          <w:tcPr>
            <w:tcW w:w="2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A. Friedman, M.D.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51,693</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300,450</w:t>
            </w:r>
          </w:p>
        </w:tc>
        <w:tc>
          <w:tcPr>
            <w:tcW w:w="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352,143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 Hall, Ph.D.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L. Kelley, M.D.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 McKee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82,012</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Parkinson, M.D.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 Rastetter, Ph.D.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82,012</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 Sasisekharan, Ph.D.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shd w:val="clear" w:color="auto" w:fill="CFF0FC"/>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I. Tepper, M.D.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0"/>
                <w:szCs w:val="20"/>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__________</w:t>
      </w:r>
    </w:p>
    <w:p>
      <w:pPr>
        <w:spacing w:after="0" w:line="97" w:lineRule="exact"/>
        <w:rPr>
          <w:sz w:val="20"/>
          <w:szCs w:val="20"/>
          <w:color w:val="auto"/>
        </w:rPr>
      </w:pPr>
    </w:p>
    <w:p>
      <w:pPr>
        <w:ind w:left="540" w:right="60" w:hanging="532"/>
        <w:spacing w:after="0" w:line="28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“Option Awards” column reflects the aggregate fair value computed as of the grant date of the options awarded during the year computed in accordance with the provisions of FASB ASC Topic 718. See note 10 to our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80"/>
          </w:cols>
          <w:pgMar w:left="240" w:top="445" w:right="279" w:bottom="1440" w:gutter="0" w:footer="0" w:header="0"/>
        </w:sectPr>
      </w:pPr>
    </w:p>
    <w:bookmarkStart w:id="136" w:name="page137"/>
    <w:bookmarkEnd w:id="136"/>
    <w:p>
      <w:pPr>
        <w:ind w:left="540"/>
        <w:spacing w:after="0"/>
        <w:rPr>
          <w:sz w:val="20"/>
          <w:szCs w:val="20"/>
          <w:color w:val="auto"/>
        </w:rPr>
      </w:pPr>
      <w:r>
        <w:rPr>
          <w:rFonts w:ascii="Times New Roman" w:cs="Times New Roman" w:eastAsia="Times New Roman" w:hAnsi="Times New Roman"/>
          <w:sz w:val="18"/>
          <w:szCs w:val="18"/>
          <w:color w:val="auto"/>
        </w:rPr>
        <w:t>consolidated financial statements appearing at the end of this Annual Report on Form 10-K for assumptions underlying the valuation of equity awards.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Including these options, as of December 31, 2014:</w:t>
      </w:r>
    </w:p>
    <w:p>
      <w:pPr>
        <w:spacing w:after="0" w:line="9" w:lineRule="exact"/>
        <w:rPr>
          <w:sz w:val="20"/>
          <w:szCs w:val="20"/>
          <w:color w:val="auto"/>
        </w:rPr>
      </w:pPr>
    </w:p>
    <w:p>
      <w:pPr>
        <w:ind w:left="920" w:right="420" w:hanging="266"/>
        <w:spacing w:after="0" w:line="250" w:lineRule="auto"/>
        <w:tabs>
          <w:tab w:leader="none" w:pos="9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Crane held stock options to purchase 33,232 shares of common stock, which were vested with respect to 22,565 shares in the aggregate; Dr. Friedman held stock options to purchase 113,786 shares of common stock, all of which were unvested;</w:t>
      </w:r>
    </w:p>
    <w:p>
      <w:pPr>
        <w:ind w:left="920" w:right="2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Kelley held stock options to purchase 15,000 shares of common stock, all of which were unvested; Mr. McKee held stock options to purchase 13,786 shares of common stock, all of which were unvested; Dr. Parkinson held stock options to purchase 15,000 shares of common stock, all of which were unvested; Dr. Rastetter held stock options to purchase 13,786 shares of common stock, all of which were unvested; and</w:t>
      </w:r>
    </w:p>
    <w:p>
      <w:pPr>
        <w:spacing w:after="0" w:line="1" w:lineRule="exact"/>
        <w:rPr>
          <w:rFonts w:ascii="Times New Roman" w:cs="Times New Roman" w:eastAsia="Times New Roman" w:hAnsi="Times New Roman"/>
          <w:sz w:val="18"/>
          <w:szCs w:val="18"/>
          <w:color w:val="auto"/>
        </w:rPr>
      </w:pPr>
    </w:p>
    <w:p>
      <w:pPr>
        <w:ind w:left="920" w:hanging="266"/>
        <w:spacing w:after="0"/>
        <w:tabs>
          <w:tab w:leader="none" w:pos="9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Tepper held stock options to purchase 3,447 shares of common stock, all of which were fully vested.</w:t>
      </w:r>
    </w:p>
    <w:p>
      <w:pPr>
        <w:spacing w:after="0" w:line="9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Crane served as Chairman of our Board until Dr. Friedman’s appointment as Executive Chair in October 2014.</w:t>
      </w:r>
    </w:p>
    <w:p>
      <w:pPr>
        <w:spacing w:after="0" w:line="117" w:lineRule="exact"/>
        <w:rPr>
          <w:rFonts w:ascii="Times New Roman" w:cs="Times New Roman" w:eastAsia="Times New Roman" w:hAnsi="Times New Roman"/>
          <w:sz w:val="18"/>
          <w:szCs w:val="18"/>
          <w:color w:val="auto"/>
        </w:rPr>
      </w:pPr>
    </w:p>
    <w:p>
      <w:pPr>
        <w:ind w:left="520" w:hanging="488"/>
        <w:spacing w:after="0" w:line="266" w:lineRule="auto"/>
        <w:tabs>
          <w:tab w:leader="none" w:pos="41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granted an option to Mr. Crane in recognition of his services to us other than in his role as a director. In July 2014, this option was modified to reduce the number of shares to a total of 16,000 shares and to modify the vesting to time-based vesting beginning in March 2013 through March 2016. The amount of the incremental fair value of the amended option, computed in accordance with FASB ASC Topic 718, was $213.</w:t>
      </w:r>
    </w:p>
    <w:p>
      <w:pPr>
        <w:spacing w:after="0" w:line="68" w:lineRule="exact"/>
        <w:rPr>
          <w:sz w:val="20"/>
          <w:szCs w:val="20"/>
          <w:color w:val="auto"/>
        </w:rPr>
      </w:pPr>
    </w:p>
    <w:p>
      <w:pPr>
        <w:ind w:left="540" w:right="360" w:hanging="532"/>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in connection with his appointment as Executive Chair of the board of the directors, we granted Dr. Friedman option to purchase 100,000 shares with an exercise price of $4.36 per share. The option will fully vest on the first anniversary of the grant date. Dr. Friedman also receives an annual cash retainer of $155,000 for his service as our Executive Chairman.</w:t>
      </w:r>
    </w:p>
    <w:p>
      <w:pPr>
        <w:spacing w:after="0" w:line="68" w:lineRule="exact"/>
        <w:rPr>
          <w:rFonts w:ascii="Times New Roman" w:cs="Times New Roman" w:eastAsia="Times New Roman" w:hAnsi="Times New Roman"/>
          <w:sz w:val="18"/>
          <w:szCs w:val="18"/>
          <w:color w:val="auto"/>
        </w:rPr>
      </w:pPr>
    </w:p>
    <w:p>
      <w:pPr>
        <w:ind w:left="540" w:right="160" w:hanging="532"/>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2014, in connection with their election to our board, we granted each of Dr. Friedman, Mr. McKee and Dr. Rastetter an option to purchase 13,786 shares of our common stock. The options each have an exercise price of $10.59 and vest in three equal annual installments beginning on the first anniversary of such director’s election.</w:t>
      </w:r>
    </w:p>
    <w:p>
      <w:pPr>
        <w:spacing w:after="0" w:line="68" w:lineRule="exact"/>
        <w:rPr>
          <w:rFonts w:ascii="Times New Roman" w:cs="Times New Roman" w:eastAsia="Times New Roman" w:hAnsi="Times New Roman"/>
          <w:sz w:val="18"/>
          <w:szCs w:val="18"/>
          <w:color w:val="auto"/>
        </w:rPr>
      </w:pPr>
    </w:p>
    <w:p>
      <w:pPr>
        <w:ind w:left="540" w:right="220" w:hanging="532"/>
        <w:spacing w:after="0" w:line="313" w:lineRule="auto"/>
        <w:tabs>
          <w:tab w:leader="none" w:pos="5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2014, in connection with her election to our board, we granted Dr. Kelley an option to purchase 15,000 shares of our common stock with an exercise price of $4.74 per share. The option vests in three equal annual installments beginning on the first anniversary of Dr. Kelley’s election.</w:t>
      </w:r>
    </w:p>
    <w:p>
      <w:pPr>
        <w:spacing w:after="0" w:line="30" w:lineRule="exact"/>
        <w:rPr>
          <w:rFonts w:ascii="Times New Roman" w:cs="Times New Roman" w:eastAsia="Times New Roman" w:hAnsi="Times New Roman"/>
          <w:sz w:val="17"/>
          <w:szCs w:val="17"/>
          <w:color w:val="auto"/>
        </w:rPr>
      </w:pPr>
    </w:p>
    <w:p>
      <w:pPr>
        <w:jc w:val="both"/>
        <w:ind w:left="540" w:right="360" w:hanging="532"/>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in connection with his election to our board, we granted Dr. Parkinson an option to purchase 15,000 shares of our common stock with an exercise price of $4.36 per share. The option vests in three equal annual installments beginning on the first anniversary of Dr. Parkinson’s election.</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Prior to his resignation in October 2014, Dr. Fetzer, one of our directors who also served as our President and Chief Executive Officer, did not receive any additional compensation for his service as a director.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has established the following compensation policy for non-employee directors, which became effective upon the closing of our IPO:</w:t>
      </w:r>
    </w:p>
    <w:p>
      <w:pPr>
        <w:spacing w:after="0" w:line="77" w:lineRule="exact"/>
        <w:rPr>
          <w:sz w:val="20"/>
          <w:szCs w:val="20"/>
          <w:color w:val="auto"/>
        </w:rPr>
      </w:pPr>
    </w:p>
    <w:p>
      <w:pPr>
        <w:ind w:left="1020" w:hanging="358"/>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will receive, on an annual basis, a cash retainer of $30,000;</w:t>
      </w:r>
    </w:p>
    <w:p>
      <w:pPr>
        <w:spacing w:after="0" w:line="144" w:lineRule="exact"/>
        <w:rPr>
          <w:rFonts w:ascii="Times New Roman" w:cs="Times New Roman" w:eastAsia="Times New Roman" w:hAnsi="Times New Roman"/>
          <w:sz w:val="18"/>
          <w:szCs w:val="18"/>
          <w:color w:val="auto"/>
        </w:rPr>
      </w:pPr>
    </w:p>
    <w:p>
      <w:pPr>
        <w:ind w:left="1020" w:right="20" w:hanging="358"/>
        <w:spacing w:after="0" w:line="261"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has then served on our board of directors for at least six months will receive, on the date of the first board meeting held after each year’s annual meeting of stockholders, an option to purchase 8,000 shares of our common stock, which shall vest in full on the earlier of the first anniversary of the date of grant or immediately prior to the first annual meeting of stockholders occurring after the date of grant;</w:t>
      </w:r>
    </w:p>
    <w:p>
      <w:pPr>
        <w:spacing w:after="0" w:line="31"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our board of directors will receive an additional cash retainer of $30,000;</w:t>
      </w:r>
    </w:p>
    <w:p>
      <w:pPr>
        <w:spacing w:after="0" w:line="76" w:lineRule="exact"/>
        <w:rPr>
          <w:rFonts w:ascii="Times New Roman" w:cs="Times New Roman" w:eastAsia="Times New Roman" w:hAnsi="Times New Roman"/>
          <w:sz w:val="18"/>
          <w:szCs w:val="18"/>
          <w:color w:val="auto"/>
        </w:rPr>
      </w:pPr>
    </w:p>
    <w:p>
      <w:pPr>
        <w:ind w:left="1020" w:hanging="358"/>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serves on the audit committee will receive a cash retainer of $7,500 per year ($15,000 for the chair);</w:t>
      </w:r>
    </w:p>
    <w:p>
      <w:pPr>
        <w:spacing w:after="0" w:line="76" w:lineRule="exact"/>
        <w:rPr>
          <w:rFonts w:ascii="Times New Roman" w:cs="Times New Roman" w:eastAsia="Times New Roman" w:hAnsi="Times New Roman"/>
          <w:sz w:val="18"/>
          <w:szCs w:val="18"/>
          <w:color w:val="auto"/>
        </w:rPr>
      </w:pPr>
    </w:p>
    <w:p>
      <w:pPr>
        <w:jc w:val="both"/>
        <w:ind w:left="1020" w:right="80" w:hanging="358"/>
        <w:spacing w:after="0" w:line="328"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serves on the compensation committee will receive a cash retainer of $5,000 per year ($10,000 for the chair); each non-employee director who serves on the clinical advisory committee will receive a cash retainer of $1,875 per year ($3,750 for the chair)</w:t>
      </w:r>
    </w:p>
    <w:p>
      <w:pPr>
        <w:spacing w:after="0" w:line="1" w:lineRule="exact"/>
        <w:rPr>
          <w:rFonts w:ascii="Times New Roman" w:cs="Times New Roman" w:eastAsia="Times New Roman" w:hAnsi="Times New Roman"/>
          <w:sz w:val="18"/>
          <w:szCs w:val="18"/>
          <w:color w:val="auto"/>
        </w:rPr>
      </w:pPr>
    </w:p>
    <w:p>
      <w:pPr>
        <w:ind w:left="1020" w:right="160" w:hanging="358"/>
        <w:spacing w:after="0" w:line="282"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serves on the nominating and corporate governance committee will receive a cash retainer of $3,500 ($7,000 for the chair); and</w:t>
      </w:r>
    </w:p>
    <w:p>
      <w:pPr>
        <w:spacing w:after="0" w:line="53" w:lineRule="exact"/>
        <w:rPr>
          <w:rFonts w:ascii="Times New Roman" w:cs="Times New Roman" w:eastAsia="Times New Roman" w:hAnsi="Times New Roman"/>
          <w:sz w:val="18"/>
          <w:szCs w:val="18"/>
          <w:color w:val="auto"/>
        </w:rPr>
      </w:pPr>
    </w:p>
    <w:p>
      <w:pPr>
        <w:ind w:left="1040" w:right="20" w:hanging="385"/>
        <w:spacing w:after="0" w:line="282" w:lineRule="auto"/>
        <w:tabs>
          <w:tab w:leader="none" w:pos="1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elected to the board following the closing of our IPO will receive a one-time award of an option to purchase 15,000 shares of our common stock, which option shall vest in three equal annual installments.</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In addition, we will continue to reimburse our non-employee directors for reasonable travel and other expenses incurred in connection with attending board of director and committee meetings.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jc w:val="both"/>
        <w:ind w:right="480" w:firstLine="518"/>
        <w:spacing w:after="0" w:line="266" w:lineRule="auto"/>
        <w:rPr>
          <w:sz w:val="20"/>
          <w:szCs w:val="20"/>
          <w:color w:val="auto"/>
        </w:rPr>
      </w:pPr>
      <w:r>
        <w:rPr>
          <w:rFonts w:ascii="Times New Roman" w:cs="Times New Roman" w:eastAsia="Times New Roman" w:hAnsi="Times New Roman"/>
          <w:sz w:val="18"/>
          <w:szCs w:val="18"/>
          <w:color w:val="auto"/>
        </w:rPr>
        <w:t>As permitted by Delaware law, we have adopted provisions in our certificate of incorporation that limit or eliminate the personal liability of our directors. Our certificate of incorporation limits the liability of directors to the maximum extent permitted by Delaware law. Delaware law provides that directors of a corporation will not be personally liable for monetary damages for breaches of their fiduciary duties as directors, except liability for:</w:t>
      </w:r>
    </w:p>
    <w:p>
      <w:pPr>
        <w:spacing w:after="0" w:line="68" w:lineRule="exact"/>
        <w:rPr>
          <w:sz w:val="20"/>
          <w:szCs w:val="20"/>
          <w:color w:val="auto"/>
        </w:rPr>
      </w:pPr>
    </w:p>
    <w:p>
      <w:pPr>
        <w:ind w:left="1040" w:hanging="38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17" w:lineRule="exact"/>
        <w:rPr>
          <w:rFonts w:ascii="Times New Roman" w:cs="Times New Roman" w:eastAsia="Times New Roman" w:hAnsi="Times New Roman"/>
          <w:sz w:val="18"/>
          <w:szCs w:val="18"/>
          <w:color w:val="auto"/>
        </w:rPr>
      </w:pPr>
    </w:p>
    <w:p>
      <w:pPr>
        <w:ind w:left="1040" w:hanging="38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liabilities arising under federal securities laws and do not affect the availability of equitable remedies, including injunctive relief or rescission. If Delaware law is amended to authorize the further elimination or limiting of a director, then the liability of our directors will be eliminated or limited to the fullest extent permitted by Delaware law as so amended.</w:t>
      </w:r>
    </w:p>
    <w:p>
      <w:pPr>
        <w:spacing w:after="0" w:line="68" w:lineRule="exact"/>
        <w:rPr>
          <w:sz w:val="20"/>
          <w:szCs w:val="20"/>
          <w:color w:val="auto"/>
        </w:rPr>
      </w:pPr>
    </w:p>
    <w:p>
      <w:pPr>
        <w:ind w:left="1040" w:hanging="385"/>
        <w:spacing w:after="0"/>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to the fullest extent permitted by law;</w:t>
      </w:r>
    </w:p>
    <w:p>
      <w:pPr>
        <w:spacing w:after="0" w:line="117" w:lineRule="exact"/>
        <w:rPr>
          <w:rFonts w:ascii="Times New Roman" w:cs="Times New Roman" w:eastAsia="Times New Roman" w:hAnsi="Times New Roman"/>
          <w:sz w:val="18"/>
          <w:szCs w:val="18"/>
          <w:color w:val="auto"/>
        </w:rPr>
      </w:pPr>
    </w:p>
    <w:p>
      <w:pPr>
        <w:ind w:left="1040" w:right="460" w:hanging="385"/>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other employees and other agents to the same extent that we indemnify our officers and directors, unless otherwise determined by our board of directors; and</w:t>
      </w:r>
    </w:p>
    <w:p>
      <w:pPr>
        <w:spacing w:after="0" w:line="53" w:lineRule="exact"/>
        <w:rPr>
          <w:rFonts w:ascii="Times New Roman" w:cs="Times New Roman" w:eastAsia="Times New Roman" w:hAnsi="Times New Roman"/>
          <w:sz w:val="18"/>
          <w:szCs w:val="18"/>
          <w:color w:val="auto"/>
        </w:rPr>
      </w:pPr>
    </w:p>
    <w:p>
      <w:pPr>
        <w:ind w:left="1040" w:right="100" w:hanging="385"/>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expenses to our directors and officers in connection with legal proceedings in connection with a legal proceeding to the fullest extent permitted by law.</w:t>
      </w:r>
    </w:p>
    <w:p>
      <w:pPr>
        <w:spacing w:after="0" w:line="162"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indemnification provisions contained in our certificate of incorporation are not exclusive. In addition, we have entered into indemnification agreements with our directors and executive officers. These indemnification agreements require us, among other things, to indemnify each such director and executive officer for some expenses, including attorneys’ fees, judgments, fines and settlement amounts incurred by him or her in any action or proceeding arising out of his or her service as one of our directors or executive officers.</w:t>
      </w:r>
    </w:p>
    <w:p>
      <w:pPr>
        <w:spacing w:after="0" w:line="180"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We believe that these provisions and agreements are necessary to attract and retain qualified persons as directors and officers. Insofar as indemnification for liabilities arising under the Securities Act of 1933, which we refer to as the Securities Act, may be permitted to directors, officers or persons controlling our company pursuant to the foregoing provisions, we understand that in the opinion of the SEC such indemnification is against public policy as expressed in the Securities Act and is therefore unenforceable.</w:t>
      </w:r>
    </w:p>
    <w:p>
      <w:pPr>
        <w:spacing w:after="0" w:line="7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addition, we maintain standard policies of insurance under which coverage is provided to our directors and officers against losses arising from claims made by reason of breach of duty or other wrongful act, and to us with respect to payments which may be made by us to such directors and officers pursuant to the above indemnification provisions or otherwise as a matter of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serves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February 28, 2015:</w:t>
      </w:r>
    </w:p>
    <w:p>
      <w:pPr>
        <w:spacing w:after="0" w:line="117" w:lineRule="exact"/>
        <w:rPr>
          <w:sz w:val="20"/>
          <w:szCs w:val="20"/>
          <w:color w:val="auto"/>
        </w:rPr>
      </w:pPr>
    </w:p>
    <w:p>
      <w:pPr>
        <w:ind w:left="760" w:hanging="372"/>
        <w:spacing w:after="0"/>
        <w:tabs>
          <w:tab w:leader="none" w:pos="760"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each </w:t>
      </w:r>
      <w:r>
        <w:rPr>
          <w:rFonts w:ascii="Times New Roman" w:cs="Times New Roman" w:eastAsia="Times New Roman" w:hAnsi="Times New Roman"/>
          <w:sz w:val="18"/>
          <w:szCs w:val="18"/>
          <w:color w:val="231F20"/>
        </w:rPr>
        <w:t>person, or group of affiliated persons, who is known by us to beneficially own more than 5% of our common stock;</w:t>
      </w:r>
    </w:p>
    <w:p>
      <w:pPr>
        <w:spacing w:after="0" w:line="252" w:lineRule="exact"/>
        <w:rPr>
          <w:rFonts w:ascii="Times New Roman" w:cs="Times New Roman" w:eastAsia="Times New Roman" w:hAnsi="Times New Roman"/>
          <w:sz w:val="18"/>
          <w:szCs w:val="18"/>
          <w:color w:val="231F20"/>
        </w:rPr>
      </w:pPr>
    </w:p>
    <w:p>
      <w:pPr>
        <w:ind w:left="760" w:hanging="372"/>
        <w:spacing w:after="0"/>
        <w:tabs>
          <w:tab w:leader="none" w:pos="760"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of our directors;</w:t>
      </w:r>
    </w:p>
    <w:p>
      <w:pPr>
        <w:spacing w:after="0" w:line="252" w:lineRule="exact"/>
        <w:rPr>
          <w:rFonts w:ascii="Times New Roman" w:cs="Times New Roman" w:eastAsia="Times New Roman" w:hAnsi="Times New Roman"/>
          <w:sz w:val="18"/>
          <w:szCs w:val="18"/>
          <w:color w:val="231F20"/>
        </w:rPr>
      </w:pPr>
    </w:p>
    <w:p>
      <w:pPr>
        <w:ind w:left="760" w:hanging="372"/>
        <w:spacing w:after="0"/>
        <w:tabs>
          <w:tab w:leader="none" w:pos="760"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of our named executive officers; and</w:t>
      </w:r>
    </w:p>
    <w:p>
      <w:pPr>
        <w:spacing w:after="0" w:line="252" w:lineRule="exact"/>
        <w:rPr>
          <w:rFonts w:ascii="Times New Roman" w:cs="Times New Roman" w:eastAsia="Times New Roman" w:hAnsi="Times New Roman"/>
          <w:sz w:val="18"/>
          <w:szCs w:val="18"/>
          <w:color w:val="231F20"/>
        </w:rPr>
      </w:pPr>
    </w:p>
    <w:p>
      <w:pPr>
        <w:ind w:left="760" w:hanging="372"/>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of our current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657" w:right="239" w:bottom="1440" w:gutter="0" w:footer="0" w:header="0"/>
        </w:sectPr>
      </w:pPr>
    </w:p>
    <w:bookmarkStart w:id="138" w:name="page139"/>
    <w:bookmarkEnd w:id="138"/>
    <w:p>
      <w:pPr>
        <w:ind w:right="120" w:firstLine="549"/>
        <w:spacing w:after="0" w:line="255" w:lineRule="auto"/>
        <w:rPr>
          <w:sz w:val="20"/>
          <w:szCs w:val="20"/>
          <w:color w:val="auto"/>
        </w:rPr>
      </w:pPr>
      <w:r>
        <w:rPr>
          <w:rFonts w:ascii="Times New Roman" w:cs="Times New Roman" w:eastAsia="Times New Roman" w:hAnsi="Times New Roman"/>
          <w:sz w:val="18"/>
          <w:szCs w:val="18"/>
          <w:color w:val="231F20"/>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of February 28, 2015 are considered outstanding and beneficially owned by the person holding the options or warrants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Cerulean Pharma Inc., 840 Memorial Drive, Cambridge, Massachusetts 02139.</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percentage ownership calculations for beneficial ownership are based on 20,369,683 shares of common stock outstanding as of February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Percentage of shares</w:t>
            </w:r>
          </w:p>
        </w:tc>
        <w:tc>
          <w:tcPr>
            <w:tcW w:w="0" w:type="dxa"/>
            <w:vAlign w:val="bottom"/>
          </w:tcPr>
          <w:p>
            <w:pPr>
              <w:spacing w:after="0"/>
              <w:rPr>
                <w:sz w:val="1"/>
                <w:szCs w:val="1"/>
                <w:color w:val="auto"/>
              </w:rPr>
            </w:pPr>
          </w:p>
        </w:tc>
      </w:tr>
      <w:tr>
        <w:trPr>
          <w:trHeight w:val="215"/>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Polaris Partners (1)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4,724,968</w:t>
            </w: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Venrock (2)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3,034,038</w:t>
            </w:r>
          </w:p>
        </w:tc>
        <w:tc>
          <w:tcPr>
            <w:tcW w:w="3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 (3)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2,431,400</w:t>
            </w: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Lilly Ventures (4)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2,356,227</w:t>
            </w:r>
          </w:p>
        </w:tc>
        <w:tc>
          <w:tcPr>
            <w:tcW w:w="3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Crown Ventures (5)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2,259,244</w:t>
            </w: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T. Guiffre, J.D. (6)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Garmey, M.D. (7)</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74,005</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 Roberts (8)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58,815</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A. Friedman, M.D. (9)</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L. Crane (10)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4,830,069</w:t>
            </w:r>
          </w:p>
        </w:tc>
        <w:tc>
          <w:tcPr>
            <w:tcW w:w="3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E. Hall, Ph.D. (11)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2,356,227</w:t>
            </w: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L. Kelley, M.D.</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T. McKee (12)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Parkinson, M.D.</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H. Rastetter, Ph.D. (13)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65,281</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 Sasisekharan, Ph.D.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82,715</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I. Tepper, M.D. (14)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7,574,632</w:t>
            </w:r>
          </w:p>
        </w:tc>
        <w:tc>
          <w:tcPr>
            <w:tcW w:w="300" w:type="dxa"/>
            <w:vAlign w:val="bottom"/>
          </w:tcPr>
          <w:p>
            <w:pPr>
              <w:spacing w:after="0"/>
              <w:rPr>
                <w:sz w:val="20"/>
                <w:szCs w:val="20"/>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20" w:hanging="212"/>
        <w:spacing w:after="0"/>
        <w:tabs>
          <w:tab w:leader="none" w:pos="22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beneficial ownership of less than one percent of our outstanding common stock.</w:t>
      </w:r>
    </w:p>
    <w:p>
      <w:pPr>
        <w:spacing w:after="0" w:line="27" w:lineRule="exact"/>
        <w:rPr>
          <w:rFonts w:ascii="Times New Roman" w:cs="Times New Roman" w:eastAsia="Times New Roman" w:hAnsi="Times New Roman"/>
          <w:sz w:val="18"/>
          <w:szCs w:val="18"/>
          <w:color w:val="231F20"/>
        </w:rPr>
      </w:pPr>
    </w:p>
    <w:p>
      <w:pPr>
        <w:ind w:left="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__________</w:t>
      </w:r>
    </w:p>
    <w:p>
      <w:pPr>
        <w:spacing w:after="0" w:line="342" w:lineRule="exact"/>
        <w:rPr>
          <w:sz w:val="20"/>
          <w:szCs w:val="20"/>
          <w:color w:val="auto"/>
        </w:rPr>
      </w:pPr>
    </w:p>
    <w:p>
      <w:pPr>
        <w:ind w:left="540" w:hanging="532"/>
        <w:spacing w:after="0" w:line="252"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1,405,750 shares of common stock held by Polaris Venture Partners IV, LP (“Polaris IV”), (b) 26,351 shares of common stock held by Polaris Ventures Partners Entrepreneurs’ Fund IV, LP (“Polaris EFund IV”), (c) 3,148,044 shares of common stock held by Polaris Venture Partners V, LP (“Polaris V”), (d) 61,353 shares of common stock held by Polaris Venture Partners Entrepreneurs’ Fund V, LP (“Polaris EFund V”), (e) 21,562 shares of common stock held by Polaris Ventures Partners Founders’ Fund V, LP (“Polaris FFund V”), (f) 31,478 shares of common stock held by Polaris Venture Partners Special Founders’ Fund V, LP (“Polaris SFFund V” and together with Polaris IV, Polaris EFund IV, Polaris V, Polaris EFund V and Polaris FFund V, the “Polaris Funds”) and (g) 5,242, 98, 24,213, 471, 165 and 241 shares of common stock issuable upon the exercise of warrants held by Polaris IV, Polaris EFund IV, Polaris V, Polaris EFund V, Polaris FFund V and Polaris SFFund V. Each of the Polaris Funds has the sole voting and investment power with respect to the shares directly held by it. The general partner of each of Polaris IV and Polaris EFund IV is Polaris Venture Management Co. IV, LLC (“Polaris Management IV”). The general partner of each of Polaris V, Polaris EFund V, Polaris FFund V and Polaris SFFund V is Polaris Venture Management Co. V, LLC (“Polaris Management V”). Each of Polaris Management IV and Polaris Management V may be deemed to have sole voting and investment power with respect to the shares held by the Polaris Funds of which they are general partner, and each of Polaris Management IV and Polaris Management V disclaim beneficial ownership of all the shares held by such Polaris Funds except to the extent of their proportionate pecuniary interests therein. North Star Venture Management 2000, LLC (“North Star”) directly or indirectly provides investment advisory services to various venture capital funds, including the Polaris Funds. The members of North Star (the “Management Members”) are also members of Polaris Management IV and</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80"/>
          </w:cols>
          <w:pgMar w:left="240" w:top="337" w:right="279" w:bottom="1440" w:gutter="0" w:footer="0" w:header="0"/>
        </w:sectPr>
      </w:pPr>
    </w:p>
    <w:bookmarkStart w:id="139" w:name="page140"/>
    <w:bookmarkEnd w:id="139"/>
    <w:p>
      <w:pPr>
        <w:ind w:left="532"/>
        <w:spacing w:after="0" w:line="256" w:lineRule="auto"/>
        <w:rPr>
          <w:sz w:val="20"/>
          <w:szCs w:val="20"/>
          <w:color w:val="auto"/>
        </w:rPr>
      </w:pPr>
      <w:r>
        <w:rPr>
          <w:rFonts w:ascii="Times New Roman" w:cs="Times New Roman" w:eastAsia="Times New Roman" w:hAnsi="Times New Roman"/>
          <w:sz w:val="18"/>
          <w:szCs w:val="18"/>
          <w:color w:val="auto"/>
        </w:rPr>
        <w:t>Polaris Management V, and as such, they may be deemed to share voting and investment power over the shares held by the Polaris Funds. The Management Members disclaim beneficial ownership of such shares, except to the extent of their proportionate pecuniary interest therein. Alan Crane, one of our directors, has an assignee interest in Polaris Management IV and Polaris Management V. To the extent that he is deemed to share voting and investment powers with respect to the shares held by the Polaris Funds, Mr. Crane disclaims beneficial ownership of all the shares held by the Polaris Funds except to the extent of his proportionate pecuniary interest therein. The mailing address of the beneficial owner is c/o Polaris Venture Partners, 1000 Winter Street, Suite 3350, Waltham, MA 02451.</w:t>
      </w:r>
    </w:p>
    <w:p>
      <w:pPr>
        <w:spacing w:after="0" w:line="80" w:lineRule="exact"/>
        <w:rPr>
          <w:sz w:val="20"/>
          <w:szCs w:val="20"/>
          <w:color w:val="auto"/>
        </w:rPr>
      </w:pPr>
    </w:p>
    <w:p>
      <w:pPr>
        <w:ind w:left="532" w:hanging="532"/>
        <w:spacing w:after="0" w:line="255"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2,720,455 shares of common stock held by Venrock Associates V, LP (“VA5”), (b) 230,647 shares of common stock held by Venrock Partners V, LP (“VP5”), (c) 63,915 shares of common stock held by Venrock Entrepreneurs V, LP (“VE5” and collectively with VA5 and VP5, the “Venrock Funds”) and (d) 17,164, 1,454 and 403 shares of common stock issuable upon the exercise of warrants held by VA5, VP5 and VE5, respectively. Venrock Management V, LLC (“VM5”), Venrock Partners Management V, LLC (“VPM5”) and VEF Management V, LLC (“VEFM5”) are the sole general partners of VA5, VP5 and VEF5, respectively, and may be deemed to own the shares held by the Venrock Funds. VM5, VPM5 and VEFM5 disclaim beneficial ownership of all the shares held by the Venrock Funds except to the extent of their proportionate pecuniary interest therein. The mailing address of the beneficial owner is 3340 Hillview Ave., Palo Alto, CA 94304.</w:t>
      </w:r>
    </w:p>
    <w:p>
      <w:pPr>
        <w:spacing w:after="0" w:line="81" w:lineRule="exact"/>
        <w:rPr>
          <w:rFonts w:ascii="Times New Roman" w:cs="Times New Roman" w:eastAsia="Times New Roman" w:hAnsi="Times New Roman"/>
          <w:sz w:val="18"/>
          <w:szCs w:val="18"/>
          <w:color w:val="auto"/>
        </w:rPr>
      </w:pPr>
    </w:p>
    <w:p>
      <w:pPr>
        <w:ind w:left="532" w:hanging="532"/>
        <w:spacing w:after="0" w:line="252"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supplied by FMR LLC on Schedule 13G filed with the SEC on May 12, 2014. Fidelity SelectCo, LLC (“SelectCo”), 1225 17th Street, Suite 1100, Denver, Colorado 80202, a wholly-owned subsidiary of FMR LLC and an investment adviser registered under Section 203 of the Investment Advisers Act of 1940, is the beneficial owner of 2,431,400 shares of our common stock as a result of acting as investment adviser to various investment companies registered under Section 8 of the Investment Company Act of 1940 (the “SelectCo Funds”). Edward C. Johnson 3d and FMR LLC, through its control of SelectCo, and the SelectCo Funds each has sole power to dispose of the 2,431,400 shares owned by the SelectCo Funds. The ownership of one investment company, Select Biotechnology Portfolio, amounted to 1,901,400 shares or 10.000% of the Common Stock outstanding. Select Biotechnology Portfolio has its principal business office at 245 Summer Street, Boston, Massachusetts 02210.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89" w:lineRule="exact"/>
        <w:rPr>
          <w:rFonts w:ascii="Times New Roman" w:cs="Times New Roman" w:eastAsia="Times New Roman" w:hAnsi="Times New Roman"/>
          <w:sz w:val="18"/>
          <w:szCs w:val="18"/>
          <w:color w:val="auto"/>
        </w:rPr>
      </w:pPr>
    </w:p>
    <w:p>
      <w:pPr>
        <w:ind w:left="532" w:right="200" w:hanging="532"/>
        <w:spacing w:after="0" w:line="266"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E. Hall is a general partner at Lilly Ventures Fund I LLC and has shared voting and shared investment power over such shares, and may be deemed the indirect beneficial owner of such shares. Dr. Hall disclaims beneficial ownership over such shares, except to the extent of any pecuniary interest therein. The mailing address of the beneficial owner is 115 W. Washington Street, Suite 1680-South, Indianapolis, IN 46204.</w:t>
      </w:r>
    </w:p>
    <w:p>
      <w:pPr>
        <w:spacing w:after="0" w:line="68" w:lineRule="exact"/>
        <w:rPr>
          <w:rFonts w:ascii="Times New Roman" w:cs="Times New Roman" w:eastAsia="Times New Roman" w:hAnsi="Times New Roman"/>
          <w:sz w:val="18"/>
          <w:szCs w:val="18"/>
          <w:color w:val="auto"/>
        </w:rPr>
      </w:pPr>
    </w:p>
    <w:p>
      <w:pPr>
        <w:ind w:left="532" w:right="20" w:hanging="532"/>
        <w:spacing w:after="0" w:line="266"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H. Robb, manager of CVF, LLC, exercises voting and investment power with respect to shares held by CVF, LLC. Mr. Robb disclaims beneficial ownership of all shares held by CVF, LLC except to the extent of his pecuniary interest therein. The mailing address of the beneficial owner is 222 N. LaSalle Street, Suite 2000, Chicago, IL 60601.</w:t>
      </w:r>
    </w:p>
    <w:p>
      <w:pPr>
        <w:spacing w:after="0" w:line="68"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the exercise of options exercisable within 60 days after February 28, 2015.</w:t>
      </w:r>
    </w:p>
    <w:p>
      <w:pPr>
        <w:spacing w:after="0" w:line="117" w:lineRule="exact"/>
        <w:rPr>
          <w:rFonts w:ascii="Times New Roman" w:cs="Times New Roman" w:eastAsia="Times New Roman" w:hAnsi="Times New Roman"/>
          <w:sz w:val="18"/>
          <w:szCs w:val="18"/>
          <w:color w:val="auto"/>
        </w:rPr>
      </w:pPr>
    </w:p>
    <w:p>
      <w:pPr>
        <w:ind w:left="532" w:right="40" w:hanging="532"/>
        <w:spacing w:after="0" w:line="282"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6,892 shares of common stock and (b) 67,113 shares of common stock issuable upon the exercise of options exercisable within 60 days after February 28, 2015.</w:t>
      </w:r>
    </w:p>
    <w:p>
      <w:pPr>
        <w:spacing w:after="0" w:line="5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the exercise of options exercisable within 60 days after February 28, 2015.</w:t>
      </w:r>
    </w:p>
    <w:p>
      <w:pPr>
        <w:spacing w:after="0" w:line="11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the exercise of options exercisable within 60 days after February 28, 2015.</w:t>
      </w:r>
    </w:p>
    <w:p>
      <w:pPr>
        <w:spacing w:after="0" w:line="117" w:lineRule="exact"/>
        <w:rPr>
          <w:rFonts w:ascii="Times New Roman" w:cs="Times New Roman" w:eastAsia="Times New Roman" w:hAnsi="Times New Roman"/>
          <w:sz w:val="18"/>
          <w:szCs w:val="18"/>
          <w:color w:val="auto"/>
        </w:rPr>
      </w:pPr>
    </w:p>
    <w:p>
      <w:pPr>
        <w:ind w:left="532" w:right="240" w:hanging="532"/>
        <w:spacing w:after="0" w:line="282"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the shares described in note (1) above, (b) 77,201 shares of common stock and (c) 27,898 shares of common stock issuable upon the exercise of options exercisable within 60 days after February 28, 2015.</w:t>
      </w:r>
    </w:p>
    <w:p>
      <w:pPr>
        <w:spacing w:after="0" w:line="53" w:lineRule="exact"/>
        <w:rPr>
          <w:rFonts w:ascii="Times New Roman" w:cs="Times New Roman" w:eastAsia="Times New Roman" w:hAnsi="Times New Roman"/>
          <w:sz w:val="18"/>
          <w:szCs w:val="18"/>
          <w:color w:val="auto"/>
        </w:rPr>
      </w:pPr>
    </w:p>
    <w:p>
      <w:pPr>
        <w:ind w:left="532" w:right="340" w:hanging="532"/>
        <w:spacing w:after="0" w:line="266"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the shares described in note (4) above. Dr. Hall is a general partner at Lilly Ventures Fund I and has shared voting and shared investment power over such shares, and may be deemed the indirect beneficial owner of such shares. Dr. Hall disclaims beneficial ownership over such shares, except to the extent of any pecuniary interest therein.</w:t>
      </w:r>
    </w:p>
    <w:p>
      <w:pPr>
        <w:spacing w:after="0" w:line="68"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the exercise of options exercisable within 60 days after February 28, 2015.</w:t>
      </w:r>
    </w:p>
    <w:p>
      <w:pPr>
        <w:spacing w:after="0" w:line="117" w:lineRule="exact"/>
        <w:rPr>
          <w:rFonts w:ascii="Times New Roman" w:cs="Times New Roman" w:eastAsia="Times New Roman" w:hAnsi="Times New Roman"/>
          <w:sz w:val="18"/>
          <w:szCs w:val="18"/>
          <w:color w:val="auto"/>
        </w:rPr>
      </w:pPr>
    </w:p>
    <w:p>
      <w:pPr>
        <w:ind w:left="532" w:right="640" w:hanging="532"/>
        <w:spacing w:after="0" w:line="266"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60,307 shares of common stock (b) 379 shares of common stock issuable upon the exercise of warrants and (c) 4,595 shares of common stock issuable upon the exercise of options exercisable within 60 days after February 28, 2015. William H. Rastetter holds the aforementioned shares jointly as community property with his wife.</w:t>
      </w:r>
    </w:p>
    <w:p>
      <w:pPr>
        <w:spacing w:after="0" w:line="68"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18,954 shares of common stock and (b) 3,447 shares of common stock issuable upon the exercise of options exercisable within 60 days after February 28, 2015.</w:t>
      </w:r>
    </w:p>
    <w:p>
      <w:pPr>
        <w:spacing w:after="0" w:line="53" w:lineRule="exact"/>
        <w:rPr>
          <w:rFonts w:ascii="Times New Roman" w:cs="Times New Roman" w:eastAsia="Times New Roman" w:hAnsi="Times New Roman"/>
          <w:sz w:val="18"/>
          <w:szCs w:val="18"/>
          <w:color w:val="auto"/>
        </w:rPr>
      </w:pPr>
    </w:p>
    <w:p>
      <w:pPr>
        <w:ind w:left="532" w:right="180" w:hanging="532"/>
        <w:spacing w:after="0" w:line="282"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7,296,834 shares of common stock, (b) 30,811 shares of common stock issuable upon the exercise of warrants and (c) 246,987 shares of common stock issuable upon the exercise of options exercisable within 60 days after February 28, 2015.</w:t>
      </w: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92"/>
          </w:cols>
          <w:pgMar w:left="248" w:top="445" w:right="259" w:bottom="1440" w:gutter="0" w:footer="0" w:header="0"/>
        </w:sectPr>
      </w:pPr>
    </w:p>
    <w:bookmarkStart w:id="140" w:name="page141"/>
    <w:bookmarkEnd w:id="140"/>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OUR EQUITY COMPENSATION PLANS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31F20"/>
        </w:rPr>
        <w:t>The following table provides information about the securities authorized for issuance under our equity compensation plans as of December 31, 2014.</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56"/>
        </w:trPr>
        <w:tc>
          <w:tcPr>
            <w:tcW w:w="4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3"/>
                <w:szCs w:val="13"/>
                <w:color w:val="auto"/>
              </w:rPr>
            </w:pPr>
          </w:p>
        </w:tc>
        <w:tc>
          <w:tcPr>
            <w:tcW w:w="15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1,434,928  (2)</w:t>
            </w:r>
          </w:p>
        </w:tc>
        <w:tc>
          <w:tcPr>
            <w:tcW w:w="0" w:type="dxa"/>
            <w:vAlign w:val="bottom"/>
          </w:tcPr>
          <w:p>
            <w:pPr>
              <w:spacing w:after="0"/>
              <w:rPr>
                <w:sz w:val="1"/>
                <w:szCs w:val="1"/>
                <w:color w:val="auto"/>
              </w:rPr>
            </w:pPr>
          </w:p>
        </w:tc>
      </w:tr>
      <w:tr>
        <w:trPr>
          <w:trHeight w:val="211"/>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1,434,928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__________</w:t>
      </w:r>
    </w:p>
    <w:p>
      <w:pPr>
        <w:spacing w:after="0" w:line="99" w:lineRule="exact"/>
        <w:rPr>
          <w:sz w:val="20"/>
          <w:szCs w:val="20"/>
          <w:color w:val="auto"/>
        </w:rPr>
      </w:pPr>
    </w:p>
    <w:p>
      <w:pPr>
        <w:ind w:left="540" w:hanging="532"/>
        <w:spacing w:after="0"/>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outstanding as of December 31, 2014 under our 2007 stock incentive plan and 2014 stock incentive plan.</w:t>
      </w:r>
    </w:p>
    <w:p>
      <w:pPr>
        <w:spacing w:after="0" w:line="117"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authorized under the 2014 stock incentive plan that remained available for grant under future awards as of December 31, 2014. This amount does not include an additional 831,932 shares that became available for issuance under the 2014 stock incentive plan on January 1, 2015 in accordance with the terms of the 2014 stock incentive plan. The number of shares available under the 2014 stock incentive plan is subject to further increase by (i) the number of shares of our common stock subject to outstanding awards under the 2007 stock incentive plan that expire, terminate or are otherwise surrendered, cancelled, forfeited or repurchased and (ii) further annual increases, to be added on January 1 of each year, from and after 2016 through 2024, in each case equal to the least of (a) 1,000,000 shares of our common stock, (b) 4% of the number of shares of our common stock outstanding on the first day of the fiscal year, and (c) an amount determined by our board of directors.</w:t>
      </w:r>
    </w:p>
    <w:p>
      <w:pPr>
        <w:spacing w:after="0" w:line="29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100" w:firstLine="548"/>
        <w:spacing w:after="0" w:line="266" w:lineRule="auto"/>
        <w:rPr>
          <w:sz w:val="20"/>
          <w:szCs w:val="20"/>
          <w:color w:val="auto"/>
        </w:rPr>
      </w:pPr>
      <w:r>
        <w:rPr>
          <w:rFonts w:ascii="Times New Roman" w:cs="Times New Roman" w:eastAsia="Times New Roman" w:hAnsi="Times New Roman"/>
          <w:sz w:val="18"/>
          <w:szCs w:val="18"/>
          <w:color w:val="231F20"/>
        </w:rPr>
        <w:t>Since January 1, 2014, we have engaged in the following transactions with our directors and executive officers and holders of more than 5% of our voting securities and affiliates of our directors, executive officers and 5% stockholders. We believe that all of the transactions described below were made on terms no less favorable to us than could have been obtained from unaffiliated third parties.</w:t>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231F20"/>
        </w:rPr>
        <w:t>Bridge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31F20"/>
        </w:rPr>
        <w:t>In February 2014, we issued and sold 7% convertible promissory notes in an aggregate principal amount of</w:t>
      </w:r>
    </w:p>
    <w:p>
      <w:pPr>
        <w:spacing w:after="0" w:line="27" w:lineRule="exact"/>
        <w:rPr>
          <w:sz w:val="20"/>
          <w:szCs w:val="20"/>
          <w:color w:val="auto"/>
        </w:rPr>
      </w:pPr>
    </w:p>
    <w:p>
      <w:pPr>
        <w:ind w:left="140" w:right="660"/>
        <w:spacing w:after="0" w:line="250" w:lineRule="auto"/>
        <w:rPr>
          <w:sz w:val="20"/>
          <w:szCs w:val="20"/>
          <w:color w:val="auto"/>
        </w:rPr>
      </w:pPr>
      <w:r>
        <w:rPr>
          <w:rFonts w:ascii="Times New Roman" w:cs="Times New Roman" w:eastAsia="Times New Roman" w:hAnsi="Times New Roman"/>
          <w:sz w:val="18"/>
          <w:szCs w:val="18"/>
          <w:color w:val="231F20"/>
        </w:rPr>
        <w:t>$6,000,000. The following table sets forth the principal amount of the convertible promissory notes that we issued to our directors, officers and 5% stockholders and their respective affiliates.</w:t>
      </w:r>
    </w:p>
    <w:tbl>
      <w:tblPr>
        <w:tblLayout w:type="fixed"/>
        <w:tblInd w:w="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 Principal Amount of 2014</w:t>
            </w:r>
          </w:p>
        </w:tc>
        <w:tc>
          <w:tcPr>
            <w:tcW w:w="24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9"/>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gridSpan w:val="2"/>
            <w:vMerge w:val="continue"/>
          </w:tcPr>
          <w:p>
            <w:pPr>
              <w:spacing w:after="0"/>
              <w:rPr>
                <w:sz w:val="12"/>
                <w:szCs w:val="12"/>
                <w:color w:val="auto"/>
              </w:rPr>
            </w:pPr>
          </w:p>
        </w:tc>
        <w:tc>
          <w:tcPr>
            <w:tcW w:w="2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Conversion of 2014</w:t>
            </w:r>
          </w:p>
        </w:tc>
        <w:tc>
          <w:tcPr>
            <w:tcW w:w="0" w:type="dxa"/>
            <w:vAlign w:val="bottom"/>
          </w:tcPr>
          <w:p>
            <w:pPr>
              <w:spacing w:after="0"/>
              <w:rPr>
                <w:sz w:val="1"/>
                <w:szCs w:val="1"/>
                <w:color w:val="auto"/>
              </w:rPr>
            </w:pPr>
          </w:p>
        </w:tc>
      </w:tr>
      <w:tr>
        <w:trPr>
          <w:trHeight w:val="180"/>
        </w:trPr>
        <w:tc>
          <w:tcPr>
            <w:tcW w:w="5200" w:type="dxa"/>
            <w:vAlign w:val="bottom"/>
            <w:gridSpan w:val="4"/>
            <w:vMerge w:val="continue"/>
          </w:tcPr>
          <w:p>
            <w:pPr>
              <w:spacing w:after="0"/>
              <w:rPr>
                <w:sz w:val="15"/>
                <w:szCs w:val="15"/>
                <w:color w:val="auto"/>
              </w:rPr>
            </w:pPr>
          </w:p>
        </w:tc>
        <w:tc>
          <w:tcPr>
            <w:tcW w:w="26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Notes ($)</w:t>
            </w:r>
          </w:p>
        </w:tc>
        <w:tc>
          <w:tcPr>
            <w:tcW w:w="24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Notes(1)</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4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CVF, LLC</w:t>
            </w:r>
          </w:p>
        </w:tc>
        <w:tc>
          <w:tcPr>
            <w:tcW w:w="200" w:type="dxa"/>
            <w:vAlign w:val="bottom"/>
          </w:tcPr>
          <w:p>
            <w:pPr>
              <w:spacing w:after="0"/>
              <w:rPr>
                <w:sz w:val="18"/>
                <w:szCs w:val="18"/>
                <w:color w:val="auto"/>
              </w:rPr>
            </w:pP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819,319</w:t>
            </w:r>
          </w:p>
        </w:tc>
        <w:tc>
          <w:tcPr>
            <w:tcW w:w="280" w:type="dxa"/>
            <w:vAlign w:val="bottom"/>
          </w:tcPr>
          <w:p>
            <w:pPr>
              <w:spacing w:after="0"/>
              <w:rPr>
                <w:sz w:val="18"/>
                <w:szCs w:val="18"/>
                <w:color w:val="auto"/>
              </w:rPr>
            </w:pP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Polaris Partners(2)</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2,151,000</w:t>
            </w: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Venrock(3).</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1,381,200</w:t>
            </w:r>
          </w:p>
        </w:tc>
        <w:tc>
          <w:tcPr>
            <w:tcW w:w="2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Lilly Ventures Fund I LLC(4)</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1,072,800</w:t>
            </w: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Entities affiliated with Lux Capital(5)</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530,081</w:t>
            </w:r>
          </w:p>
        </w:tc>
        <w:tc>
          <w:tcPr>
            <w:tcW w:w="2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H. Rastetter(6)</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40" w:right="20" w:hanging="532"/>
        <w:spacing w:after="0" w:line="28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convertible notes converted into shares of our common stock at $5.43, which was equal to 77.5% of our initial public offering price of $7.00 per share.</w:t>
      </w:r>
    </w:p>
    <w:p>
      <w:pPr>
        <w:spacing w:after="0" w:line="53" w:lineRule="exact"/>
        <w:rPr>
          <w:rFonts w:ascii="Times New Roman" w:cs="Times New Roman" w:eastAsia="Times New Roman" w:hAnsi="Times New Roman"/>
          <w:sz w:val="18"/>
          <w:szCs w:val="18"/>
          <w:color w:val="auto"/>
        </w:rPr>
      </w:pPr>
    </w:p>
    <w:p>
      <w:pPr>
        <w:ind w:left="540" w:right="260" w:hanging="532"/>
        <w:spacing w:after="0" w:line="26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2014 convertible notes issued and sold to (a) Polaris Venture Partners V, L.P. in a principal amount of $2,075,573, (b) Polaris Venture Partners Entrepreneurs’ Fund V, L.P. in a principal amount of $40,453, (c) Polaris Venture Partners Founders’ Fund V, L.P. in a principal amount of $14,218 and (d) Polaris Venture Partners Special Founders’ Fund V, L.P. in a principal amount of $20,756. Alan Crane, a member of our board of directors, is a general partner of Polaris Venture Partners,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00"/>
          </w:cols>
          <w:pgMar w:left="240" w:top="657" w:right="259" w:bottom="1440" w:gutter="0" w:footer="0" w:header="0"/>
        </w:sectPr>
      </w:pPr>
    </w:p>
    <w:bookmarkStart w:id="141" w:name="page142"/>
    <w:bookmarkEnd w:id="141"/>
    <w:p>
      <w:pPr>
        <w:ind w:left="532"/>
        <w:spacing w:after="0"/>
        <w:rPr>
          <w:sz w:val="20"/>
          <w:szCs w:val="20"/>
          <w:color w:val="auto"/>
        </w:rPr>
      </w:pPr>
      <w:r>
        <w:rPr>
          <w:rFonts w:ascii="Times New Roman" w:cs="Times New Roman" w:eastAsia="Times New Roman" w:hAnsi="Times New Roman"/>
          <w:sz w:val="17"/>
          <w:szCs w:val="17"/>
          <w:color w:val="auto"/>
        </w:rPr>
        <w:t>an affiliate of Polaris Venture Partners V, L.P., Polaris Venture Partners Entrepreneurs’ Fund V, L.P., Polaris Venture Partners Founders’ Fund V, L.P.</w:t>
      </w:r>
    </w:p>
    <w:p>
      <w:pPr>
        <w:spacing w:after="0" w:line="39"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color w:val="auto"/>
        </w:rPr>
        <w:t>and Polaris Venture Partners Special Founders’ Fund V, L.P.</w:t>
      </w:r>
    </w:p>
    <w:p>
      <w:pPr>
        <w:spacing w:after="0" w:line="99" w:lineRule="exact"/>
        <w:rPr>
          <w:sz w:val="20"/>
          <w:szCs w:val="20"/>
          <w:color w:val="auto"/>
        </w:rPr>
      </w:pPr>
    </w:p>
    <w:p>
      <w:pPr>
        <w:ind w:left="532" w:right="100" w:hanging="532"/>
        <w:spacing w:after="0" w:line="282" w:lineRule="auto"/>
        <w:tabs>
          <w:tab w:leader="none" w:pos="5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2014 convertible notes issued and sold to (a) Venrock Associates V, L.P. in a principal amount of $1,246,257, (b) Venrock Partners V, L.P. in a principal amount of $105,662 and (c) Venrock Entrepreneurs Fund V, L.P. in a principal amount of $29,281.</w:t>
      </w:r>
    </w:p>
    <w:p>
      <w:pPr>
        <w:spacing w:after="0" w:line="5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E. Hall, a member of our board of directors, is a general partner of Lilly Ventures Fund I LLC.</w:t>
      </w:r>
    </w:p>
    <w:p>
      <w:pPr>
        <w:spacing w:after="0" w:line="117" w:lineRule="exact"/>
        <w:rPr>
          <w:rFonts w:ascii="Times New Roman" w:cs="Times New Roman" w:eastAsia="Times New Roman" w:hAnsi="Times New Roman"/>
          <w:sz w:val="18"/>
          <w:szCs w:val="18"/>
          <w:color w:val="auto"/>
        </w:rPr>
      </w:pPr>
    </w:p>
    <w:p>
      <w:pPr>
        <w:ind w:left="532" w:right="40" w:hanging="532"/>
        <w:spacing w:after="0" w:line="282" w:lineRule="auto"/>
        <w:tabs>
          <w:tab w:leader="none" w:pos="5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2014 convertible notes issued and sold to (a) Lux Ventures II, L.P. in a principal amount of $479,876, (b) Lux Ventures II Sidecar, L.P. in a principal amount of $20,124 and (c) Lux Ventures II Partners Fund I LLC in a principal amount of $30,081.</w:t>
      </w:r>
    </w:p>
    <w:p>
      <w:pPr>
        <w:spacing w:after="0" w:line="53" w:lineRule="exact"/>
        <w:rPr>
          <w:rFonts w:ascii="Times New Roman" w:cs="Times New Roman" w:eastAsia="Times New Roman" w:hAnsi="Times New Roman"/>
          <w:sz w:val="18"/>
          <w:szCs w:val="18"/>
          <w:color w:val="auto"/>
        </w:rPr>
      </w:pPr>
    </w:p>
    <w:p>
      <w:pPr>
        <w:ind w:left="532" w:right="160" w:hanging="532"/>
        <w:spacing w:after="0" w:line="282" w:lineRule="auto"/>
        <w:tabs>
          <w:tab w:leader="none" w:pos="5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2014 convertible notes issued and sold to William H. Rastetter and Marisa G. Rastetter as community property. Dr. Rastetter is a member of our board of directors.</w:t>
      </w:r>
    </w:p>
    <w:p>
      <w:pPr>
        <w:spacing w:after="0" w:line="117"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231F20"/>
        </w:rPr>
        <w:t>Registration Rights</w:t>
      </w:r>
    </w:p>
    <w:p>
      <w:pPr>
        <w:spacing w:after="0" w:line="94" w:lineRule="exact"/>
        <w:rPr>
          <w:sz w:val="20"/>
          <w:szCs w:val="20"/>
          <w:color w:val="auto"/>
        </w:rPr>
      </w:pPr>
    </w:p>
    <w:p>
      <w:pPr>
        <w:ind w:left="112" w:right="180" w:firstLine="414"/>
        <w:spacing w:after="0" w:line="256" w:lineRule="auto"/>
        <w:rPr>
          <w:sz w:val="20"/>
          <w:szCs w:val="20"/>
          <w:color w:val="auto"/>
        </w:rPr>
      </w:pPr>
      <w:r>
        <w:rPr>
          <w:rFonts w:ascii="Times New Roman" w:cs="Times New Roman" w:eastAsia="Times New Roman" w:hAnsi="Times New Roman"/>
          <w:sz w:val="18"/>
          <w:szCs w:val="18"/>
          <w:color w:val="231F20"/>
        </w:rPr>
        <w:t>We are party to a second Series D convertible preferred stock purchase agreement with certain holders of our common stock (who were formerly holders of our preferred stock prior to our initial public offering and the conversion of such preferred stock into our common stock), including some of our directors and 5% stockholders and their affiliates and entities affiliated with certain of our directors. The second Series D convertible preferred stock purchase agreement provides these holders the right to demand that we file a registration statement or request that their shares be covered by a registration statement that we are otherwise filing. See “Description of Capital Stock—Registration Rights” in this Annual Report on Form 10-K for additional information regarding these rights.</w:t>
      </w:r>
    </w:p>
    <w:p>
      <w:pPr>
        <w:spacing w:after="0" w:line="224"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231F20"/>
        </w:rPr>
        <w:t>Participation in Our Initial Public Offering</w:t>
      </w:r>
    </w:p>
    <w:p>
      <w:pPr>
        <w:spacing w:after="0" w:line="94" w:lineRule="exact"/>
        <w:rPr>
          <w:sz w:val="20"/>
          <w:szCs w:val="20"/>
          <w:color w:val="auto"/>
        </w:rPr>
      </w:pPr>
    </w:p>
    <w:p>
      <w:pPr>
        <w:ind w:left="112" w:right="360" w:firstLine="410"/>
        <w:spacing w:after="0" w:line="266" w:lineRule="auto"/>
        <w:rPr>
          <w:sz w:val="20"/>
          <w:szCs w:val="20"/>
          <w:color w:val="auto"/>
        </w:rPr>
      </w:pPr>
      <w:r>
        <w:rPr>
          <w:rFonts w:ascii="Times New Roman" w:cs="Times New Roman" w:eastAsia="Times New Roman" w:hAnsi="Times New Roman"/>
          <w:sz w:val="18"/>
          <w:szCs w:val="18"/>
          <w:color w:val="231F20"/>
        </w:rPr>
        <w:t>Certain of our director and principal stockholders and their affiliated entities purchased 4,113,172 shares of our common stock in our initial public offering at the initial public offering price of $7.00 per share. The following table sets forth the aggregate number of shares that our directors and 5% stockholders and their affiliated entities purchased.</w:t>
      </w:r>
    </w:p>
    <w:p>
      <w:pPr>
        <w:spacing w:after="0" w:line="198"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 Purchased in</w:t>
            </w:r>
          </w:p>
        </w:tc>
        <w:tc>
          <w:tcPr>
            <w:tcW w:w="0" w:type="dxa"/>
            <w:vAlign w:val="bottom"/>
          </w:tcPr>
          <w:p>
            <w:pPr>
              <w:spacing w:after="0"/>
              <w:rPr>
                <w:sz w:val="1"/>
                <w:szCs w:val="1"/>
                <w:color w:val="auto"/>
              </w:rPr>
            </w:pPr>
          </w:p>
        </w:tc>
      </w:tr>
      <w:tr>
        <w:trPr>
          <w:trHeight w:val="173"/>
        </w:trPr>
        <w:tc>
          <w:tcPr>
            <w:tcW w:w="8100" w:type="dxa"/>
            <w:vAlign w:val="bottom"/>
            <w:gridSpan w:val="3"/>
            <w:vMerge w:val="continue"/>
          </w:tcPr>
          <w:p>
            <w:pPr>
              <w:spacing w:after="0"/>
              <w:rPr>
                <w:sz w:val="15"/>
                <w:szCs w:val="15"/>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 Public Offering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Entities affiliated with Polaris Partners (1)</w:t>
            </w:r>
          </w:p>
        </w:tc>
        <w:tc>
          <w:tcPr>
            <w:tcW w:w="200" w:type="dxa"/>
            <w:vAlign w:val="bottom"/>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Venrock (2)</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Lux Capital (3)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Lilly Ventures (4)</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Crown Ventures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H. Rastetter (5)</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32" w:hanging="532"/>
        <w:spacing w:after="0" w:line="258" w:lineRule="auto"/>
        <w:tabs>
          <w:tab w:leader="none" w:pos="5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1,419,015 shares of common stock held by Polaris Venture Partners V, L.P., (b) 27,657 shares of common stock held by Polaris Venture Partners Entrepreneurs’ Fund V, L.P., (c) 9,720 shares of common stock held by Polaris Venture Partners Founders’ Fund V, L.P. and (d) 14,190 shares of common stock held by Polaris Venture Partners Special Founders’ Fund V, L.P. Alan Crane, a member of our board of directors, is a general partner of Polaris Venture Partners, an affiliate of Polaris Venture Partners V, L.P., Polaris Venture Partners Entrepreneurs’ Fund V, L.P., Polaris Venture Partners Founders’ Fund V, L.P. and Polaris Venture Partners Special Founders’ Fund V, L.P.</w:t>
      </w:r>
    </w:p>
    <w:p>
      <w:pPr>
        <w:spacing w:after="0" w:line="75" w:lineRule="exact"/>
        <w:rPr>
          <w:rFonts w:ascii="Times New Roman" w:cs="Times New Roman" w:eastAsia="Times New Roman" w:hAnsi="Times New Roman"/>
          <w:sz w:val="18"/>
          <w:szCs w:val="18"/>
          <w:color w:val="auto"/>
        </w:rPr>
      </w:pPr>
    </w:p>
    <w:p>
      <w:pPr>
        <w:ind w:left="532" w:right="160" w:hanging="532"/>
        <w:spacing w:after="0" w:line="282" w:lineRule="auto"/>
        <w:tabs>
          <w:tab w:leader="none" w:pos="5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852,033 shares of common stock held by Venrock Associates V, L.P., (b) 72,238 shares of common stock held by Venrock Partners V, L.P. and (c) 20,019 shares of common stock held by Venrock Entrepreneurs Fund V, L.P.</w:t>
      </w:r>
    </w:p>
    <w:p>
      <w:pPr>
        <w:spacing w:after="0" w:line="5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E. Hall, a member of our board of directors, is a general partner of Lilly Ventures Fund I LLC.</w:t>
      </w:r>
    </w:p>
    <w:p>
      <w:pPr>
        <w:spacing w:after="0" w:line="117" w:lineRule="exact"/>
        <w:rPr>
          <w:rFonts w:ascii="Times New Roman" w:cs="Times New Roman" w:eastAsia="Times New Roman" w:hAnsi="Times New Roman"/>
          <w:sz w:val="18"/>
          <w:szCs w:val="18"/>
          <w:color w:val="auto"/>
        </w:rPr>
      </w:pPr>
    </w:p>
    <w:p>
      <w:pPr>
        <w:ind w:left="532" w:right="140" w:hanging="532"/>
        <w:spacing w:after="0" w:line="282" w:lineRule="auto"/>
        <w:tabs>
          <w:tab w:leader="none" w:pos="5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89,577 shares of common stock held by Lux Ventures II, L.P., (b) 3,756 shares of common stock held by Lux Ventures II Sidecar, L.P. and (c) 12,891 shares of common stock held by Lux Ventures II Partners Fund I LLC.</w:t>
      </w:r>
    </w:p>
    <w:p>
      <w:pPr>
        <w:spacing w:after="0" w:line="53" w:lineRule="exact"/>
        <w:rPr>
          <w:rFonts w:ascii="Times New Roman" w:cs="Times New Roman" w:eastAsia="Times New Roman" w:hAnsi="Times New Roman"/>
          <w:sz w:val="18"/>
          <w:szCs w:val="18"/>
          <w:color w:val="auto"/>
        </w:rPr>
      </w:pPr>
    </w:p>
    <w:p>
      <w:pPr>
        <w:ind w:left="532" w:right="60" w:hanging="532"/>
        <w:spacing w:after="0" w:line="282" w:lineRule="auto"/>
        <w:tabs>
          <w:tab w:leader="none" w:pos="5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18,869 shares of common stock held by William H. Rastetter and Marisa G. Rastetter as community property. Dr. Rastetter is a member of our board of directors.</w:t>
      </w:r>
    </w:p>
    <w:p>
      <w:pPr>
        <w:spacing w:after="0" w:line="185"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94" w:lineRule="exact"/>
        <w:rPr>
          <w:sz w:val="20"/>
          <w:szCs w:val="20"/>
          <w:color w:val="auto"/>
        </w:rPr>
      </w:pPr>
    </w:p>
    <w:p>
      <w:pPr>
        <w:ind w:left="112" w:right="80" w:firstLine="416"/>
        <w:spacing w:after="0" w:line="266" w:lineRule="auto"/>
        <w:rPr>
          <w:sz w:val="20"/>
          <w:szCs w:val="20"/>
          <w:color w:val="auto"/>
        </w:rPr>
      </w:pPr>
      <w:r>
        <w:rPr>
          <w:rFonts w:ascii="Times New Roman" w:cs="Times New Roman" w:eastAsia="Times New Roman" w:hAnsi="Times New Roman"/>
          <w:sz w:val="18"/>
          <w:szCs w:val="18"/>
          <w:color w:val="231F20"/>
        </w:rPr>
        <w:t>Our certificate of incorporation provides that we will indemnify our directors and officers to the fullest extent permitted by Delaware law. In addition, we have entered into indemnification agreements with our directors. See “Executive Compensation—Limitation of Liability and Indemnification” for additional information regarding these agreements.</w:t>
      </w:r>
    </w:p>
    <w:p>
      <w:pPr>
        <w:spacing w:after="0" w:line="21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231F20"/>
        </w:rPr>
        <w:t>Policies and Procedures for Related Person Transactions</w:t>
      </w:r>
    </w:p>
    <w:p>
      <w:pPr>
        <w:spacing w:after="0" w:line="3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12"/>
          </w:cols>
          <w:pgMar w:left="248" w:top="445" w:right="239" w:bottom="1440" w:gutter="0" w:footer="0" w:header="0"/>
        </w:sectPr>
      </w:pPr>
    </w:p>
    <w:bookmarkStart w:id="142" w:name="page143"/>
    <w:bookmarkEnd w:id="142"/>
    <w:p>
      <w:pPr>
        <w:jc w:val="both"/>
        <w:ind w:left="120" w:right="200" w:firstLine="410"/>
        <w:spacing w:after="0" w:line="261" w:lineRule="auto"/>
        <w:rPr>
          <w:sz w:val="20"/>
          <w:szCs w:val="20"/>
          <w:color w:val="auto"/>
        </w:rPr>
      </w:pPr>
      <w:r>
        <w:rPr>
          <w:rFonts w:ascii="Times New Roman" w:cs="Times New Roman" w:eastAsia="Times New Roman" w:hAnsi="Times New Roman"/>
          <w:sz w:val="18"/>
          <w:szCs w:val="18"/>
          <w:color w:val="231F20"/>
        </w:rPr>
        <w:t>Our board of directors has adopted a written related person transaction policy that sets forth policies and procedures for the review and approval or ratification of related person transactions. This policy covers any transaction, arrangement or relationship in which we were or are to be a participant, the amount involved exceeds $120,000, and one of our executive officers, directors, director nominees or 5% stockholders, or their immediate family members, each of whom we refer to as a “related person,” had or will have a direct or indirect material interest.</w:t>
      </w:r>
    </w:p>
    <w:p>
      <w:pPr>
        <w:spacing w:after="0" w:line="180" w:lineRule="exact"/>
        <w:rPr>
          <w:sz w:val="20"/>
          <w:szCs w:val="20"/>
          <w:color w:val="auto"/>
        </w:rPr>
      </w:pPr>
    </w:p>
    <w:p>
      <w:pPr>
        <w:ind w:left="120" w:right="80" w:firstLine="417"/>
        <w:spacing w:after="0" w:line="255" w:lineRule="auto"/>
        <w:rPr>
          <w:sz w:val="20"/>
          <w:szCs w:val="20"/>
          <w:color w:val="auto"/>
        </w:rPr>
      </w:pPr>
      <w:r>
        <w:rPr>
          <w:rFonts w:ascii="Times New Roman" w:cs="Times New Roman" w:eastAsia="Times New Roman" w:hAnsi="Times New Roman"/>
          <w:sz w:val="18"/>
          <w:szCs w:val="18"/>
          <w:color w:val="231F20"/>
        </w:rPr>
        <w:t>If a related person proposes to enter into such a transaction, arrangement or relationship, which we refer to as a “related person transaction,” the related person must report the proposed related person transaction to our general counsel, or if we do not have a general counsel, our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189" w:lineRule="exact"/>
        <w:rPr>
          <w:sz w:val="20"/>
          <w:szCs w:val="20"/>
          <w:color w:val="auto"/>
        </w:rPr>
      </w:pPr>
    </w:p>
    <w:p>
      <w:pPr>
        <w:ind w:left="120" w:right="620" w:firstLine="395"/>
        <w:spacing w:after="0" w:line="313" w:lineRule="auto"/>
        <w:rPr>
          <w:sz w:val="20"/>
          <w:szCs w:val="20"/>
          <w:color w:val="auto"/>
        </w:rPr>
      </w:pPr>
      <w:r>
        <w:rPr>
          <w:rFonts w:ascii="Times New Roman" w:cs="Times New Roman" w:eastAsia="Times New Roman" w:hAnsi="Times New Roman"/>
          <w:sz w:val="17"/>
          <w:szCs w:val="17"/>
          <w:color w:val="231F20"/>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30" w:lineRule="exact"/>
        <w:rPr>
          <w:sz w:val="20"/>
          <w:szCs w:val="20"/>
          <w:color w:val="auto"/>
        </w:rPr>
      </w:pPr>
    </w:p>
    <w:p>
      <w:pPr>
        <w:ind w:left="1400" w:hanging="864"/>
        <w:spacing w:after="0"/>
        <w:tabs>
          <w:tab w:leader="none" w:pos="140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related person’s interest in the related person transaction;</w:t>
      </w:r>
    </w:p>
    <w:p>
      <w:pPr>
        <w:spacing w:after="0" w:line="117" w:lineRule="exact"/>
        <w:rPr>
          <w:rFonts w:ascii="Times New Roman" w:cs="Times New Roman" w:eastAsia="Times New Roman" w:hAnsi="Times New Roman"/>
          <w:sz w:val="18"/>
          <w:szCs w:val="18"/>
          <w:color w:val="231F20"/>
        </w:rPr>
      </w:pPr>
    </w:p>
    <w:p>
      <w:pPr>
        <w:ind w:left="1400" w:hanging="864"/>
        <w:spacing w:after="0"/>
        <w:tabs>
          <w:tab w:leader="none" w:pos="140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231F20"/>
        </w:rPr>
      </w:pPr>
    </w:p>
    <w:p>
      <w:pPr>
        <w:ind w:left="920" w:right="580" w:hanging="384"/>
        <w:spacing w:after="0" w:line="282" w:lineRule="auto"/>
        <w:tabs>
          <w:tab w:leader="none" w:pos="92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231F20"/>
        </w:rPr>
      </w:pPr>
    </w:p>
    <w:p>
      <w:pPr>
        <w:ind w:left="1400" w:hanging="864"/>
        <w:spacing w:after="0"/>
        <w:tabs>
          <w:tab w:leader="none" w:pos="140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transaction was undertaken in the ordinary course of our business;</w:t>
      </w:r>
    </w:p>
    <w:p>
      <w:pPr>
        <w:spacing w:after="0" w:line="117" w:lineRule="exact"/>
        <w:rPr>
          <w:rFonts w:ascii="Times New Roman" w:cs="Times New Roman" w:eastAsia="Times New Roman" w:hAnsi="Times New Roman"/>
          <w:sz w:val="18"/>
          <w:szCs w:val="18"/>
          <w:color w:val="231F20"/>
        </w:rPr>
      </w:pPr>
    </w:p>
    <w:p>
      <w:pPr>
        <w:ind w:left="940" w:hanging="404"/>
        <w:spacing w:after="0"/>
        <w:tabs>
          <w:tab w:leader="none" w:pos="94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terms of the transaction are no less favorable to us than terms that could have been reached with an unrelated third party;</w:t>
      </w:r>
    </w:p>
    <w:p>
      <w:pPr>
        <w:spacing w:after="0" w:line="117" w:lineRule="exact"/>
        <w:rPr>
          <w:rFonts w:ascii="Times New Roman" w:cs="Times New Roman" w:eastAsia="Times New Roman" w:hAnsi="Times New Roman"/>
          <w:sz w:val="18"/>
          <w:szCs w:val="18"/>
          <w:color w:val="231F20"/>
        </w:rPr>
      </w:pPr>
    </w:p>
    <w:p>
      <w:pPr>
        <w:ind w:left="1400" w:hanging="864"/>
        <w:spacing w:after="0"/>
        <w:tabs>
          <w:tab w:leader="none" w:pos="140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purpose of, and the potential benefits to us of, the transaction; and</w:t>
      </w:r>
    </w:p>
    <w:p>
      <w:pPr>
        <w:spacing w:after="0" w:line="117" w:lineRule="exact"/>
        <w:rPr>
          <w:rFonts w:ascii="Times New Roman" w:cs="Times New Roman" w:eastAsia="Times New Roman" w:hAnsi="Times New Roman"/>
          <w:sz w:val="18"/>
          <w:szCs w:val="18"/>
          <w:color w:val="231F20"/>
        </w:rPr>
      </w:pPr>
    </w:p>
    <w:p>
      <w:pPr>
        <w:ind w:left="940" w:right="400" w:hanging="404"/>
        <w:spacing w:after="0" w:line="282" w:lineRule="auto"/>
        <w:tabs>
          <w:tab w:leader="none" w:pos="94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left="120" w:right="480" w:firstLine="403"/>
        <w:spacing w:after="0" w:line="282" w:lineRule="auto"/>
        <w:rPr>
          <w:sz w:val="20"/>
          <w:szCs w:val="20"/>
          <w:color w:val="auto"/>
        </w:rPr>
      </w:pPr>
      <w:r>
        <w:rPr>
          <w:rFonts w:ascii="Times New Roman" w:cs="Times New Roman" w:eastAsia="Times New Roman" w:hAnsi="Times New Roman"/>
          <w:sz w:val="18"/>
          <w:szCs w:val="18"/>
          <w:color w:val="231F20"/>
        </w:rPr>
        <w:t>The audit committee may approve or ratify the transaction only if it determines that, under all of the circumstances, the transaction is in our best interests. The audit committee may impose any conditions on the related person transaction that it deems appropriate.</w:t>
      </w:r>
    </w:p>
    <w:p>
      <w:pPr>
        <w:spacing w:after="0" w:line="162" w:lineRule="exact"/>
        <w:rPr>
          <w:sz w:val="20"/>
          <w:szCs w:val="20"/>
          <w:color w:val="auto"/>
        </w:rPr>
      </w:pPr>
    </w:p>
    <w:p>
      <w:pPr>
        <w:ind w:left="120" w:right="480" w:firstLine="408"/>
        <w:spacing w:after="0" w:line="266" w:lineRule="auto"/>
        <w:rPr>
          <w:sz w:val="20"/>
          <w:szCs w:val="20"/>
          <w:color w:val="auto"/>
        </w:rPr>
      </w:pPr>
      <w:r>
        <w:rPr>
          <w:rFonts w:ascii="Times New Roman" w:cs="Times New Roman" w:eastAsia="Times New Roman" w:hAnsi="Times New Roman"/>
          <w:sz w:val="18"/>
          <w:szCs w:val="18"/>
          <w:color w:val="231F20"/>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68" w:lineRule="exact"/>
        <w:rPr>
          <w:sz w:val="20"/>
          <w:szCs w:val="20"/>
          <w:color w:val="auto"/>
        </w:rPr>
      </w:pPr>
    </w:p>
    <w:p>
      <w:pPr>
        <w:ind w:left="940" w:right="140" w:hanging="404"/>
        <w:spacing w:after="0" w:line="277" w:lineRule="auto"/>
        <w:tabs>
          <w:tab w:leader="none" w:pos="940" w:val="left"/>
        </w:tabs>
        <w:numPr>
          <w:ilvl w:val="0"/>
          <w:numId w:val="1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dollars or 5% of the annual gross revenues of the company receiving payment under the transaction; and</w:t>
      </w:r>
    </w:p>
    <w:p>
      <w:pPr>
        <w:spacing w:after="0" w:line="60" w:lineRule="exact"/>
        <w:rPr>
          <w:rFonts w:ascii="Times New Roman" w:cs="Times New Roman" w:eastAsia="Times New Roman" w:hAnsi="Times New Roman"/>
          <w:sz w:val="17"/>
          <w:szCs w:val="17"/>
          <w:color w:val="231F20"/>
        </w:rPr>
      </w:pPr>
    </w:p>
    <w:p>
      <w:pPr>
        <w:ind w:left="920" w:hanging="384"/>
        <w:spacing w:after="0"/>
        <w:tabs>
          <w:tab w:leader="none" w:pos="920" w:val="left"/>
        </w:tabs>
        <w:numPr>
          <w:ilvl w:val="0"/>
          <w:numId w:val="1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transaction that is specifically contemplated by provisions of our certificate of incorporation or bylaws.</w:t>
      </w:r>
    </w:p>
    <w:p>
      <w:pPr>
        <w:spacing w:after="0" w:line="252" w:lineRule="exact"/>
        <w:rPr>
          <w:sz w:val="20"/>
          <w:szCs w:val="20"/>
          <w:color w:val="auto"/>
        </w:rPr>
      </w:pPr>
    </w:p>
    <w:p>
      <w:pPr>
        <w:ind w:left="120" w:right="1020" w:firstLine="408"/>
        <w:spacing w:after="0" w:line="282" w:lineRule="auto"/>
        <w:rPr>
          <w:sz w:val="20"/>
          <w:szCs w:val="20"/>
          <w:color w:val="auto"/>
        </w:rPr>
      </w:pPr>
      <w:r>
        <w:rPr>
          <w:rFonts w:ascii="Times New Roman" w:cs="Times New Roman" w:eastAsia="Times New Roman" w:hAnsi="Times New Roman"/>
          <w:sz w:val="18"/>
          <w:szCs w:val="18"/>
          <w:color w:val="231F20"/>
        </w:rPr>
        <w:t>The policy provides that transactions involving compensation of executive officers shall be reviewed and approved by our compensation committee in the manner specified in its charter.</w:t>
      </w:r>
    </w:p>
    <w:p>
      <w:pPr>
        <w:spacing w:after="0" w:line="5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231F20"/>
        </w:rPr>
        <w:t>Prior to our initial public offering, we did not have a written policy regarding the review and approval of related person transactions. Nevertheless, with respect to such transactions, it was the practice of our board of directors to consider the nature or and business reason for such transactions, how the terms of such transactions compared to those which might be obtained from unaffiliated third parties and whether such transactions were otherwise fair to and in our best interests.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337" w:right="2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231F20"/>
        </w:rPr>
        <w:t>Director Independence</w:t>
      </w:r>
    </w:p>
    <w:p>
      <w:pPr>
        <w:spacing w:after="0" w:line="310" w:lineRule="exact"/>
        <w:rPr>
          <w:sz w:val="20"/>
          <w:szCs w:val="20"/>
          <w:color w:val="auto"/>
        </w:rPr>
      </w:pPr>
    </w:p>
    <w:p>
      <w:pPr>
        <w:ind w:left="120" w:right="260" w:firstLine="410"/>
        <w:spacing w:after="0" w:line="258" w:lineRule="auto"/>
        <w:rPr>
          <w:sz w:val="20"/>
          <w:szCs w:val="20"/>
          <w:color w:val="auto"/>
        </w:rPr>
      </w:pPr>
      <w:r>
        <w:rPr>
          <w:rFonts w:ascii="Times New Roman" w:cs="Times New Roman" w:eastAsia="Times New Roman" w:hAnsi="Times New Roman"/>
          <w:sz w:val="18"/>
          <w:szCs w:val="18"/>
          <w:color w:val="auto"/>
        </w:rPr>
        <w:t xml:space="preserve">Rule 5605 of the NASDAQ Listing Rules requires a majority of a listed company’s board of directors to be comprised of independent directors within one year of listing. In addition, the NASDAQ Listing Rules require that, subject to specified exceptions, each </w:t>
      </w:r>
      <w:r>
        <w:rPr>
          <w:rFonts w:ascii="Times New Roman" w:cs="Times New Roman" w:eastAsia="Times New Roman" w:hAnsi="Times New Roman"/>
          <w:sz w:val="18"/>
          <w:szCs w:val="18"/>
          <w:color w:val="231F20"/>
        </w:rPr>
        <w:t>member</w:t>
      </w:r>
      <w:r>
        <w:rPr>
          <w:rFonts w:ascii="Times New Roman" w:cs="Times New Roman" w:eastAsia="Times New Roman" w:hAnsi="Times New Roman"/>
          <w:sz w:val="18"/>
          <w:szCs w:val="18"/>
          <w:color w:val="auto"/>
        </w:rPr>
        <w:t xml:space="preserve"> of a listed company’s audit, compensation and nominating and corporate governance committees be independent that audit committee members also satisfy independence criteria set forth in Rule 10A-3 under the Exchange Act and that compensation committee </w:t>
      </w:r>
      <w:r>
        <w:rPr>
          <w:rFonts w:ascii="Times New Roman" w:cs="Times New Roman" w:eastAsia="Times New Roman" w:hAnsi="Times New Roman"/>
          <w:sz w:val="18"/>
          <w:szCs w:val="18"/>
          <w:color w:val="231F20"/>
        </w:rPr>
        <w:t>members</w:t>
      </w:r>
      <w:r>
        <w:rPr>
          <w:rFonts w:ascii="Times New Roman" w:cs="Times New Roman" w:eastAsia="Times New Roman" w:hAnsi="Times New Roman"/>
          <w:sz w:val="18"/>
          <w:szCs w:val="18"/>
          <w:color w:val="auto"/>
        </w:rPr>
        <w:t xml:space="preserve"> also satisfy heightened independence requirements contained in the NASDAQ Listing Rules as well as Rule 10C-1 under the Exchange Act.</w:t>
      </w:r>
    </w:p>
    <w:p>
      <w:pPr>
        <w:spacing w:after="0" w:line="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Under Rule 5605(a)(2), a director will only qualify as an “independent director” if, in the opinion of our board of directors, that person does not have a relationship that would interfere with the exercise of independent judgment in carrying out the responsibilities of a director.</w:t>
      </w:r>
    </w:p>
    <w:p>
      <w:pPr>
        <w:spacing w:after="0" w:line="5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72"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When determining the independence of the members of our compensation committee under the heightened independence requirements contained in the NASDAQ Listing Rules and Rule 10C-1, our board of directors is required to consider all factors specifically relevant to determining whether a director has a relationship with us that is material to that director’s ability to be independent from management in connection with the duties of a compensation committee member, including, but not limited to: (1) the source of compensation of that director, including any consulting, advisory or other compensatory fee paid by us to that director; and (2) whether that director is affiliated with our company, a subsidiary of our company or an affiliate of a subsidiary of our company.</w:t>
      </w:r>
    </w:p>
    <w:p>
      <w:pPr>
        <w:spacing w:after="0" w:line="8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March 2014, our board of directors undertook a review of the composition of our board of directors and its committees and the independence of each director. In October 2014, our board of directors further considered the independence of David Parkinson and Susan Kelley, respectively, in connection with their respective appointments to our board of directors. Based upon information requested from and provided by each director concerning his background, employment and affiliations, including family relationships, our board of directors has determined that each of our directors, with the exception of Alan Crane, is an “independent director” as defined under Rule 5605(a)(2) of the NASDAQ Listing Rules.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Lead Independent Director</w:t>
      </w:r>
    </w:p>
    <w:p>
      <w:pPr>
        <w:spacing w:after="0" w:line="22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Dr. Rastetter to serve as our lead independent director. As lead independent director, Dr. Rastetter presides over periodic meetings of our independent directors, serves as a liaison between our Chairman and the independent directors and performs such additional duties as our board of directors may otherwise delegate.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Our board of directors also determined that Steven E. Hall, William T. McKee and William H. Rastetter, who comprise our audit committee, Steven E. Hall and Robert I. Tepper, who comprise our compensation committee, and William T. McKee and William H. Rastetter, who compromise our nominating committee, satisfy the independence standards for such committees established by the SEC and the NASDAQ Listing Rules, as applicable.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00" w:lineRule="exact"/>
        <w:rPr>
          <w:sz w:val="20"/>
          <w:szCs w:val="20"/>
          <w:color w:val="auto"/>
        </w:rPr>
      </w:pPr>
    </w:p>
    <w:p>
      <w:pPr>
        <w:spacing w:after="0" w:line="33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aggregate fees billed to us for services related to the fiscal years ended December 31, 2014 and 2013, by Deloitte &amp; Touche LLP, our independent registered public accounting firm for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333" w:right="239" w:bottom="1440" w:gutter="0" w:footer="0" w:header="0"/>
        </w:sectPr>
      </w:pPr>
    </w:p>
    <w:bookmarkStart w:id="144" w:name="page145"/>
    <w:bookmarkEnd w:id="144"/>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6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1,075,872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Related Fees (2)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Fees (3)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80" w:type="dxa"/>
            <w:vAlign w:val="bottom"/>
            <w:shd w:val="clear" w:color="auto" w:fill="CFF0FC"/>
          </w:tcPr>
          <w:p>
            <w:pPr>
              <w:spacing w:after="0"/>
              <w:rPr>
                <w:sz w:val="19"/>
                <w:szCs w:val="19"/>
                <w:color w:val="auto"/>
              </w:rPr>
            </w:pP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375,552</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1,095,721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60" w:right="20" w:hanging="372"/>
        <w:spacing w:after="0" w:line="261"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performed by Deloitte &amp; Touche LLP for the audit of our annual consolidated financial statements, the review of interim consolidated financial statements, and related services that are normally provided in connection with registration statements, including the registration statement for our initial public offering. Included in the 2013 Audit Fees is $478,772 of fees billed in connection with our initial public offering.</w:t>
      </w:r>
    </w:p>
    <w:p>
      <w:pPr>
        <w:spacing w:after="0" w:line="71" w:lineRule="exact"/>
        <w:rPr>
          <w:rFonts w:ascii="Times New Roman" w:cs="Times New Roman" w:eastAsia="Times New Roman" w:hAnsi="Times New Roman"/>
          <w:sz w:val="18"/>
          <w:szCs w:val="18"/>
          <w:color w:val="auto"/>
        </w:rPr>
      </w:pPr>
    </w:p>
    <w:p>
      <w:pPr>
        <w:ind w:left="760" w:right="340" w:hanging="372"/>
        <w:spacing w:after="0" w:line="266"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may consist of fees billed by an independent registered public accounting firm for assurance and related services that are reasonably related to the performance of the audit or review of our consolidated financial statements. There were no such fees incurred by the company in 2014 or 2013.</w:t>
      </w:r>
    </w:p>
    <w:p>
      <w:pPr>
        <w:spacing w:after="0" w:line="68" w:lineRule="exact"/>
        <w:rPr>
          <w:rFonts w:ascii="Times New Roman" w:cs="Times New Roman" w:eastAsia="Times New Roman" w:hAnsi="Times New Roman"/>
          <w:sz w:val="18"/>
          <w:szCs w:val="18"/>
          <w:color w:val="auto"/>
        </w:rPr>
      </w:pPr>
    </w:p>
    <w:p>
      <w:pPr>
        <w:ind w:left="760" w:right="600" w:hanging="37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an independent registered public accounting firm.</w:t>
      </w:r>
    </w:p>
    <w:p>
      <w:pPr>
        <w:spacing w:after="0" w:line="53" w:lineRule="exact"/>
        <w:rPr>
          <w:rFonts w:ascii="Times New Roman" w:cs="Times New Roman" w:eastAsia="Times New Roman" w:hAnsi="Times New Roman"/>
          <w:sz w:val="18"/>
          <w:szCs w:val="18"/>
          <w:color w:val="auto"/>
        </w:rPr>
      </w:pPr>
    </w:p>
    <w:p>
      <w:pPr>
        <w:ind w:left="760" w:right="80" w:hanging="37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the year ended December 31, 2013 were for consulting services in connection with formation of our wholly owned subsidiary, Cerulean Pharma Australia Pty Ltd. There were no such fees incurred in 2014.</w:t>
      </w:r>
    </w:p>
    <w:p>
      <w:pPr>
        <w:spacing w:after="0" w:line="3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audit committee has considered the services listed above to be compatible with maintaining Deloitte &amp; Touche LLP’s independence.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229" w:lineRule="exact"/>
        <w:rPr>
          <w:sz w:val="20"/>
          <w:szCs w:val="20"/>
          <w:color w:val="auto"/>
        </w:rPr>
      </w:pPr>
    </w:p>
    <w:p>
      <w:pPr>
        <w:ind w:firstLine="761"/>
        <w:spacing w:after="0" w:line="255" w:lineRule="auto"/>
        <w:rPr>
          <w:sz w:val="20"/>
          <w:szCs w:val="20"/>
          <w:color w:val="auto"/>
        </w:rPr>
      </w:pPr>
      <w:r>
        <w:rPr>
          <w:rFonts w:ascii="Times New Roman" w:cs="Times New Roman" w:eastAsia="Times New Roman" w:hAnsi="Times New Roman"/>
          <w:sz w:val="18"/>
          <w:szCs w:val="18"/>
          <w:color w:val="auto"/>
        </w:rPr>
        <w:t>Our audit committee has established a policy that all audit and permissible non-audit services provided by our independent registered public accounting firm will be pre-approved by the audit committee, and all such services were pre-approved in accordance with this policy during the fiscal year ended December 31, 2014.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00"/>
          </w:cols>
          <w:pgMar w:left="240" w:top="344" w:right="359" w:bottom="1440" w:gutter="0" w:footer="0" w:header="0"/>
        </w:sectPr>
      </w:pPr>
    </w:p>
    <w:bookmarkStart w:id="145" w:name="page146"/>
    <w:bookmarkEnd w:id="14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set forth in Part II, Item 8 of this Annual Report on Form 10-K and are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or the notes thereto or is not applicable or required.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exhibits and are incorporated herein.</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60"/>
          </w:cols>
          <w:pgMar w:left="240" w:top="900" w:right="399" w:bottom="1440" w:gutter="0" w:footer="0" w:header="0"/>
        </w:sectPr>
      </w:pPr>
    </w:p>
    <w:bookmarkStart w:id="146" w:name="page147"/>
    <w:bookmarkEnd w:id="14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00" w:lineRule="exact"/>
        <w:rPr>
          <w:sz w:val="20"/>
          <w:szCs w:val="20"/>
          <w:color w:val="auto"/>
        </w:rPr>
      </w:pPr>
    </w:p>
    <w:p>
      <w:pPr>
        <w:spacing w:after="0" w:line="299" w:lineRule="exact"/>
        <w:rPr>
          <w:sz w:val="20"/>
          <w:szCs w:val="20"/>
          <w:color w:val="auto"/>
        </w:rPr>
      </w:pPr>
    </w:p>
    <w:p>
      <w:pPr>
        <w:ind w:left="5620"/>
        <w:spacing w:after="0"/>
        <w:tabs>
          <w:tab w:leader="none" w:pos="10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Christopher D. T. Guiffre</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Christopher D. T. Guiffre, J.D.</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Chief Operating Officer</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2015</w:t>
      </w:r>
    </w:p>
    <w:p>
      <w:pPr>
        <w:spacing w:after="0" w:line="225"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D. T. Guiffre</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Christopher D. T. Guiffre, J.D.</w:t>
            </w: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L. Roberts</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Karen L. Roberts</w:t>
            </w: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Friedman</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Paul A. Friedman, M.D.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H. Rastetter</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William H. Rastetter, Ph.D.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L. Crane</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Alan L. Crane</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E. Hall</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Steven E. Hall, Ph.D.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L. Kelley</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Susan L. Kelley, M.D.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 McKee</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William T. McKee</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Parkinson</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David Parkinson, M.D.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 Sasisekharan</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Ram Sasisekharan, Ph.D.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I. Tepper</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March 19, 2015</w:t>
            </w:r>
          </w:p>
        </w:tc>
      </w:tr>
      <w:tr>
        <w:trPr>
          <w:trHeight w:val="224"/>
        </w:trPr>
        <w:tc>
          <w:tcPr>
            <w:tcW w:w="3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Robert I. Tepper, M.D.</w:t>
            </w:r>
          </w:p>
        </w:tc>
        <w:tc>
          <w:tcPr>
            <w:tcW w:w="464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240" w:top="333" w:right="419" w:bottom="1440" w:gutter="0" w:footer="0" w:header="0"/>
        </w:sectPr>
      </w:pPr>
    </w:p>
    <w:bookmarkStart w:id="147" w:name="page148"/>
    <w:bookmarkEnd w:id="147"/>
    <w:p>
      <w:pPr>
        <w:ind w:left="5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34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00"/>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6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4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Date of Filing</w:t>
            </w:r>
          </w:p>
        </w:tc>
        <w:tc>
          <w:tcPr>
            <w:tcW w:w="1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12"/>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3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Restated Certificate of Incorporation</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16,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0"/>
                <w:szCs w:val="20"/>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16,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Specimen Stock Certificate evidencing the shares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2007 Stock Incentive Plan, as amended</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Incentive Stock Option Agreement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2007 Stock Incentive Plan</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2007 Stock Incentive Plan</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 Stock Incentive Plan</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Incentive Stock Option Agreement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2014 Stock Incentive Plan</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2014 Stock Incentive Plan</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 Employee Stock Purchase Plan</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10.26</w:t>
            </w: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Agreement, dated as of May 22, 2000, as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between California Institute of</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Insert Therapeutics, Inc.</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Exclusive Patent License Agreement, dated as of</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21, 2006, as amended, between the</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Registrant and Massachusetts Institute of</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License Agreement, dated as of August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2007, as amended, between the Registrant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The Research Foundation of State University</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New York, on behalf of University of Buffalo</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IT-101 Agreement, dated as of June 23, 2009, as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between the Registrant and Calando</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Pharmaceuticals, Inc.</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Agreement, dated as of June 23, 2009,</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amended, between the Registrant and Calando</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Pharmaceuticals, Inc.</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Letter Agreement, dated as of August 6, 2013,</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the Registrant and California Institute of</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Series D Convertible Preferred Stock</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Agreement, dated November 30, 2012,</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amended</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Lease Agreement, dated September</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333-194442</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 2009, between the Registrant and Rivertech</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Associates II, LLC</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146</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680"/>
          </w:cols>
          <w:pgMar w:left="240" w:top="333" w:right="97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Lease Amendment to the Commercial</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Agreement between the Registrant and</w:t>
            </w:r>
          </w:p>
        </w:tc>
        <w:tc>
          <w:tcPr>
            <w:tcW w:w="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Rivertech Associate II, LLC, dated July 11,</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and Security Agreement, dated January 8,</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2015, between the Registrant and Hercules</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Purchase Agreement, dated January 8,</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2015, between the Registrant and Hercules</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to Invest Letter, dated January 8, 2015,</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between the Registrant and Hercules Technology</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Growth Capital, Inc.</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 between the</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 and each of its Executive Officers and</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Separation, Transition and Release of Claims</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 dated October 29, 2014, by and</w:t>
            </w:r>
          </w:p>
        </w:tc>
        <w:tc>
          <w:tcPr>
            <w:tcW w:w="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between the Company and Oliver S. Fetzer,</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Ph.D.</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to purchase shares of Series B</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 Stock issued by the</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 to Silicon Valley Bank</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Purchase Warrant of the</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 to purchase shares of Series C</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Purchase Warrant to purchase</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of Series D Convertible Preferred Stock</w:t>
            </w:r>
          </w:p>
        </w:tc>
        <w:tc>
          <w:tcPr>
            <w:tcW w:w="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by the Registrant to Lighthouse Capital</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 VI, L.P., as amended</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dated January 8, 2015, issued to</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Hercules Technology Growth Capital, Inc.</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Agreement dated July 21, 2014 by</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between the Registrant and Christopher D. T.</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Guiffre</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Agreement dated July 21, 2014 by</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between the Registrant and Edward Garmey</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Agreement dated July 21, 2014 by</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between the Registrant and Karen Roberts</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Agreement and Contingent</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 Award Agreement, dated March</w:t>
            </w:r>
          </w:p>
        </w:tc>
        <w:tc>
          <w:tcPr>
            <w:tcW w:w="420" w:type="dxa"/>
            <w:vAlign w:val="bottom"/>
          </w:tcPr>
          <w:p>
            <w:pPr>
              <w:spacing w:after="0"/>
              <w:rPr>
                <w:sz w:val="18"/>
                <w:szCs w:val="18"/>
                <w:color w:val="auto"/>
              </w:rPr>
            </w:pPr>
          </w:p>
        </w:tc>
      </w:tr>
      <w:tr>
        <w:trPr>
          <w:trHeight w:val="230"/>
        </w:trPr>
        <w:tc>
          <w:tcPr>
            <w:tcW w:w="74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2013, between the Registrant and Alan Crane</w:t>
            </w:r>
          </w:p>
        </w:tc>
        <w:tc>
          <w:tcPr>
            <w:tcW w:w="42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to the Stock Option Agreement and</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Contingent Consideration Award</w:t>
            </w:r>
          </w:p>
        </w:tc>
        <w:tc>
          <w:tcPr>
            <w:tcW w:w="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dated September 16, 2014, by and between the</w:t>
            </w:r>
          </w:p>
        </w:tc>
        <w:tc>
          <w:tcPr>
            <w:tcW w:w="42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Registrant and Alan Crane</w:t>
            </w: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17,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r>
      <w:tr>
        <w:trPr>
          <w:trHeight w:val="8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8, 2015</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8, 2015</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8, 2015</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333-194442</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10.16</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r>
      <w:tr>
        <w:trPr>
          <w:trHeight w:val="8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333-194442</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10.18</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333-194442</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10.19</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333-194442</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10.20</w:t>
            </w:r>
          </w:p>
        </w:tc>
      </w:tr>
      <w:tr>
        <w:trPr>
          <w:trHeight w:val="8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8, 2015</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w:t>
            </w:r>
          </w:p>
        </w:tc>
      </w:tr>
      <w:tr>
        <w:trPr>
          <w:trHeight w:val="4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13,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13,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w:t>
            </w:r>
          </w:p>
        </w:tc>
      </w:tr>
      <w:tr>
        <w:trPr>
          <w:trHeight w:val="446"/>
        </w:trPr>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333-194442</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10.24</w:t>
            </w: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001-36395</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13, 2014</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2">
            <w:col w:w="5020" w:space="560"/>
            <w:col w:w="4639"/>
          </w:cols>
          <w:pgMar w:left="240" w:top="351"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Fifth Amendment, dated as of February 17,</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2015, to Exclusive Patent License Agreement,</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dated as of December 21, 2006, as amended,</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between the Registrant and Massachusetts</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Institute of Technology</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and Security Agreement, entered into as of</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333-194442</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6, 2011, as amended, between the</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Registrant and Lighthouse Capital Partners VI,</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L.P.</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Rule 13a-14(a)/15d 14(a) of the</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Rule 13a-14(a)/15d-14(a) of the</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18 U.S.C. §1350, as adopted</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 of 2002</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18 U.S.C. §1350, as adopted</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 of 2002</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19, 2015</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hanging="392"/>
        <w:spacing w:after="0" w:line="261" w:lineRule="auto"/>
        <w:tabs>
          <w:tab w:leader="none" w:pos="400" w:val="left"/>
        </w:tabs>
        <w:numPr>
          <w:ilvl w:val="0"/>
          <w:numId w:val="1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Confidential treatment requested as to certain portions, which portions have been omitted and filed separately with the Securities and Exchange Commission.</w:t>
      </w:r>
    </w:p>
    <w:p>
      <w:pPr>
        <w:jc w:val="center"/>
        <w:ind w:left="5580" w:right="240" w:hanging="5572"/>
        <w:spacing w:after="0" w:line="762" w:lineRule="auto"/>
        <w:tabs>
          <w:tab w:leader="none" w:pos="401" w:val="left"/>
        </w:tabs>
        <w:numPr>
          <w:ilvl w:val="0"/>
          <w:numId w:val="1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Management contracts or compensatory plans or arrangements required to be filed as an exhibit hereto pursuant to Item 15(a) of Form 10-K. </w:t>
      </w:r>
      <w:r>
        <w:rPr>
          <w:rFonts w:ascii="Times New Roman" w:cs="Times New Roman" w:eastAsia="Times New Roman" w:hAnsi="Times New Roman"/>
          <w:sz w:val="18"/>
          <w:szCs w:val="18"/>
          <w:color w:val="000000"/>
        </w:rPr>
        <w:t>148</w:t>
      </w:r>
    </w:p>
    <w:p>
      <w:pPr>
        <w:sectPr>
          <w:pgSz w:w="11900" w:h="16838" w:orient="portrait"/>
          <w:cols w:equalWidth="0" w:num="1">
            <w:col w:w="10760"/>
          </w:cols>
          <w:pgMar w:left="240" w:top="351" w:right="8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made this 21st day of July, 2014, is entered into by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“Company”), and Karen Roberts (the “Employee”).</w:t>
      </w:r>
    </w:p>
    <w:p>
      <w:pPr>
        <w:spacing w:after="0" w:line="176"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Company desires to continue to employ the Employee and the Employee desires to continue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176" w:lineRule="exact"/>
        <w:rPr>
          <w:sz w:val="20"/>
          <w:szCs w:val="20"/>
          <w:color w:val="auto"/>
        </w:rPr>
      </w:pPr>
    </w:p>
    <w:p>
      <w:pPr>
        <w:jc w:val="both"/>
        <w:ind w:right="160" w:firstLine="526"/>
        <w:spacing w:after="0" w:line="266" w:lineRule="auto"/>
        <w:tabs>
          <w:tab w:leader="none" w:pos="69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Company hereby agrees to continue to employ the Employee and the Employee hereby accepts continued employment with the Company, upon the terms set forth in this Agreement. There shall be no definite term of employment, and the Employee’s employment shall be at-will such that both the Company and the Employee remain free to end the employment relationship for any reason, at any time, with or without notice.</w:t>
      </w:r>
    </w:p>
    <w:p>
      <w:pPr>
        <w:spacing w:after="0" w:line="176"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Capacity</w:t>
      </w:r>
      <w:r>
        <w:rPr>
          <w:rFonts w:ascii="Times New Roman" w:cs="Times New Roman" w:eastAsia="Times New Roman" w:hAnsi="Times New Roman"/>
          <w:sz w:val="18"/>
          <w:szCs w:val="18"/>
          <w:color w:val="auto"/>
        </w:rPr>
        <w:t>. The Employee shall serve as Senior Vice President, Finance and Administration of the Company and shall report to the Chief Executive Officer of the Company. The Employee shall be based at the Company's headquarters in Cambridge, Massachusetts.</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Employee agrees to undertake the duties and responsibilities inherent in such position and such other duties and responsibilities as the Chief Executive Officer or the Board of Directors of the Company (the “Board”) shall from time to time reasonably assign to her. The Employee agrees to devote her entire business time, attention and energies to the business and interests of the Company. The Employee agrees to abide by the rules, regulations, instructions, personnel practices and policies of the Company and any changes therein that may be adopted from time to time by the Company.</w:t>
      </w:r>
    </w:p>
    <w:p>
      <w:pPr>
        <w:spacing w:after="0" w:line="180" w:lineRule="exact"/>
        <w:rPr>
          <w:sz w:val="20"/>
          <w:szCs w:val="20"/>
          <w:color w:val="auto"/>
        </w:rPr>
      </w:pPr>
    </w:p>
    <w:p>
      <w:pPr>
        <w:ind w:left="700" w:hanging="174"/>
        <w:spacing w:after="0"/>
        <w:tabs>
          <w:tab w:leader="none" w:pos="7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1035"/>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Employee, in accordance with the Company's regular payroll practices, a base salary at the annualized rate of $242,000, subject to adjustment thereafter by the Board.</w:t>
      </w:r>
    </w:p>
    <w:p>
      <w:pPr>
        <w:spacing w:after="0" w:line="162" w:lineRule="exact"/>
        <w:rPr>
          <w:sz w:val="20"/>
          <w:szCs w:val="20"/>
          <w:color w:val="auto"/>
        </w:rPr>
      </w:pPr>
    </w:p>
    <w:p>
      <w:pPr>
        <w:ind w:right="20" w:firstLine="1035"/>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addition to a base salary, the Employee will be eligible to receive a performance-based annual bonus for each fiscal year in which she is employed by the Company in the capacity of Senior Vice President, Finance and Administration. This bonus shall be based upon reasonably attainable annual quantitative and qualitative performance objectives established by the Board. The Employee’s annual bonus level target shall be set at thirty percent (30%) of the Employee’s base salary for the currently applicable fiscal year and shall be subject to adjustment thereafter by the Board. The Board will determine, in its sole discretion, based upon its review of the achievement of the performance objectives for a given fiscal year and its consideration of the recommendation of the Compensation Committee, whether (and in what amount) a bonus award is payable to the Employee.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be eligible to receive a bonus award, the Employee must be an active employee on the date any such bonuses are distributed.</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its employees to the extent that the Employee is eligible under (and subject to the provisions of) the plan documents governing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The Employee shall be entitled to twenty (20) days paid vacation per year plus personal days and paid holidays generally offered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employees, each to be administered in accordance with Company policy.</w:t>
      </w:r>
    </w:p>
    <w:p>
      <w:pPr>
        <w:spacing w:after="0" w:line="207" w:lineRule="exact"/>
        <w:rPr>
          <w:sz w:val="20"/>
          <w:szCs w:val="20"/>
          <w:color w:val="auto"/>
        </w:rPr>
      </w:pPr>
    </w:p>
    <w:p>
      <w:pPr>
        <w:ind w:right="60" w:firstLine="1034"/>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Employee for all reasonable travel, entertainment and other expenses incurred or paid by the Employee in connection with, or related to, the performance of her duties, responsibilities or services under this Agreement in accordance with the Company’s expense reimbursement policies as set forth in the Company’s employee handbook, a copy of which has been provided to the Employee. The reimbursement of expenses hereunder shall be subject to the terms and conditions set forth in Section 18(e) of this Agreement.</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salary, bonus and other compensation or benefits payable to the Employee shall be subject to applicable withholdings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7" w:lineRule="exact"/>
        <w:rPr>
          <w:sz w:val="20"/>
          <w:szCs w:val="20"/>
          <w:color w:val="auto"/>
        </w:rPr>
      </w:pPr>
    </w:p>
    <w:p>
      <w:pPr>
        <w:ind w:left="700" w:hanging="17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Upon Resignation By The Employee Without Good Reason or Termination By The Company For Cause</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31" w:right="239" w:bottom="1440" w:gutter="0" w:footer="0" w:header="0"/>
        </w:sectPr>
      </w:pPr>
    </w:p>
    <w:bookmarkStart w:id="151" w:name="page152"/>
    <w:bookmarkEnd w:id="151"/>
    <w:p>
      <w:pPr>
        <w:ind w:firstLine="1034"/>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Payment upon Voluntary Resignation or Termination for Cause</w:t>
      </w:r>
      <w:r>
        <w:rPr>
          <w:rFonts w:ascii="Times New Roman" w:cs="Times New Roman" w:eastAsia="Times New Roman" w:hAnsi="Times New Roman"/>
          <w:sz w:val="18"/>
          <w:szCs w:val="18"/>
          <w:color w:val="auto"/>
        </w:rPr>
        <w:t>. If the Employee voluntarily resigns her employment other than for Good Reason (as defined in Section 4.2), or if the Company terminates the Employee for Cause (as defined in Section 4.3), the Company shall pay the Employee all accrued and unpaid base salary through the Employee’s date of termination and any vacation that is accrued but unused as of such date. The Employee shall not be eligible for any severance or separation payments (including, but not limited to, those described in Sections 5 and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pacing w:after="0" w:line="189" w:lineRule="exact"/>
        <w:rPr>
          <w:sz w:val="20"/>
          <w:szCs w:val="20"/>
          <w:color w:val="auto"/>
        </w:rPr>
      </w:pPr>
    </w:p>
    <w:p>
      <w:pPr>
        <w:ind w:right="20" w:firstLine="1034"/>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Definition of “Good Reason”</w:t>
      </w:r>
      <w:r>
        <w:rPr>
          <w:rFonts w:ascii="Times New Roman" w:cs="Times New Roman" w:eastAsia="Times New Roman" w:hAnsi="Times New Roman"/>
          <w:sz w:val="18"/>
          <w:szCs w:val="18"/>
          <w:color w:val="auto"/>
        </w:rPr>
        <w:t xml:space="preserve">. For purposes of this Agreement, “Good Reason” means the occurrence, without the Employee’s written consent, of any of the events or circumstances set forth in clauses (a) through (c)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event described in clauses (a) through (c) 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spacing w:after="0" w:line="184" w:lineRule="exact"/>
        <w:rPr>
          <w:sz w:val="20"/>
          <w:szCs w:val="20"/>
          <w:color w:val="auto"/>
        </w:rPr>
      </w:pPr>
    </w:p>
    <w:p>
      <w:pPr>
        <w:ind w:left="1800" w:hanging="24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diminution of the Employee’s duties, authority or responsibilities;</w:t>
      </w:r>
    </w:p>
    <w:p>
      <w:pPr>
        <w:spacing w:after="0" w:line="225" w:lineRule="exact"/>
        <w:rPr>
          <w:rFonts w:ascii="Times New Roman" w:cs="Times New Roman" w:eastAsia="Times New Roman" w:hAnsi="Times New Roman"/>
          <w:sz w:val="18"/>
          <w:szCs w:val="18"/>
          <w:color w:val="auto"/>
        </w:rPr>
      </w:pPr>
    </w:p>
    <w:p>
      <w:pPr>
        <w:ind w:left="1820" w:hanging="260"/>
        <w:spacing w:after="0"/>
        <w:tabs>
          <w:tab w:leader="none" w:pos="1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Employee’s base salary; or</w:t>
      </w:r>
    </w:p>
    <w:p>
      <w:pPr>
        <w:spacing w:after="0" w:line="225" w:lineRule="exact"/>
        <w:rPr>
          <w:rFonts w:ascii="Times New Roman" w:cs="Times New Roman" w:eastAsia="Times New Roman" w:hAnsi="Times New Roman"/>
          <w:sz w:val="18"/>
          <w:szCs w:val="18"/>
          <w:color w:val="auto"/>
        </w:rPr>
      </w:pPr>
    </w:p>
    <w:p>
      <w:pPr>
        <w:ind w:right="300" w:firstLine="1560"/>
        <w:spacing w:after="0" w:line="266" w:lineRule="auto"/>
        <w:tabs>
          <w:tab w:leader="none" w:pos="179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by the Company in the location at which the Employee performs her principal duties for the Company to a new location that is both (i) outside a radius of 50 miles from the Employee’s principal residence and (ii) more than 30 miles from the location at which the Employee performed her principal duties for the Company.</w:t>
      </w:r>
    </w:p>
    <w:p>
      <w:pPr>
        <w:spacing w:after="0" w:line="17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If the Company fails to timely correct an event of Good Reason, the termination of Executive’s employment shall become effective 60 days after such notice is received by the Company.</w:t>
      </w:r>
    </w:p>
    <w:p>
      <w:pPr>
        <w:spacing w:after="0" w:line="162" w:lineRule="exact"/>
        <w:rPr>
          <w:sz w:val="20"/>
          <w:szCs w:val="20"/>
          <w:color w:val="auto"/>
        </w:rPr>
      </w:pPr>
    </w:p>
    <w:p>
      <w:pPr>
        <w:ind w:right="160" w:firstLine="1034"/>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“Cause” is defined as: (i) a good faith finding by the Board (excluding the Employee, if applicable) of (a) the Employee’s failure to (1) perform reasonably assigned lawful duties or (2) comply with a lawful instruction of the Board so long as, in the case of (2), the instruction is consistent with the scope and responsibilities of the Employee’s position, or (b) 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her failure to so perform or comply; or (ii) the Employee’s indictment, or the entering of a guilty plea or plea of “no contest” with respect to a felony or any crime involving moral turpitude.</w:t>
      </w:r>
    </w:p>
    <w:p>
      <w:pPr>
        <w:spacing w:after="0" w:line="189" w:lineRule="exact"/>
        <w:rPr>
          <w:sz w:val="20"/>
          <w:szCs w:val="20"/>
          <w:color w:val="auto"/>
        </w:rPr>
      </w:pPr>
    </w:p>
    <w:p>
      <w:pPr>
        <w:ind w:right="180" w:firstLine="526"/>
        <w:spacing w:after="0" w:line="256" w:lineRule="auto"/>
        <w:tabs>
          <w:tab w:leader="none" w:pos="69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 In addition, subject to the Employee’s execution and non-revocation of a binding severance and mutual release agreement in a form satisfactory to the Company (hereinafter, a “Severance Agreement”) and subject to the terms and conditions of Section 18 of this Agreement, the Employee shall be eligible to receive the following separation benefits:</w:t>
      </w:r>
    </w:p>
    <w:p>
      <w:pPr>
        <w:spacing w:after="0" w:line="188" w:lineRule="exact"/>
        <w:rPr>
          <w:sz w:val="20"/>
          <w:szCs w:val="20"/>
          <w:color w:val="auto"/>
        </w:rPr>
      </w:pPr>
    </w:p>
    <w:p>
      <w:pPr>
        <w:ind w:right="120" w:firstLine="1034"/>
        <w:spacing w:after="0" w:line="253" w:lineRule="auto"/>
        <w:rPr>
          <w:sz w:val="20"/>
          <w:szCs w:val="20"/>
          <w:color w:val="auto"/>
        </w:rPr>
      </w:pPr>
      <w:r>
        <w:rPr>
          <w:rFonts w:ascii="Times New Roman" w:cs="Times New Roman" w:eastAsia="Times New Roman" w:hAnsi="Times New Roman"/>
          <w:sz w:val="18"/>
          <w:szCs w:val="18"/>
          <w:color w:val="auto"/>
        </w:rPr>
        <w:t>5.1 (a) 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Employee’s employment is terminated by the Employee’s voluntary resignation for Good Reason as a result of the Company’s material reduction of the Employee’s base salary, then the Employee’s then-current annualized base salary shall refer to her base salary as in effect immediately before such material reduction took effect) and (ii) six (6), less any amounts required to be withheld under applicable law, which amount shall be payable in six (6) substantially equal monthly installments, in accordance with the Company’s payroll practices in effect from time to time beginning on the Payment Commencement Date (as defined below); and (b) 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in both cases, that the Severance Agreement has been executed and any applicable revocation period with respect thereto has expired within sixty (60) days following the Employee’s date of termination (such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 and</w:t>
      </w:r>
    </w:p>
    <w:p>
      <w:pPr>
        <w:spacing w:after="0" w:line="189" w:lineRule="exact"/>
        <w:rPr>
          <w:sz w:val="20"/>
          <w:szCs w:val="20"/>
          <w:color w:val="auto"/>
        </w:rPr>
      </w:pPr>
    </w:p>
    <w:p>
      <w:pPr>
        <w:ind w:right="640" w:firstLine="1034"/>
        <w:spacing w:after="0" w:line="282" w:lineRule="auto"/>
        <w:rPr>
          <w:sz w:val="20"/>
          <w:szCs w:val="20"/>
          <w:color w:val="auto"/>
        </w:rPr>
      </w:pPr>
      <w:r>
        <w:rPr>
          <w:rFonts w:ascii="Times New Roman" w:cs="Times New Roman" w:eastAsia="Times New Roman" w:hAnsi="Times New Roman"/>
          <w:sz w:val="18"/>
          <w:szCs w:val="18"/>
          <w:color w:val="auto"/>
        </w:rPr>
        <w:t>5.2 upon the Employee’s termination from employment pursuant to this Section 5, the Company shall make contributions to the cost of COBRA (Consolidated Omnibus Budget Reconciliation Act) coverage on behalf of the Employee and any applicable</w:t>
      </w:r>
    </w:p>
    <w:p>
      <w:pPr>
        <w:sectPr>
          <w:pgSz w:w="11900" w:h="16838" w:orient="portrait"/>
          <w:cols w:equalWidth="0" w:num="1">
            <w:col w:w="11420"/>
          </w:cols>
          <w:pgMar w:left="240" w:top="351" w:right="239" w:bottom="1440" w:gutter="0" w:footer="0" w:header="0"/>
        </w:sectPr>
      </w:pPr>
    </w:p>
    <w:bookmarkStart w:id="152" w:name="page153"/>
    <w:bookmarkEnd w:id="152"/>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dependents for a period of six (6) months after the Employee’s termination if the Employee elects COBRA coverage, and only for so long as such coverage continues in force; provided,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 commences new employment and is eligible for a new group health plan, the Company’s contributions toward COBRA coverage shall end when the new employment begins. 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 (6) month period, the Employee may continue such COBRA, if applicable, and shall be responsible for all premiums thereafter.</w:t>
      </w:r>
    </w:p>
    <w:p>
      <w:pPr>
        <w:spacing w:after="0" w:line="188" w:lineRule="exact"/>
        <w:rPr>
          <w:sz w:val="20"/>
          <w:szCs w:val="20"/>
          <w:color w:val="auto"/>
        </w:rPr>
      </w:pPr>
    </w:p>
    <w:p>
      <w:pPr>
        <w:ind w:left="700" w:hanging="174"/>
        <w:spacing w:after="0"/>
        <w:tabs>
          <w:tab w:leader="none" w:pos="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 or Disability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034"/>
        <w:spacing w:after="0" w:line="266" w:lineRule="auto"/>
        <w:rPr>
          <w:sz w:val="20"/>
          <w:szCs w:val="20"/>
          <w:color w:val="auto"/>
        </w:rPr>
      </w:pPr>
      <w:r>
        <w:rPr>
          <w:rFonts w:ascii="Times New Roman" w:cs="Times New Roman" w:eastAsia="Times New Roman" w:hAnsi="Times New Roman"/>
          <w:sz w:val="18"/>
          <w:szCs w:val="18"/>
          <w:color w:val="auto"/>
        </w:rPr>
        <w:t>6.1 If the Employee’s employment with the Company is terminated by reason of the Employee’s death or Disability (as defined below), then the Employee (or her estate, if applicable) shall be paid, within thirty (30) days of the date of the Employee’s death or determination of Disability, all accrued and unpaid base salary and any accrued but unused vacation through the date of termination.</w:t>
      </w:r>
    </w:p>
    <w:p>
      <w:pPr>
        <w:spacing w:after="0" w:line="176" w:lineRule="exact"/>
        <w:rPr>
          <w:sz w:val="20"/>
          <w:szCs w:val="20"/>
          <w:color w:val="auto"/>
        </w:rPr>
      </w:pPr>
    </w:p>
    <w:p>
      <w:pPr>
        <w:jc w:val="both"/>
        <w:ind w:right="100" w:firstLine="1034"/>
        <w:spacing w:after="0" w:line="266" w:lineRule="auto"/>
        <w:rPr>
          <w:sz w:val="20"/>
          <w:szCs w:val="20"/>
          <w:color w:val="auto"/>
        </w:rPr>
      </w:pPr>
      <w:r>
        <w:rPr>
          <w:rFonts w:ascii="Times New Roman" w:cs="Times New Roman" w:eastAsia="Times New Roman" w:hAnsi="Times New Roman"/>
          <w:sz w:val="18"/>
          <w:szCs w:val="18"/>
          <w:color w:val="auto"/>
        </w:rPr>
        <w:t>6.2 For purposes of this Agreement, “Disability” shall mean the Employee's absence from the full-time performance of the Employee’s duties with the Company for 180 consecutive calendar days as a result of incapacity due to mental or physical illness which is determined to be total and permanent by a physician selected by the Company or its insurers and acceptable to the Employee or the Employee’s legal representative.</w:t>
      </w:r>
    </w:p>
    <w:p>
      <w:pPr>
        <w:spacing w:after="0" w:line="176" w:lineRule="exact"/>
        <w:rPr>
          <w:sz w:val="20"/>
          <w:szCs w:val="20"/>
          <w:color w:val="auto"/>
        </w:rPr>
      </w:pPr>
    </w:p>
    <w:p>
      <w:pPr>
        <w:ind w:left="700" w:hanging="174"/>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Benefits to Employee Upon a Change of Control Termination</w:t>
      </w:r>
      <w:r>
        <w:rPr>
          <w:rFonts w:ascii="Times New Roman" w:cs="Times New Roman" w:eastAsia="Times New Roman" w:hAnsi="Times New Roman"/>
          <w:sz w:val="18"/>
          <w:szCs w:val="18"/>
          <w:color w:val="auto"/>
        </w:rPr>
        <w:t>. In the event of a Change of Control Termination (as defined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7.2(c) below), the Employee shall be entitled to all accrued and unpaid base salary and any accrued but unused vacation through the date of termination.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subject to the Employee’s execution and non-revocation of a binding Severance Agreement and subject to the terms and conditions of Section 18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the Employee shall be eligible to receive the following separation benefits:</w:t>
      </w:r>
    </w:p>
    <w:p>
      <w:pPr>
        <w:spacing w:after="0" w:line="207" w:lineRule="exact"/>
        <w:rPr>
          <w:sz w:val="20"/>
          <w:szCs w:val="20"/>
          <w:color w:val="auto"/>
        </w:rPr>
      </w:pPr>
    </w:p>
    <w:p>
      <w:pPr>
        <w:ind w:right="20" w:firstLine="1560"/>
        <w:spacing w:after="0" w:line="255" w:lineRule="auto"/>
        <w:tabs>
          <w:tab w:leader="none" w:pos="179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Employee’s employment is terminated by the Employee’s voluntary resignation for Good Reason as a result of the Company’s material reduction of the Employee’s base salary, then the Employee’s then-current annualized base salary shall refer to her base salary as in effect immediately before such material reduction took effect) and (ii) the Severance Period (as defined in Section 7.2(d) below), less any amounts required to be withheld under applicable law, which amount shall be payable, in full and in a lump-sum cash payment on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Employee’s date of termination occurs prior to the closing of the Change of Control, then the severance payable hereunder shall be paid in the manner set forth in Section 5.1(a); and</w:t>
      </w:r>
    </w:p>
    <w:p>
      <w:pPr>
        <w:spacing w:after="0" w:line="189" w:lineRule="exact"/>
        <w:rPr>
          <w:rFonts w:ascii="Times New Roman" w:cs="Times New Roman" w:eastAsia="Times New Roman" w:hAnsi="Times New Roman"/>
          <w:sz w:val="18"/>
          <w:szCs w:val="18"/>
          <w:color w:val="auto"/>
        </w:rPr>
      </w:pPr>
    </w:p>
    <w:p>
      <w:pPr>
        <w:ind w:right="80" w:firstLine="1560"/>
        <w:spacing w:after="0" w:line="261" w:lineRule="auto"/>
        <w:tabs>
          <w:tab w:leader="none" w:pos="18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the Employee’s target performance-based annual bonus pursuant to Section 3.2 for the year in which the Employee’s date of termination occurs and (ii) a fraction, the numerator of which is the number equal to the Severance Period and the denominator of which is twelve (12), less any amounts required to be withheld under applicable law, which amount shall be payable, in full and in a lump-sum cash payment on the Payment Commencement Date;</w:t>
      </w:r>
    </w:p>
    <w:p>
      <w:pPr>
        <w:spacing w:after="0" w:line="180" w:lineRule="exact"/>
        <w:rPr>
          <w:rFonts w:ascii="Times New Roman" w:cs="Times New Roman" w:eastAsia="Times New Roman" w:hAnsi="Times New Roman"/>
          <w:sz w:val="18"/>
          <w:szCs w:val="18"/>
          <w:color w:val="auto"/>
        </w:rPr>
      </w:pPr>
    </w:p>
    <w:p>
      <w:pPr>
        <w:ind w:right="300" w:firstLine="1560"/>
        <w:spacing w:after="0" w:line="282" w:lineRule="auto"/>
        <w:tabs>
          <w:tab w:leader="none" w:pos="179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the cost of COBRA coverage as provided in section 5.2 hereof, provided that in the event of a Change of Control Termination, such contributions shall last for the duration of the Severance Period; and</w:t>
      </w:r>
    </w:p>
    <w:p>
      <w:pPr>
        <w:spacing w:after="0" w:line="161" w:lineRule="exact"/>
        <w:rPr>
          <w:rFonts w:ascii="Times New Roman" w:cs="Times New Roman" w:eastAsia="Times New Roman" w:hAnsi="Times New Roman"/>
          <w:sz w:val="18"/>
          <w:szCs w:val="18"/>
          <w:color w:val="auto"/>
        </w:rPr>
      </w:pPr>
    </w:p>
    <w:p>
      <w:pPr>
        <w:jc w:val="both"/>
        <w:ind w:right="200" w:firstLine="1560"/>
        <w:spacing w:after="0" w:line="266" w:lineRule="auto"/>
        <w:tabs>
          <w:tab w:leader="none" w:pos="18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immediate vesting of any equity awards subject to time-based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Key Definitions</w:t>
      </w:r>
      <w:r>
        <w:rPr>
          <w:rFonts w:ascii="Times New Roman" w:cs="Times New Roman" w:eastAsia="Times New Roman" w:hAnsi="Times New Roman"/>
          <w:sz w:val="18"/>
          <w:szCs w:val="18"/>
          <w:color w:val="auto"/>
        </w:rPr>
        <w:t>. As used herein, the following terms shall have the following respective meanings:</w:t>
      </w:r>
    </w:p>
    <w:p>
      <w:pPr>
        <w:spacing w:after="0" w:line="225" w:lineRule="exact"/>
        <w:rPr>
          <w:sz w:val="20"/>
          <w:szCs w:val="20"/>
          <w:color w:val="auto"/>
        </w:rPr>
      </w:pPr>
    </w:p>
    <w:p>
      <w:pPr>
        <w:jc w:val="both"/>
        <w:ind w:right="160" w:firstLine="1560"/>
        <w:spacing w:after="0" w:line="266" w:lineRule="auto"/>
        <w:tabs>
          <w:tab w:leader="none" w:pos="179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occurrence set forth in any one or more of subsections (i) through (iii) below (including an event or occurrence that constitutes a Change in Control under one of such subsections but is specifically exempted from another such subsection), provided that such event constitutes a “change in control event” within the meaning of Treasury Regulation Section 1.409A-3(i)(5)(i):</w:t>
      </w:r>
    </w:p>
    <w:p>
      <w:pPr>
        <w:spacing w:after="0" w:line="176" w:lineRule="exact"/>
        <w:rPr>
          <w:rFonts w:ascii="Times New Roman" w:cs="Times New Roman" w:eastAsia="Times New Roman" w:hAnsi="Times New Roman"/>
          <w:sz w:val="18"/>
          <w:szCs w:val="18"/>
          <w:color w:val="auto"/>
        </w:rPr>
      </w:pPr>
    </w:p>
    <w:p>
      <w:pPr>
        <w:ind w:right="40" w:firstLine="2077"/>
        <w:spacing w:after="0" w:line="261" w:lineRule="auto"/>
        <w:tabs>
          <w:tab w:leader="none" w:pos="22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more than 50% of either (x) the then-outstanding shares of common stock of the Company (the “Outstanding Company</w:t>
      </w:r>
    </w:p>
    <w:p>
      <w:pPr>
        <w:sectPr>
          <w:pgSz w:w="11900" w:h="16838" w:orient="portrait"/>
          <w:cols w:equalWidth="0" w:num="1">
            <w:col w:w="11420"/>
          </w:cols>
          <w:pgMar w:left="240" w:top="351" w:right="239" w:bottom="1440" w:gutter="0" w:footer="0" w:header="0"/>
        </w:sectPr>
      </w:pPr>
    </w:p>
    <w:bookmarkStart w:id="153" w:name="page154"/>
    <w:bookmarkEnd w:id="153"/>
    <w:p>
      <w:pPr>
        <w:ind w:right="240"/>
        <w:spacing w:after="0" w:line="282" w:lineRule="auto"/>
        <w:rPr>
          <w:sz w:val="20"/>
          <w:szCs w:val="20"/>
          <w:color w:val="auto"/>
        </w:rPr>
      </w:pPr>
      <w:r>
        <w:rPr>
          <w:rFonts w:ascii="Times New Roman" w:cs="Times New Roman" w:eastAsia="Times New Roman" w:hAnsi="Times New Roman"/>
          <w:sz w:val="18"/>
          <w:szCs w:val="18"/>
          <w:color w:val="auto"/>
        </w:rPr>
        <w:t>Common Stock”) or (y) the combined voting power of the then-outstanding securities of the Company entitled to vote generally in the election of directors (the “Outstanding Company Voting Securities”); or</w:t>
      </w:r>
    </w:p>
    <w:p>
      <w:pPr>
        <w:spacing w:after="0" w:line="162" w:lineRule="exact"/>
        <w:rPr>
          <w:sz w:val="20"/>
          <w:szCs w:val="20"/>
          <w:color w:val="auto"/>
        </w:rPr>
      </w:pPr>
    </w:p>
    <w:p>
      <w:pPr>
        <w:ind w:right="40" w:firstLine="2077"/>
        <w:spacing w:after="0" w:line="254" w:lineRule="auto"/>
        <w:tabs>
          <w:tab w:leader="none" w:pos="233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or</w:t>
      </w:r>
    </w:p>
    <w:p>
      <w:pPr>
        <w:spacing w:after="0" w:line="186" w:lineRule="exact"/>
        <w:rPr>
          <w:rFonts w:ascii="Times New Roman" w:cs="Times New Roman" w:eastAsia="Times New Roman" w:hAnsi="Times New Roman"/>
          <w:sz w:val="18"/>
          <w:szCs w:val="18"/>
          <w:color w:val="auto"/>
        </w:rPr>
      </w:pPr>
    </w:p>
    <w:p>
      <w:pPr>
        <w:ind w:left="2400" w:hanging="323"/>
        <w:spacing w:after="0"/>
        <w:tabs>
          <w:tab w:leader="none" w:pos="240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or substantially complete liquidation or dissolution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firstLine="1560"/>
        <w:spacing w:after="0" w:line="256" w:lineRule="auto"/>
        <w:tabs>
          <w:tab w:leader="none" w:pos="180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p>
    <w:p>
      <w:pPr>
        <w:spacing w:after="0" w:line="187" w:lineRule="exact"/>
        <w:rPr>
          <w:rFonts w:ascii="Times New Roman" w:cs="Times New Roman" w:eastAsia="Times New Roman" w:hAnsi="Times New Roman"/>
          <w:sz w:val="18"/>
          <w:szCs w:val="18"/>
          <w:color w:val="auto"/>
        </w:rPr>
      </w:pPr>
    </w:p>
    <w:p>
      <w:pPr>
        <w:ind w:right="300" w:firstLine="1560"/>
        <w:spacing w:after="0" w:line="282" w:lineRule="auto"/>
        <w:tabs>
          <w:tab w:leader="none" w:pos="179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Termination</w:t>
      </w:r>
      <w:r>
        <w:rPr>
          <w:rFonts w:ascii="Times New Roman" w:cs="Times New Roman" w:eastAsia="Times New Roman" w:hAnsi="Times New Roman"/>
          <w:sz w:val="18"/>
          <w:szCs w:val="18"/>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161" w:lineRule="exact"/>
        <w:rPr>
          <w:rFonts w:ascii="Times New Roman" w:cs="Times New Roman" w:eastAsia="Times New Roman" w:hAnsi="Times New Roman"/>
          <w:sz w:val="18"/>
          <w:szCs w:val="18"/>
          <w:color w:val="auto"/>
        </w:rPr>
      </w:pPr>
    </w:p>
    <w:p>
      <w:pPr>
        <w:ind w:firstLine="1560"/>
        <w:spacing w:after="0" w:line="282" w:lineRule="auto"/>
        <w:tabs>
          <w:tab w:leader="none" w:pos="180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six (6) months plus one (1) additional month for each year of service by the Employee with the Company, up to a maximum of nine (9) months.</w:t>
      </w:r>
    </w:p>
    <w:p>
      <w:pPr>
        <w:spacing w:after="0" w:line="161" w:lineRule="exact"/>
        <w:rPr>
          <w:rFonts w:ascii="Times New Roman" w:cs="Times New Roman" w:eastAsia="Times New Roman" w:hAnsi="Times New Roman"/>
          <w:sz w:val="18"/>
          <w:szCs w:val="18"/>
          <w:color w:val="auto"/>
        </w:rPr>
      </w:pPr>
    </w:p>
    <w:p>
      <w:pPr>
        <w:ind w:right="100" w:firstLine="526"/>
        <w:spacing w:after="0" w:line="282" w:lineRule="auto"/>
        <w:tabs>
          <w:tab w:leader="none" w:pos="69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Employee shall not be required to mitigate the amount of any payment or benefits provided for in Sections 5 or 7 by seeking other employment or otherwise except with regard to medical and dental coverage if new employment is obtained.</w:t>
      </w:r>
    </w:p>
    <w:p>
      <w:pPr>
        <w:spacing w:after="0" w:line="161" w:lineRule="exact"/>
        <w:rPr>
          <w:rFonts w:ascii="Times New Roman" w:cs="Times New Roman" w:eastAsia="Times New Roman" w:hAnsi="Times New Roman"/>
          <w:sz w:val="18"/>
          <w:szCs w:val="18"/>
          <w:color w:val="auto"/>
        </w:rPr>
      </w:pPr>
    </w:p>
    <w:p>
      <w:pPr>
        <w:ind w:left="700" w:hanging="174"/>
        <w:spacing w:after="0"/>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Sections 5 and 7 shall survive the termination of this Agreement for any reason.</w:t>
      </w:r>
    </w:p>
    <w:p>
      <w:pPr>
        <w:spacing w:after="0" w:line="225" w:lineRule="exact"/>
        <w:rPr>
          <w:rFonts w:ascii="Times New Roman" w:cs="Times New Roman" w:eastAsia="Times New Roman" w:hAnsi="Times New Roman"/>
          <w:sz w:val="18"/>
          <w:szCs w:val="18"/>
          <w:color w:val="auto"/>
        </w:rPr>
      </w:pPr>
    </w:p>
    <w:p>
      <w:pPr>
        <w:ind w:right="260" w:firstLine="526"/>
        <w:spacing w:after="0" w:line="282" w:lineRule="auto"/>
        <w:tabs>
          <w:tab w:leader="none" w:pos="7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and Non-Disclosure Agreement</w:t>
      </w:r>
      <w:r>
        <w:rPr>
          <w:rFonts w:ascii="Times New Roman" w:cs="Times New Roman" w:eastAsia="Times New Roman" w:hAnsi="Times New Roman"/>
          <w:sz w:val="18"/>
          <w:szCs w:val="18"/>
          <w:color w:val="auto"/>
        </w:rPr>
        <w:t>. The Employee and the Company acknowledge (a) that they have entered into an Invention and Non-Disclosure Agreement and (b) the continuing effectiveness of such Invention and Non-Disclosure Agreement.</w:t>
      </w:r>
    </w:p>
    <w:p>
      <w:pPr>
        <w:spacing w:after="0" w:line="161" w:lineRule="exact"/>
        <w:rPr>
          <w:rFonts w:ascii="Times New Roman" w:cs="Times New Roman" w:eastAsia="Times New Roman" w:hAnsi="Times New Roman"/>
          <w:sz w:val="18"/>
          <w:szCs w:val="18"/>
          <w:color w:val="auto"/>
        </w:rPr>
      </w:pPr>
    </w:p>
    <w:p>
      <w:pPr>
        <w:ind w:right="280" w:firstLine="526"/>
        <w:spacing w:after="0" w:line="258" w:lineRule="auto"/>
        <w:tabs>
          <w:tab w:leader="none" w:pos="78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11.</w:t>
      </w:r>
    </w:p>
    <w:p>
      <w:pPr>
        <w:spacing w:after="0" w:line="183" w:lineRule="exact"/>
        <w:rPr>
          <w:rFonts w:ascii="Times New Roman" w:cs="Times New Roman" w:eastAsia="Times New Roman" w:hAnsi="Times New Roman"/>
          <w:sz w:val="18"/>
          <w:szCs w:val="18"/>
          <w:color w:val="auto"/>
        </w:rPr>
      </w:pPr>
    </w:p>
    <w:p>
      <w:pPr>
        <w:ind w:right="40" w:firstLine="526"/>
        <w:spacing w:after="0" w:line="282" w:lineRule="auto"/>
        <w:tabs>
          <w:tab w:leader="none" w:pos="7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right="80" w:firstLine="526"/>
        <w:spacing w:after="0" w:line="282" w:lineRule="auto"/>
        <w:tabs>
          <w:tab w:leader="none" w:pos="7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all exhibits hereto constitute the entire agreement between the parties and supersedes all prior agreements and understandings, whether written or oral, relating to the subject matter of this Agreement.</w:t>
      </w:r>
    </w:p>
    <w:p>
      <w:pPr>
        <w:spacing w:after="0" w:line="161" w:lineRule="exact"/>
        <w:rPr>
          <w:rFonts w:ascii="Times New Roman" w:cs="Times New Roman" w:eastAsia="Times New Roman" w:hAnsi="Times New Roman"/>
          <w:sz w:val="18"/>
          <w:szCs w:val="18"/>
          <w:color w:val="auto"/>
        </w:rPr>
      </w:pPr>
    </w:p>
    <w:p>
      <w:pPr>
        <w:ind w:left="800" w:hanging="274"/>
        <w:spacing w:after="0"/>
        <w:tabs>
          <w:tab w:leader="none" w:pos="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Employee.</w:t>
      </w:r>
    </w:p>
    <w:p>
      <w:pPr>
        <w:spacing w:after="0" w:line="225" w:lineRule="exact"/>
        <w:rPr>
          <w:rFonts w:ascii="Times New Roman" w:cs="Times New Roman" w:eastAsia="Times New Roman" w:hAnsi="Times New Roman"/>
          <w:sz w:val="18"/>
          <w:szCs w:val="18"/>
          <w:color w:val="auto"/>
        </w:rPr>
      </w:pPr>
    </w:p>
    <w:p>
      <w:pPr>
        <w:ind w:right="420" w:firstLine="526"/>
        <w:spacing w:after="0" w:line="266" w:lineRule="auto"/>
        <w:tabs>
          <w:tab w:leader="none" w:pos="7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w:t>
      </w:r>
    </w:p>
    <w:p>
      <w:pPr>
        <w:sectPr>
          <w:pgSz w:w="11900" w:h="16838" w:orient="portrait"/>
          <w:cols w:equalWidth="0" w:num="1">
            <w:col w:w="11400"/>
          </w:cols>
          <w:pgMar w:left="240" w:top="351" w:right="259" w:bottom="1440" w:gutter="0" w:footer="0" w:header="0"/>
        </w:sectPr>
      </w:pPr>
    </w:p>
    <w:bookmarkStart w:id="154" w:name="page155"/>
    <w:bookmarkEnd w:id="154"/>
    <w:p>
      <w:pPr>
        <w:ind w:right="180"/>
        <w:spacing w:after="0" w:line="266" w:lineRule="auto"/>
        <w:rPr>
          <w:sz w:val="20"/>
          <w:szCs w:val="20"/>
          <w:color w:val="auto"/>
        </w:rPr>
      </w:pPr>
      <w:r>
        <w:rPr>
          <w:rFonts w:ascii="Times New Roman" w:cs="Times New Roman" w:eastAsia="Times New Roman" w:hAnsi="Times New Roman"/>
          <w:sz w:val="18"/>
          <w:szCs w:val="18"/>
          <w:color w:val="auto"/>
        </w:rPr>
        <w:t>appropriate, a federal court located within the 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76" w:lineRule="exact"/>
        <w:rPr>
          <w:sz w:val="20"/>
          <w:szCs w:val="20"/>
          <w:color w:val="auto"/>
        </w:rPr>
      </w:pPr>
    </w:p>
    <w:p>
      <w:pPr>
        <w:jc w:val="both"/>
        <w:ind w:right="40" w:firstLine="526"/>
        <w:spacing w:after="0" w:line="266" w:lineRule="auto"/>
        <w:tabs>
          <w:tab w:leader="none" w:pos="78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both parties and their respective successors and assigns, including any corporation with which or into which the Company may be merged or which may succeed to its assets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the Employee are personal and shall not be assigned by her.</w:t>
      </w:r>
    </w:p>
    <w:p>
      <w:pPr>
        <w:spacing w:after="0" w:line="176" w:lineRule="exact"/>
        <w:rPr>
          <w:rFonts w:ascii="Times New Roman" w:cs="Times New Roman" w:eastAsia="Times New Roman" w:hAnsi="Times New Roman"/>
          <w:sz w:val="18"/>
          <w:szCs w:val="18"/>
          <w:color w:val="auto"/>
        </w:rPr>
      </w:pPr>
    </w:p>
    <w:p>
      <w:pPr>
        <w:ind w:right="320" w:firstLine="526"/>
        <w:spacing w:after="0" w:line="266" w:lineRule="auto"/>
        <w:tabs>
          <w:tab w:leader="none" w:pos="78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Employee states and represents that she has had an opportunity to fully discuss and review the terms of this Agreement with an attorney. The Employee further states and represents that she has carefully read this Agreement, understands the contents herein, freely and voluntarily assents to all of the terms and conditions hereof, and signs her name of her own free act.</w:t>
      </w:r>
    </w:p>
    <w:p>
      <w:pPr>
        <w:spacing w:after="0" w:line="176" w:lineRule="exact"/>
        <w:rPr>
          <w:rFonts w:ascii="Times New Roman" w:cs="Times New Roman" w:eastAsia="Times New Roman" w:hAnsi="Times New Roman"/>
          <w:sz w:val="18"/>
          <w:szCs w:val="18"/>
          <w:color w:val="auto"/>
        </w:rPr>
      </w:pPr>
    </w:p>
    <w:p>
      <w:pPr>
        <w:ind w:right="160" w:firstLine="526"/>
        <w:spacing w:after="0" w:line="261" w:lineRule="auto"/>
        <w:tabs>
          <w:tab w:leader="none" w:pos="78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Subject to Section 409A</w:t>
      </w:r>
      <w:r>
        <w:rPr>
          <w:rFonts w:ascii="Times New Roman" w:cs="Times New Roman" w:eastAsia="Times New Roman" w:hAnsi="Times New Roman"/>
          <w:sz w:val="18"/>
          <w:szCs w:val="18"/>
          <w:color w:val="auto"/>
        </w:rPr>
        <w:t>. Subject to the provisions in this Section 18,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spacing w:after="0" w:line="180" w:lineRule="exact"/>
        <w:rPr>
          <w:rFonts w:ascii="Times New Roman" w:cs="Times New Roman" w:eastAsia="Times New Roman" w:hAnsi="Times New Roman"/>
          <w:sz w:val="18"/>
          <w:szCs w:val="18"/>
          <w:color w:val="auto"/>
        </w:rPr>
      </w:pPr>
    </w:p>
    <w:p>
      <w:pPr>
        <w:ind w:right="60" w:firstLine="1560"/>
        <w:spacing w:after="0" w:line="261" w:lineRule="auto"/>
        <w:tabs>
          <w:tab w:leader="none" w:pos="179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Agreement shall be treated as a separate “payment” for purposes of Section 409A of the Code and the guidance issued thereunder (“Section 409A”). Neither the Company nor the Employee shall have the right to accelerate or defer the delivery of any such payments or benefits except to the extent specifically permitted or required by Section 409A.</w:t>
      </w:r>
    </w:p>
    <w:p>
      <w:pPr>
        <w:spacing w:after="0" w:line="180" w:lineRule="exact"/>
        <w:rPr>
          <w:rFonts w:ascii="Times New Roman" w:cs="Times New Roman" w:eastAsia="Times New Roman" w:hAnsi="Times New Roman"/>
          <w:sz w:val="18"/>
          <w:szCs w:val="18"/>
          <w:color w:val="auto"/>
        </w:rPr>
      </w:pPr>
    </w:p>
    <w:p>
      <w:pPr>
        <w:ind w:right="380" w:firstLine="1560"/>
        <w:spacing w:after="0" w:line="266" w:lineRule="auto"/>
        <w:tabs>
          <w:tab w:leader="none" w:pos="180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pacing w:after="0" w:line="176" w:lineRule="exact"/>
        <w:rPr>
          <w:rFonts w:ascii="Times New Roman" w:cs="Times New Roman" w:eastAsia="Times New Roman" w:hAnsi="Times New Roman"/>
          <w:sz w:val="18"/>
          <w:szCs w:val="18"/>
          <w:color w:val="auto"/>
        </w:rPr>
      </w:pPr>
    </w:p>
    <w:p>
      <w:pPr>
        <w:ind w:firstLine="1560"/>
        <w:spacing w:after="0" w:line="282" w:lineRule="auto"/>
        <w:tabs>
          <w:tab w:leader="none" w:pos="179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Employee’s “separation from service” from the Company, the Employee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right="340" w:firstLine="2077"/>
        <w:spacing w:after="0" w:line="261" w:lineRule="auto"/>
        <w:tabs>
          <w:tab w:leader="none" w:pos="228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180" w:lineRule="exact"/>
        <w:rPr>
          <w:rFonts w:ascii="Times New Roman" w:cs="Times New Roman" w:eastAsia="Times New Roman" w:hAnsi="Times New Roman"/>
          <w:sz w:val="18"/>
          <w:szCs w:val="18"/>
          <w:color w:val="auto"/>
        </w:rPr>
      </w:pPr>
    </w:p>
    <w:p>
      <w:pPr>
        <w:ind w:right="60" w:firstLine="2077"/>
        <w:spacing w:after="0" w:line="254" w:lineRule="auto"/>
        <w:tabs>
          <w:tab w:leader="none" w:pos="233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installment of the severance payments and benefits due under this 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1.409A-1(b)(9)(iii) (relating to separation pay upon an involuntary separation from service). Any installments that qualify for the exception under Treasury Regulation § 1.409A-1(b)(9)(iii) must be paid no later than the last day of the Employee’s second taxable year following the taxable year in which the separation from service occurs.</w:t>
      </w:r>
    </w:p>
    <w:p>
      <w:pPr>
        <w:spacing w:after="0" w:line="186" w:lineRule="exact"/>
        <w:rPr>
          <w:rFonts w:ascii="Times New Roman" w:cs="Times New Roman" w:eastAsia="Times New Roman" w:hAnsi="Times New Roman"/>
          <w:sz w:val="18"/>
          <w:szCs w:val="18"/>
          <w:color w:val="auto"/>
        </w:rPr>
      </w:pPr>
    </w:p>
    <w:p>
      <w:pPr>
        <w:ind w:right="120" w:firstLine="1560"/>
        <w:spacing w:after="0" w:line="282" w:lineRule="auto"/>
        <w:tabs>
          <w:tab w:leader="none" w:pos="180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and when the Employee’s separation from service from the Company has occurred shall be made and in a manner consistent with, and based on the presumptions set forth in, Treasury Regulation § 1.409A-1(h).</w:t>
      </w:r>
    </w:p>
    <w:p>
      <w:pPr>
        <w:spacing w:after="0" w:line="161" w:lineRule="exact"/>
        <w:rPr>
          <w:rFonts w:ascii="Times New Roman" w:cs="Times New Roman" w:eastAsia="Times New Roman" w:hAnsi="Times New Roman"/>
          <w:sz w:val="18"/>
          <w:szCs w:val="18"/>
          <w:color w:val="auto"/>
        </w:rPr>
      </w:pPr>
    </w:p>
    <w:p>
      <w:pPr>
        <w:ind w:right="140" w:firstLine="1560"/>
        <w:spacing w:after="0" w:line="256" w:lineRule="auto"/>
        <w:tabs>
          <w:tab w:leader="none" w:pos="178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ectPr>
          <w:pgSz w:w="11900" w:h="16838" w:orient="portrait"/>
          <w:cols w:equalWidth="0" w:num="1">
            <w:col w:w="11420"/>
          </w:cols>
          <w:pgMar w:left="240" w:top="351" w:right="239" w:bottom="1440" w:gutter="0" w:footer="0" w:header="0"/>
        </w:sectPr>
      </w:pPr>
    </w:p>
    <w:bookmarkStart w:id="155" w:name="page156"/>
    <w:bookmarkEnd w:id="155"/>
    <w:p>
      <w:pPr>
        <w:ind w:right="160" w:firstLine="1560"/>
        <w:spacing w:after="0" w:line="282" w:lineRule="auto"/>
        <w:tabs>
          <w:tab w:leader="none" w:pos="177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161" w:lineRule="exact"/>
        <w:rPr>
          <w:rFonts w:ascii="Times New Roman" w:cs="Times New Roman" w:eastAsia="Times New Roman" w:hAnsi="Times New Roman"/>
          <w:sz w:val="18"/>
          <w:szCs w:val="18"/>
          <w:color w:val="auto"/>
        </w:rPr>
      </w:pPr>
    </w:p>
    <w:p>
      <w:pPr>
        <w:ind w:left="800" w:hanging="274"/>
        <w:spacing w:after="0"/>
        <w:tabs>
          <w:tab w:leader="none" w:pos="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034"/>
        <w:spacing w:after="0" w:line="266" w:lineRule="auto"/>
        <w:rPr>
          <w:sz w:val="20"/>
          <w:szCs w:val="20"/>
          <w:color w:val="auto"/>
        </w:rPr>
      </w:pPr>
      <w:r>
        <w:rPr>
          <w:rFonts w:ascii="Times New Roman" w:cs="Times New Roman" w:eastAsia="Times New Roman" w:hAnsi="Times New Roman"/>
          <w:sz w:val="18"/>
          <w:szCs w:val="18"/>
          <w:color w:val="auto"/>
        </w:rPr>
        <w:t>19.1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6" w:lineRule="exact"/>
        <w:rPr>
          <w:sz w:val="20"/>
          <w:szCs w:val="20"/>
          <w:color w:val="auto"/>
        </w:rPr>
      </w:pPr>
    </w:p>
    <w:p>
      <w:pPr>
        <w:ind w:right="280" w:firstLine="1034"/>
        <w:spacing w:after="0" w:line="282" w:lineRule="auto"/>
        <w:rPr>
          <w:sz w:val="20"/>
          <w:szCs w:val="20"/>
          <w:color w:val="auto"/>
        </w:rPr>
      </w:pPr>
      <w:r>
        <w:rPr>
          <w:rFonts w:ascii="Times New Roman" w:cs="Times New Roman" w:eastAsia="Times New Roman" w:hAnsi="Times New Roman"/>
          <w:sz w:val="18"/>
          <w:szCs w:val="18"/>
          <w:color w:val="auto"/>
        </w:rPr>
        <w:t>19.2 The captions of the sections of this Agreement are for convenience of reference only and in no way define, limit or affect the scope or substance of any section of this Agreement.</w:t>
      </w:r>
    </w:p>
    <w:p>
      <w:pPr>
        <w:spacing w:after="0" w:line="162" w:lineRule="exact"/>
        <w:rPr>
          <w:sz w:val="20"/>
          <w:szCs w:val="20"/>
          <w:color w:val="auto"/>
        </w:rPr>
      </w:pPr>
    </w:p>
    <w:p>
      <w:pPr>
        <w:ind w:right="20" w:firstLine="1034"/>
        <w:spacing w:after="0" w:line="282" w:lineRule="auto"/>
        <w:rPr>
          <w:sz w:val="20"/>
          <w:szCs w:val="20"/>
          <w:color w:val="auto"/>
        </w:rPr>
      </w:pPr>
      <w:r>
        <w:rPr>
          <w:rFonts w:ascii="Times New Roman" w:cs="Times New Roman" w:eastAsia="Times New Roman" w:hAnsi="Times New Roman"/>
          <w:sz w:val="18"/>
          <w:szCs w:val="18"/>
          <w:color w:val="auto"/>
        </w:rPr>
        <w:t>19.3 In case any provision of this Agreement shall be invalid, illegal or otherwise unenforceable, the validity, legality and enforceability of the remaining provisions shall in no way be affected or impaired thereby.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set forth above.</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50" w:lineRule="exact"/>
        <w:rPr>
          <w:sz w:val="20"/>
          <w:szCs w:val="20"/>
          <w:color w:val="auto"/>
        </w:rPr>
      </w:pPr>
    </w:p>
    <w:p>
      <w:pPr>
        <w:ind w:left="572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Oliver Fetzer</w:t>
      </w:r>
    </w:p>
    <w:p>
      <w:pPr>
        <w:spacing w:after="0" w:line="29" w:lineRule="exact"/>
        <w:rPr>
          <w:sz w:val="20"/>
          <w:szCs w:val="20"/>
          <w:color w:val="auto"/>
        </w:rPr>
      </w:pPr>
    </w:p>
    <w:p>
      <w:pPr>
        <w:ind w:left="572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EMPLOYEE</w:t>
      </w: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Karen Roberts</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Karen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20"/>
          </w:cols>
          <w:pgMar w:left="240" w:top="35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Fifth Amendment, with the effective date of February 17, 2015, is to the Exclusive License Agreement dated December 21, 2006, as amended by a First Amendment dated July 30, 2007, a Second Amendment dated June 1, 2008, a Third Amendment dated June 30, 2009, and a Fourth Amendment dated August 1, 2013 (the “License Agreement”) between Massachusetts Institute of Technology (“MIT”) and Cerulean Pharma Inc. (formerly known as Tempo Pharmaceuticals Inc., “COMPANY”). Capitalized terms used herein and not otherwise defined shall have the meanings given such terms in the License Agreement.</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Whereas, COMPANY has represented to MIT that it continues to devote substantial resources in an attempt to develop nanotechnology therapeutic products based on the technology of the Patent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COMPANY and MIT agree to amend certain provisions of the Third Amendment to the License Agreement to extend certain deadlines as follows:</w:t>
      </w:r>
    </w:p>
    <w:p>
      <w:pPr>
        <w:spacing w:after="0" w:line="225" w:lineRule="exact"/>
        <w:rPr>
          <w:sz w:val="20"/>
          <w:szCs w:val="20"/>
          <w:color w:val="auto"/>
        </w:rPr>
      </w:pPr>
    </w:p>
    <w:p>
      <w:pPr>
        <w:ind w:left="1020" w:hanging="494"/>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Section 2 of the Third Amendment shall be replaced in its entirety as follows:</w:t>
      </w:r>
    </w:p>
    <w:p>
      <w:pPr>
        <w:spacing w:after="0" w:line="225"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131313"/>
        </w:rPr>
        <w:t>The diligence terms of Sections 3(b), 3(c), 3(f), 3(g), 3(h), 3(i) and 3(j) shall be deleted in their entirety, but with the understanding that new diligence terms shall be agreed upon by the parties in accordance with Section 2 below by September 30, 2015.</w:t>
      </w:r>
    </w:p>
    <w:p>
      <w:pPr>
        <w:spacing w:after="0" w:line="162" w:lineRule="exact"/>
        <w:rPr>
          <w:sz w:val="20"/>
          <w:szCs w:val="20"/>
          <w:color w:val="auto"/>
        </w:rPr>
      </w:pPr>
    </w:p>
    <w:p>
      <w:pPr>
        <w:ind w:left="1020" w:hanging="494"/>
        <w:spacing w:after="0"/>
        <w:tabs>
          <w:tab w:leader="none" w:pos="1020" w:val="left"/>
        </w:tabs>
        <w:numPr>
          <w:ilvl w:val="0"/>
          <w:numId w:val="132"/>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Section 4 of the Third Amendment shall be replaced in its entirety as follows:</w:t>
      </w:r>
    </w:p>
    <w:p>
      <w:pPr>
        <w:spacing w:after="0" w:line="225"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By June 1, 2015, COMPANY shall present to MIT a plan for development of Licensed Products under the PATENT RIGHTS which is satisfactory to MIT and a proposal for new diligence terms for development of Licensed Products. Thereupon, COMPANY and MIT shall negotiate in good faith the new diligence terms, which terms, once agreed upon, shall be added by further amendment to the License Agreement. In the event that COMPANY and MIT are unable to agree on new diligence terms by September 30, 2015, MIT may, at its sole discretion, terminate the License Agreement immediately upon written notice to COMPANY.</w:t>
      </w:r>
    </w:p>
    <w:p>
      <w:pPr>
        <w:spacing w:after="0" w:line="184" w:lineRule="exact"/>
        <w:rPr>
          <w:sz w:val="20"/>
          <w:szCs w:val="20"/>
          <w:color w:val="auto"/>
        </w:rPr>
      </w:pPr>
    </w:p>
    <w:p>
      <w:pPr>
        <w:ind w:left="1020" w:hanging="49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Section 6 of the Third Amendment shall be replaced in its entirety as follows</w:t>
      </w:r>
    </w:p>
    <w:p>
      <w:pPr>
        <w:spacing w:after="0" w:line="225"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If at any time prior to September 30, 2015, if MIT becomes aware of a third party wishing to have a license to the Patent Rights to develop Licensed Products; and provided that (a) COMPANY has not provided MIT with a satisfactory plan for development of the Patent Rights according to Section 4 above; and (b) COMPANY is not in active negotiations with the third party at the time that MIT becomes aware of the third party's wishes for a license; then:</w:t>
      </w:r>
    </w:p>
    <w:p>
      <w:pPr>
        <w:spacing w:after="0" w:line="72" w:lineRule="exact"/>
        <w:rPr>
          <w:sz w:val="20"/>
          <w:szCs w:val="20"/>
          <w:color w:val="auto"/>
        </w:rPr>
      </w:pPr>
    </w:p>
    <w:p>
      <w:pPr>
        <w:ind w:left="1520" w:hanging="478"/>
        <w:spacing w:after="0"/>
        <w:tabs>
          <w:tab w:leader="none" w:pos="1520" w:val="left"/>
        </w:tabs>
        <w:numPr>
          <w:ilvl w:val="1"/>
          <w:numId w:val="13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MIT shall request from both COMPANY and the third party, development plans to bring one or more Licensed Products to market;</w:t>
      </w:r>
    </w:p>
    <w:p>
      <w:pPr>
        <w:spacing w:after="0" w:line="117" w:lineRule="exact"/>
        <w:rPr>
          <w:rFonts w:ascii="Times New Roman" w:cs="Times New Roman" w:eastAsia="Times New Roman" w:hAnsi="Times New Roman"/>
          <w:sz w:val="18"/>
          <w:szCs w:val="18"/>
          <w:color w:val="131313"/>
        </w:rPr>
      </w:pPr>
    </w:p>
    <w:p>
      <w:pPr>
        <w:ind w:left="1520" w:right="200" w:hanging="478"/>
        <w:spacing w:after="0" w:line="266" w:lineRule="auto"/>
        <w:tabs>
          <w:tab w:leader="none" w:pos="1520" w:val="left"/>
        </w:tabs>
        <w:numPr>
          <w:ilvl w:val="1"/>
          <w:numId w:val="13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MIT shall evaluate the development plans based on capability and commitment of each party to develop Licensed Products and bring them to market, and shall choose the plan it considers to be in the best interests of the commercialization of the Patent Rights, at its sole discretion; and</w:t>
      </w:r>
    </w:p>
    <w:p>
      <w:pPr>
        <w:spacing w:after="0" w:line="68" w:lineRule="exact"/>
        <w:rPr>
          <w:rFonts w:ascii="Times New Roman" w:cs="Times New Roman" w:eastAsia="Times New Roman" w:hAnsi="Times New Roman"/>
          <w:sz w:val="18"/>
          <w:szCs w:val="18"/>
          <w:color w:val="131313"/>
        </w:rPr>
      </w:pPr>
    </w:p>
    <w:p>
      <w:pPr>
        <w:ind w:left="1520" w:right="640" w:hanging="478"/>
        <w:spacing w:after="0" w:line="282" w:lineRule="auto"/>
        <w:tabs>
          <w:tab w:leader="none" w:pos="1520" w:val="left"/>
        </w:tabs>
        <w:numPr>
          <w:ilvl w:val="1"/>
          <w:numId w:val="134"/>
        </w:numPr>
        <w:rPr>
          <w:rFonts w:ascii="Times New Roman" w:cs="Times New Roman" w:eastAsia="Times New Roman" w:hAnsi="Times New Roman"/>
          <w:sz w:val="18"/>
          <w:szCs w:val="18"/>
          <w:color w:val="131313"/>
        </w:rPr>
      </w:pPr>
      <w:r>
        <w:rPr>
          <w:rFonts w:ascii="Times New Roman" w:cs="Times New Roman" w:eastAsia="Times New Roman" w:hAnsi="Times New Roman"/>
          <w:sz w:val="18"/>
          <w:szCs w:val="18"/>
          <w:color w:val="131313"/>
        </w:rPr>
        <w:t>if the third party’s plan is considered superior to that of COMPANY, MIT may, at its sole discretion, either terminate the License Agreement or limit the Field of Use or exclusivity of the License Agreement.</w:t>
      </w:r>
    </w:p>
    <w:p>
      <w:pPr>
        <w:spacing w:after="0" w:line="53" w:lineRule="exact"/>
        <w:rPr>
          <w:rFonts w:ascii="Times New Roman" w:cs="Times New Roman" w:eastAsia="Times New Roman" w:hAnsi="Times New Roman"/>
          <w:sz w:val="18"/>
          <w:szCs w:val="18"/>
          <w:color w:val="131313"/>
        </w:rPr>
      </w:pPr>
    </w:p>
    <w:p>
      <w:pPr>
        <w:ind w:left="1020" w:right="220" w:hanging="494"/>
        <w:spacing w:after="0" w:line="282" w:lineRule="auto"/>
        <w:tabs>
          <w:tab w:leader="none" w:pos="10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31313"/>
        </w:rPr>
        <w:t>Except as specifically modified or amended hereby, all other terms and conditions of the License Agreement shall remain unchanged and in full force and effect.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the parties have caused this Fifth Amendment to be executed under seal by their duly authorized representatives.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 INSTITUTE OF TECHNOLOGY</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CERULEAN PHARMA INC.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Lita Nelson</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Alejandra Carvajal</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Lita Nelson</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Alejandra Carvajal</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Technology Licensing Office</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 20, 2015</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2/23/15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1">
            <w:col w:w="11420"/>
          </w:cols>
          <w:pgMar w:left="240" w:top="131" w:right="2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Cerulean Pharma Inc.</w:t>
            </w:r>
          </w:p>
        </w:tc>
        <w:tc>
          <w:tcPr>
            <w:tcW w:w="5380" w:type="dxa"/>
            <w:vAlign w:val="bottom"/>
          </w:tcPr>
          <w:p>
            <w:pPr>
              <w:spacing w:after="0"/>
              <w:rPr>
                <w:sz w:val="20"/>
                <w:szCs w:val="20"/>
                <w:color w:val="auto"/>
              </w:rPr>
            </w:pPr>
          </w:p>
        </w:tc>
      </w:tr>
      <w:tr>
        <w:trPr>
          <w:trHeight w:val="432"/>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42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Cerulean Pharma Australia Pty Ltd</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420"/>
          </w:cols>
          <w:pgMar w:left="240" w:top="131"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333-198126 on Form S-8 of our report dated March 19, 2015, relating to the consolidated financial statements of Cerulean Pharma Inc. appearing in this Annual Report on Form 10-K of Cerulean Pharma Inc. for the year ended December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2015</w:t>
      </w:r>
    </w:p>
    <w:p>
      <w:pPr>
        <w:sectPr>
          <w:pgSz w:w="11900" w:h="16838" w:orient="portrait"/>
          <w:cols w:equalWidth="0" w:num="1">
            <w:col w:w="11420"/>
          </w:cols>
          <w:pgMar w:left="240" w:top="114"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17" w:lineRule="exact"/>
        <w:rPr>
          <w:sz w:val="20"/>
          <w:szCs w:val="20"/>
          <w:color w:val="auto"/>
        </w:rPr>
      </w:pPr>
    </w:p>
    <w:p>
      <w:pPr>
        <w:ind w:left="1020" w:hanging="494"/>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20" w:right="80" w:hanging="478"/>
        <w:spacing w:after="0" w:line="266" w:lineRule="auto"/>
        <w:tabs>
          <w:tab w:leader="none" w:pos="15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20" w:hanging="478"/>
        <w:spacing w:after="0" w:line="266" w:lineRule="auto"/>
        <w:tabs>
          <w:tab w:leader="none" w:pos="15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20" w:right="180" w:hanging="478"/>
        <w:spacing w:after="0" w:line="313" w:lineRule="auto"/>
        <w:tabs>
          <w:tab w:leader="none" w:pos="15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520" w:right="180" w:hanging="478"/>
        <w:spacing w:after="0" w:line="266" w:lineRule="auto"/>
        <w:tabs>
          <w:tab w:leader="none" w:pos="15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20" w:right="420" w:hanging="478"/>
        <w:spacing w:after="0" w:line="282" w:lineRule="auto"/>
        <w:tabs>
          <w:tab w:leader="none" w:pos="15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100" w:hanging="478"/>
        <w:spacing w:after="0" w:line="282" w:lineRule="auto"/>
        <w:tabs>
          <w:tab w:leader="none" w:pos="15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 T. Guiffre</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31"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L. Roberts, certify that:</w:t>
      </w:r>
    </w:p>
    <w:p>
      <w:pPr>
        <w:spacing w:after="0" w:line="131" w:lineRule="exact"/>
        <w:rPr>
          <w:sz w:val="20"/>
          <w:szCs w:val="20"/>
          <w:color w:val="auto"/>
        </w:rPr>
      </w:pPr>
    </w:p>
    <w:p>
      <w:pPr>
        <w:ind w:left="1020" w:hanging="494"/>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20" w:right="80" w:hanging="478"/>
        <w:spacing w:after="0" w:line="266" w:lineRule="auto"/>
        <w:tabs>
          <w:tab w:leader="none" w:pos="1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20" w:hanging="478"/>
        <w:spacing w:after="0" w:line="266" w:lineRule="auto"/>
        <w:tabs>
          <w:tab w:leader="none" w:pos="1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20" w:right="180" w:hanging="478"/>
        <w:spacing w:after="0" w:line="313" w:lineRule="auto"/>
        <w:tabs>
          <w:tab w:leader="none" w:pos="152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520" w:right="180" w:hanging="478"/>
        <w:spacing w:after="0" w:line="266" w:lineRule="auto"/>
        <w:tabs>
          <w:tab w:leader="none" w:pos="1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20" w:right="420" w:hanging="478"/>
        <w:spacing w:after="0" w:line="282" w:lineRule="auto"/>
        <w:tabs>
          <w:tab w:leader="none" w:pos="1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100" w:hanging="478"/>
        <w:spacing w:after="0" w:line="282" w:lineRule="auto"/>
        <w:tabs>
          <w:tab w:leader="none" w:pos="15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31"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Cerulean Pharma Inc. (the “Company”) for the year ended December 31, 2014, as filed with the Securities and Exchange Commission on the date hereof (the “Report”), the undersigned, Christopher D.T. Guiffre, Chief Operating Officer of the Company, hereby certifies, pursuant to 18 U.S.C. Section 1350, as adopted pursuant to Section 906 of the Sarbanes-Oxley Act of 2002, that, to his knowledge on the date hereof:</w:t>
      </w:r>
    </w:p>
    <w:p>
      <w:pPr>
        <w:spacing w:after="0" w:line="180" w:lineRule="exact"/>
        <w:rPr>
          <w:sz w:val="20"/>
          <w:szCs w:val="20"/>
          <w:color w:val="auto"/>
        </w:rPr>
      </w:pPr>
    </w:p>
    <w:p>
      <w:pPr>
        <w:ind w:left="780" w:hanging="254"/>
        <w:spacing w:after="0"/>
        <w:tabs>
          <w:tab w:leader="none" w:pos="7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 T. Guiffre</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31"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Cerulean Pharma Inc. (the “Company”) for the year ended December 31, 2014, as filed with the Securities and Exchange Commission on the date hereof (the “Report”), the undersigned, Karen L. Roberts, Senior Vice President, Finance and Administration of the Company, hereby certifies, pursuant to 18 U.S.C. Section 1350, as adopted pursuant to Section 906 of the Sarbanes-Oxley Act of 2002, that, to her knowledge on the date hereof:</w:t>
      </w:r>
    </w:p>
    <w:p>
      <w:pPr>
        <w:spacing w:after="0" w:line="180" w:lineRule="exact"/>
        <w:rPr>
          <w:sz w:val="20"/>
          <w:szCs w:val="20"/>
          <w:color w:val="auto"/>
        </w:rPr>
      </w:pPr>
    </w:p>
    <w:p>
      <w:pPr>
        <w:ind w:left="780" w:hanging="254"/>
        <w:spacing w:after="0"/>
        <w:tabs>
          <w:tab w:leader="none" w:pos="7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lvl w:ilvl="1">
      <w:lvlJc w:val="left"/>
      <w:lvlText w:val="o"/>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decimal"/>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decimal"/>
      <w:start w:val="2"/>
    </w:lvl>
  </w:abstractNum>
  <w:abstractNum w:abstractNumId="65">
    <w:nsid w:val="555C55B5"/>
    <w:multiLevelType w:val="hybridMultilevel"/>
    <w:lvl w:ilvl="0">
      <w:lvlJc w:val="left"/>
      <w:lvlText w:val="%1."/>
      <w:numFmt w:val="decimal"/>
      <w:start w:val="3"/>
    </w:lvl>
  </w:abstractNum>
  <w:abstractNum w:abstractNumId="66">
    <w:nsid w:val="3FA62ACA"/>
    <w:multiLevelType w:val="hybridMultilevel"/>
    <w:lvl w:ilvl="0">
      <w:lvlJc w:val="left"/>
      <w:lvlText w:val="%1."/>
      <w:numFmt w:val="decimal"/>
      <w:start w:val="4"/>
    </w:lvl>
  </w:abstractNum>
  <w:abstractNum w:abstractNumId="67">
    <w:nsid w:val="14FCE74E"/>
    <w:multiLevelType w:val="hybridMultilevel"/>
    <w:lvl w:ilvl="0">
      <w:lvlJc w:val="left"/>
      <w:lvlText w:val="%1."/>
      <w:numFmt w:val="decimal"/>
      <w:start w:val="5"/>
    </w:lvl>
  </w:abstractNum>
  <w:abstractNum w:abstractNumId="68">
    <w:nsid w:val="6A3DD3E8"/>
    <w:multiLevelType w:val="hybridMultilevel"/>
    <w:lvl w:ilvl="0">
      <w:lvlJc w:val="left"/>
      <w:lvlText w:val="%1."/>
      <w:numFmt w:val="decimal"/>
      <w:start w:val="6"/>
    </w:lvl>
  </w:abstractNum>
  <w:abstractNum w:abstractNumId="69">
    <w:nsid w:val="71C91298"/>
    <w:multiLevelType w:val="hybridMultilevel"/>
    <w:lvl w:ilvl="0">
      <w:lvlJc w:val="left"/>
      <w:lvlText w:val="%1."/>
      <w:numFmt w:val="decimal"/>
      <w:start w:val="7"/>
    </w:lvl>
  </w:abstractNum>
  <w:abstractNum w:abstractNumId="70">
    <w:nsid w:val="9DAF632"/>
    <w:multiLevelType w:val="hybridMultilevel"/>
    <w:lvl w:ilvl="0">
      <w:lvlJc w:val="left"/>
      <w:lvlText w:val="%1."/>
      <w:numFmt w:val="decimal"/>
      <w:start w:val="8"/>
    </w:lvl>
  </w:abstractNum>
  <w:abstractNum w:abstractNumId="71">
    <w:nsid w:val="53299938"/>
    <w:multiLevelType w:val="hybridMultilevel"/>
    <w:lvl w:ilvl="0">
      <w:lvlJc w:val="left"/>
      <w:lvlText w:val="%1."/>
      <w:numFmt w:val="decimal"/>
      <w:start w:val="9"/>
    </w:lvl>
  </w:abstractNum>
  <w:abstractNum w:abstractNumId="72">
    <w:nsid w:val="1FBFE8E0"/>
    <w:multiLevelType w:val="hybridMultilevel"/>
    <w:lvl w:ilvl="0">
      <w:lvlJc w:val="left"/>
      <w:lvlText w:val="%1."/>
      <w:numFmt w:val="decimal"/>
      <w:start w:val="10"/>
    </w:lvl>
  </w:abstractNum>
  <w:abstractNum w:abstractNumId="73">
    <w:nsid w:val="5092CA79"/>
    <w:multiLevelType w:val="hybridMultilevel"/>
    <w:lvl w:ilvl="0">
      <w:lvlJc w:val="left"/>
      <w:lvlText w:val="%1."/>
      <w:numFmt w:val="decimal"/>
      <w:start w:val="11"/>
    </w:lvl>
  </w:abstractNum>
  <w:abstractNum w:abstractNumId="74">
    <w:nsid w:val="1D545C4D"/>
    <w:multiLevelType w:val="hybridMultilevel"/>
    <w:lvl w:ilvl="0">
      <w:lvlJc w:val="left"/>
      <w:lvlText w:val="%1."/>
      <w:numFmt w:val="decimal"/>
      <w:start w:val="12"/>
    </w:lvl>
  </w:abstractNum>
  <w:abstractNum w:abstractNumId="75">
    <w:nsid w:val="59ADEA3D"/>
    <w:multiLevelType w:val="hybridMultilevel"/>
    <w:lvl w:ilvl="0">
      <w:lvlJc w:val="left"/>
      <w:lvlText w:val="%1."/>
      <w:numFmt w:val="decimal"/>
      <w:start w:val="13"/>
    </w:lvl>
  </w:abstractNum>
  <w:abstractNum w:abstractNumId="76">
    <w:nsid w:val="288F1A34"/>
    <w:multiLevelType w:val="hybridMultilevel"/>
    <w:lvl w:ilvl="0">
      <w:lvlJc w:val="left"/>
      <w:lvlText w:val="%1."/>
      <w:numFmt w:val="decimal"/>
      <w:start w:val="14"/>
    </w:lvl>
  </w:abstractNum>
  <w:abstractNum w:abstractNumId="77">
    <w:nsid w:val="2A155DBC"/>
    <w:multiLevelType w:val="hybridMultilevel"/>
    <w:lvl w:ilvl="0">
      <w:lvlJc w:val="left"/>
      <w:lvlText w:val="%1."/>
      <w:numFmt w:val="decimal"/>
      <w:start w:val="15"/>
    </w:lvl>
  </w:abstractNum>
  <w:abstractNum w:abstractNumId="78">
    <w:nsid w:val="1D9F6E5F"/>
    <w:multiLevelType w:val="hybridMultilevel"/>
    <w:lvl w:ilvl="0">
      <w:lvlJc w:val="left"/>
      <w:lvlText w:val="%1."/>
      <w:numFmt w:val="decimal"/>
      <w:start w:val="16"/>
    </w:lvl>
  </w:abstractNum>
  <w:abstractNum w:abstractNumId="79">
    <w:nsid w:val="97E1B4E"/>
    <w:multiLevelType w:val="hybridMultilevel"/>
    <w:lvl w:ilvl="0">
      <w:lvlJc w:val="left"/>
      <w:lvlText w:val="%1."/>
      <w:numFmt w:val="decimal"/>
      <w:start w:val="17"/>
    </w:lvl>
  </w:abstractNum>
  <w:abstractNum w:abstractNumId="80">
    <w:nsid w:val="51088277"/>
    <w:multiLevelType w:val="hybridMultilevel"/>
    <w:lvl w:ilvl="0">
      <w:lvlJc w:val="left"/>
      <w:lvlText w:val="%1."/>
      <w:numFmt w:val="decimal"/>
      <w:start w:val="18"/>
    </w:lvl>
  </w:abstractNum>
  <w:abstractNum w:abstractNumId="81">
    <w:nsid w:val="1CA0C5FA"/>
    <w:multiLevelType w:val="hybridMultilevel"/>
    <w:lvl w:ilvl="0">
      <w:lvlJc w:val="left"/>
      <w:lvlText w:val="%1."/>
      <w:numFmt w:val="decimal"/>
      <w:start w:val="19"/>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7"/>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1)"/>
      <w:numFmt w:val="decimal"/>
      <w:start w:val="1"/>
    </w:lvl>
  </w:abstractNum>
  <w:abstractNum w:abstractNumId="97">
    <w:nsid w:val="2C27173B"/>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98">
    <w:nsid w:val="4C9B0904"/>
    <w:multiLevelType w:val="hybridMultilevel"/>
    <w:lvl w:ilvl="0">
      <w:lvlJc w:val="left"/>
      <w:lvlText w:val="(%1)"/>
      <w:numFmt w:val="decimal"/>
      <w:start w:val="4"/>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decimal"/>
      <w:start w:val="2"/>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decimal"/>
      <w:start w:val="1"/>
    </w:lvl>
  </w:abstractNum>
  <w:abstractNum w:abstractNumId="108">
    <w:nsid w:val="53B0A9E"/>
    <w:multiLevelType w:val="hybridMultilevel"/>
    <w:lvl w:ilvl="0">
      <w:lvlJc w:val="left"/>
      <w:lvlText w:val="(%1)"/>
      <w:numFmt w:val="decimal"/>
      <w:start w:val="3"/>
    </w:lvl>
  </w:abstractNum>
  <w:abstractNum w:abstractNumId="109">
    <w:nsid w:val="34FD6B4F"/>
    <w:multiLevelType w:val="hybridMultilevel"/>
    <w:lvl w:ilvl="0">
      <w:lvlJc w:val="left"/>
      <w:lvlText w:val="(%1)"/>
      <w:numFmt w:val="decimal"/>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3"/>
    </w:lvl>
  </w:abstractNum>
  <w:abstractNum w:abstractNumId="117">
    <w:nsid w:val="5D888A08"/>
    <w:multiLevelType w:val="hybridMultilevel"/>
    <w:lvl w:ilvl="0">
      <w:lvlJc w:val="left"/>
      <w:lvlText w:val="%1."/>
      <w:numFmt w:val="decimal"/>
      <w:start w:val="4"/>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decimal"/>
      <w:start w:val="5"/>
    </w:lvl>
  </w:abstractNum>
  <w:abstractNum w:abstractNumId="120">
    <w:nsid w:val="19E21BB2"/>
    <w:multiLevelType w:val="hybridMultilevel"/>
    <w:lvl w:ilvl="0">
      <w:lvlJc w:val="left"/>
      <w:lvlText w:val="%1."/>
      <w:numFmt w:val="decimal"/>
      <w:start w:val="6"/>
    </w:lvl>
  </w:abstractNum>
  <w:abstractNum w:abstractNumId="121">
    <w:nsid w:val="75E0858A"/>
    <w:multiLevelType w:val="hybridMultilevel"/>
    <w:lvl w:ilvl="0">
      <w:lvlJc w:val="left"/>
      <w:lvlText w:val="%1."/>
      <w:numFmt w:val="decimal"/>
      <w:start w:val="7"/>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1"/>
    </w:lvl>
    <w:lvl w:ilvl="1">
      <w:lvlJc w:val="left"/>
      <w:lvlText w:val="(%2)"/>
      <w:numFmt w:val="lowerLetter"/>
      <w:start w:val="9"/>
    </w:lvl>
  </w:abstractNum>
  <w:abstractNum w:abstractNumId="124">
    <w:nsid w:val="20EE13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5">
    <w:nsid w:val="4427069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6">
    <w:nsid w:val="B37E80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7">
    <w:nsid w:val="2157F6BC"/>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28">
    <w:nsid w:val="704E1DD5"/>
    <w:multiLevelType w:val="hybridMultilevel"/>
    <w:lvl w:ilvl="0">
      <w:lvlJc w:val="left"/>
      <w:lvlText w:val="%1"/>
      <w:numFmt w:val="decimal"/>
      <w:start w:val="1"/>
    </w:lvl>
    <w:lvl w:ilvl="1">
      <w:lvlJc w:val="left"/>
      <w:lvlText w:val="(%2)"/>
      <w:numFmt w:val="lowerLetter"/>
      <w:start w:val="6"/>
    </w:lvl>
  </w:abstractNum>
  <w:abstractNum w:abstractNumId="129">
    <w:nsid w:val="57D2F10E"/>
    <w:multiLevelType w:val="hybridMultilevel"/>
    <w:lvl w:ilvl="0">
      <w:lvlJc w:val="left"/>
      <w:lvlText w:val="%1."/>
      <w:numFmt w:val="decimal"/>
      <w:start w:val="19"/>
    </w:lvl>
    <w:lvl w:ilvl="1">
      <w:lvlJc w:val="left"/>
      <w:lvlText w:val="%2"/>
      <w:numFmt w:val="lowerLetter"/>
      <w:start w:val="1"/>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decimal"/>
      <w:start w:val="2"/>
    </w:lvl>
  </w:abstractNum>
  <w:abstractNum w:abstractNumId="132">
    <w:nsid w:val="2E48F044"/>
    <w:multiLevelType w:val="hybridMultilevel"/>
    <w:lvl w:ilvl="0">
      <w:lvlJc w:val="left"/>
      <w:lvlText w:val="%1."/>
      <w:numFmt w:val="decimal"/>
      <w:start w:val="3"/>
    </w:lvl>
  </w:abstractNum>
  <w:abstractNum w:abstractNumId="133">
    <w:nsid w:val="49D0FEAC"/>
    <w:multiLevelType w:val="hybridMultilevel"/>
    <w:lvl w:ilvl="0">
      <w:lvlJc w:val="left"/>
      <w:lvlText w:val="%1"/>
      <w:numFmt w:val="decimal"/>
      <w:start w:val="1"/>
    </w:lvl>
    <w:lvl w:ilvl="1">
      <w:lvlJc w:val="left"/>
      <w:lvlText w:val="(%2)"/>
      <w:numFmt w:val="lowerRoman"/>
      <w:start w:val="1"/>
    </w:lvl>
  </w:abstractNum>
  <w:abstractNum w:abstractNumId="134">
    <w:nsid w:val="4BEE5A5B"/>
    <w:multiLevelType w:val="hybridMultilevel"/>
    <w:lvl w:ilvl="0">
      <w:lvlJc w:val="left"/>
      <w:lvlText w:val="%1."/>
      <w:numFmt w:val="decimal"/>
      <w:start w:val="4"/>
    </w:lvl>
    <w:lvl w:ilvl="1">
      <w:lvlJc w:val="left"/>
      <w:lvlText w:val="%2"/>
      <w:numFmt w:val="lowerRoman"/>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2019-12-29T16:55:53Z</dcterms:created>
  <dcterms:modified xsi:type="dcterms:W3CDTF">2019-12-29T16:55:53Z</dcterms:modified>
</cp:coreProperties>
</file>