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113665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50" w:lineRule="exact"/>
        <w:rPr>
          <w:sz w:val="24"/>
          <w:szCs w:val="24"/>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quarterly period ended March 31, 2015</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95" w:lineRule="exact"/>
        <w:rPr>
          <w:sz w:val="24"/>
          <w:szCs w:val="24"/>
          <w:color w:val="auto"/>
        </w:rPr>
      </w:pPr>
    </w:p>
    <w:p>
      <w:pPr>
        <w:ind w:left="540" w:hanging="532"/>
        <w:spacing w:after="0"/>
        <w:tabs>
          <w:tab w:leader="none" w:pos="5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21" w:lineRule="exact"/>
        <w:rPr>
          <w:sz w:val="24"/>
          <w:szCs w:val="24"/>
          <w:color w:val="auto"/>
        </w:rPr>
      </w:pPr>
    </w:p>
    <w:p>
      <w:pPr>
        <w:ind w:left="3580"/>
        <w:spacing w:after="0"/>
        <w:tabs>
          <w:tab w:leader="none" w:pos="6700" w:val="left"/>
          <w:tab w:leader="none" w:pos="778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3663315</wp:posOffset>
            </wp:positionH>
            <wp:positionV relativeFrom="paragraph">
              <wp:posOffset>-7620</wp:posOffset>
            </wp:positionV>
            <wp:extent cx="12890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0" cy="8890"/>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001-36395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102870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CERULEAN PHARMA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49" w:lineRule="exact"/>
        <w:rPr>
          <w:sz w:val="24"/>
          <w:szCs w:val="24"/>
          <w:color w:val="auto"/>
        </w:rPr>
      </w:pPr>
    </w:p>
    <w:tbl>
      <w:tblPr>
        <w:tblLayout w:type="fixed"/>
        <w:tblInd w:w="1580" w:type="dxa"/>
        <w:tblCellMar>
          <w:top w:w="0" w:type="dxa"/>
          <w:left w:w="0" w:type="dxa"/>
          <w:bottom w:w="0" w:type="dxa"/>
          <w:right w:w="0" w:type="dxa"/>
        </w:tblCellMar>
      </w:tblPr>
      <w:tr>
        <w:trPr>
          <w:trHeight w:val="214"/>
        </w:trPr>
        <w:tc>
          <w:tcPr>
            <w:tcW w:w="4480" w:type="dxa"/>
            <w:vAlign w:val="bottom"/>
          </w:tcPr>
          <w:p>
            <w:pPr>
              <w:jc w:val="center"/>
              <w:ind w:right="193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12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20-4139823</w:t>
            </w:r>
          </w:p>
        </w:tc>
      </w:tr>
      <w:tr>
        <w:trPr>
          <w:trHeight w:val="149"/>
        </w:trPr>
        <w:tc>
          <w:tcPr>
            <w:tcW w:w="4480" w:type="dxa"/>
            <w:vAlign w:val="bottom"/>
          </w:tcPr>
          <w:p>
            <w:pPr>
              <w:jc w:val="center"/>
              <w:ind w:right="193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20" w:type="dxa"/>
            <w:vAlign w:val="bottom"/>
          </w:tcPr>
          <w:p>
            <w:pPr>
              <w:jc w:val="center"/>
              <w:ind w:left="19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480" w:type="dxa"/>
            <w:vAlign w:val="bottom"/>
          </w:tcPr>
          <w:p>
            <w:pPr>
              <w:jc w:val="center"/>
              <w:ind w:right="193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20" w:type="dxa"/>
            <w:vAlign w:val="bottom"/>
          </w:tcPr>
          <w:p>
            <w:pPr>
              <w:jc w:val="center"/>
              <w:ind w:left="19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12"/>
        </w:trPr>
        <w:tc>
          <w:tcPr>
            <w:tcW w:w="4480" w:type="dxa"/>
            <w:vAlign w:val="bottom"/>
          </w:tcPr>
          <w:p>
            <w:pPr>
              <w:jc w:val="center"/>
              <w:ind w:right="1939"/>
              <w:spacing w:after="0"/>
              <w:rPr>
                <w:sz w:val="20"/>
                <w:szCs w:val="20"/>
                <w:color w:val="auto"/>
              </w:rPr>
            </w:pPr>
            <w:r>
              <w:rPr>
                <w:rFonts w:ascii="Times New Roman" w:cs="Times New Roman" w:eastAsia="Times New Roman" w:hAnsi="Times New Roman"/>
                <w:sz w:val="18"/>
                <w:szCs w:val="18"/>
                <w:b w:val="1"/>
                <w:bCs w:val="1"/>
                <w:color w:val="auto"/>
                <w:w w:val="99"/>
              </w:rPr>
              <w:t>840 Memorial Drive</w:t>
            </w:r>
          </w:p>
        </w:tc>
        <w:tc>
          <w:tcPr>
            <w:tcW w:w="3120" w:type="dxa"/>
            <w:vAlign w:val="bottom"/>
          </w:tcPr>
          <w:p>
            <w:pPr>
              <w:spacing w:after="0"/>
              <w:rPr>
                <w:sz w:val="24"/>
                <w:szCs w:val="24"/>
                <w:color w:val="auto"/>
              </w:rPr>
            </w:pPr>
          </w:p>
        </w:tc>
      </w:tr>
      <w:tr>
        <w:trPr>
          <w:trHeight w:val="227"/>
        </w:trPr>
        <w:tc>
          <w:tcPr>
            <w:tcW w:w="4480" w:type="dxa"/>
            <w:vAlign w:val="bottom"/>
          </w:tcPr>
          <w:p>
            <w:pPr>
              <w:jc w:val="center"/>
              <w:ind w:right="1939"/>
              <w:spacing w:after="0"/>
              <w:rPr>
                <w:sz w:val="20"/>
                <w:szCs w:val="20"/>
                <w:color w:val="auto"/>
              </w:rPr>
            </w:pPr>
            <w:r>
              <w:rPr>
                <w:rFonts w:ascii="Times New Roman" w:cs="Times New Roman" w:eastAsia="Times New Roman" w:hAnsi="Times New Roman"/>
                <w:sz w:val="18"/>
                <w:szCs w:val="18"/>
                <w:b w:val="1"/>
                <w:bCs w:val="1"/>
                <w:color w:val="auto"/>
                <w:w w:val="99"/>
              </w:rPr>
              <w:t>Cambridge, MA</w:t>
            </w:r>
          </w:p>
        </w:tc>
        <w:tc>
          <w:tcPr>
            <w:tcW w:w="312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02139</w:t>
            </w:r>
          </w:p>
        </w:tc>
      </w:tr>
      <w:tr>
        <w:trPr>
          <w:trHeight w:val="190"/>
        </w:trPr>
        <w:tc>
          <w:tcPr>
            <w:tcW w:w="4480" w:type="dxa"/>
            <w:vAlign w:val="bottom"/>
          </w:tcPr>
          <w:p>
            <w:pPr>
              <w:jc w:val="center"/>
              <w:ind w:right="19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120" w:type="dxa"/>
            <w:vAlign w:val="bottom"/>
          </w:tcPr>
          <w:p>
            <w:pPr>
              <w:jc w:val="center"/>
              <w:ind w:left="19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(617) 551-9600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(Registrant’s Telephone Number, Including Area Code)</w:t>
      </w: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59055</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85" w:lineRule="exact"/>
        <w:rPr>
          <w:sz w:val="24"/>
          <w:szCs w:val="24"/>
          <w:color w:val="auto"/>
        </w:rPr>
      </w:pPr>
    </w:p>
    <w:p>
      <w:pPr>
        <w:jc w:val="both"/>
        <w:ind w:right="240" w:firstLine="51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179" w:lineRule="exact"/>
        <w:rPr>
          <w:sz w:val="24"/>
          <w:szCs w:val="24"/>
          <w:color w:val="auto"/>
        </w:rPr>
      </w:pPr>
    </w:p>
    <w:p>
      <w:pPr>
        <w:ind w:right="260" w:firstLine="51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o</w:t>
      </w:r>
    </w:p>
    <w:p>
      <w:pPr>
        <w:spacing w:after="0" w:line="179"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See the definitions of “large accelerated filer,” “accelerated filer” and “smaller reporting company” in Rule 12b-2 of the Exchange Act. (Check one):</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00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4160" w:type="dxa"/>
            <w:vAlign w:val="bottom"/>
          </w:tcPr>
          <w:p>
            <w:pPr>
              <w:spacing w:after="0"/>
              <w:rPr>
                <w:sz w:val="24"/>
                <w:szCs w:val="24"/>
                <w:color w:val="auto"/>
              </w:rPr>
            </w:pPr>
          </w:p>
        </w:tc>
        <w:tc>
          <w:tcPr>
            <w:tcW w:w="3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Accelerated filer</w:t>
            </w:r>
          </w:p>
        </w:tc>
        <w:tc>
          <w:tcPr>
            <w:tcW w:w="84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r>
      <w:tr>
        <w:trPr>
          <w:trHeight w:val="338"/>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000" w:type="dxa"/>
            <w:vAlign w:val="bottom"/>
          </w:tcPr>
          <w:p>
            <w:pPr>
              <w:ind w:left="700"/>
              <w:spacing w:after="0" w:line="181" w:lineRule="exact"/>
              <w:rPr>
                <w:sz w:val="20"/>
                <w:szCs w:val="20"/>
                <w:color w:val="auto"/>
              </w:rPr>
            </w:pPr>
            <w:r>
              <w:rPr>
                <w:rFonts w:ascii="MS PGothic" w:cs="MS PGothic" w:eastAsia="MS PGothic" w:hAnsi="MS PGothic"/>
                <w:sz w:val="18"/>
                <w:szCs w:val="18"/>
                <w:color w:val="auto"/>
              </w:rPr>
              <w:t>☐</w:t>
            </w:r>
          </w:p>
        </w:tc>
        <w:tc>
          <w:tcPr>
            <w:tcW w:w="4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(Do not check if a smaller reporting company)</w:t>
            </w:r>
          </w:p>
        </w:tc>
        <w:tc>
          <w:tcPr>
            <w:tcW w:w="3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4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r>
      <w:tr>
        <w:trPr>
          <w:trHeight w:val="432"/>
        </w:trPr>
        <w:tc>
          <w:tcPr>
            <w:tcW w:w="10580" w:type="dxa"/>
            <w:vAlign w:val="bottom"/>
            <w:gridSpan w:val="4"/>
          </w:tcPr>
          <w:p>
            <w:pPr>
              <w:ind w:left="52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tc>
        <w:tc>
          <w:tcPr>
            <w:tcW w:w="840" w:type="dxa"/>
            <w:vAlign w:val="bottom"/>
          </w:tcPr>
          <w:p>
            <w:pPr>
              <w:spacing w:after="0"/>
              <w:rPr>
                <w:sz w:val="24"/>
                <w:szCs w:val="24"/>
                <w:color w:val="auto"/>
              </w:rPr>
            </w:pPr>
          </w:p>
        </w:tc>
      </w:tr>
      <w:tr>
        <w:trPr>
          <w:trHeight w:val="412"/>
        </w:trPr>
        <w:tc>
          <w:tcPr>
            <w:tcW w:w="10580" w:type="dxa"/>
            <w:vAlign w:val="bottom"/>
            <w:gridSpan w:val="4"/>
          </w:tcPr>
          <w:p>
            <w:pPr>
              <w:ind w:left="520"/>
              <w:spacing w:after="0"/>
              <w:rPr>
                <w:sz w:val="20"/>
                <w:szCs w:val="20"/>
                <w:color w:val="auto"/>
              </w:rPr>
            </w:pPr>
            <w:r>
              <w:rPr>
                <w:rFonts w:ascii="Times New Roman" w:cs="Times New Roman" w:eastAsia="Times New Roman" w:hAnsi="Times New Roman"/>
                <w:sz w:val="18"/>
                <w:szCs w:val="18"/>
                <w:color w:val="auto"/>
              </w:rPr>
              <w:t>Number of shares of the registrant’s Common Stock, $ 0.0001 par value, outstanding on May 1, 2015: 27,284,026</w:t>
            </w:r>
          </w:p>
        </w:tc>
        <w:tc>
          <w:tcPr>
            <w:tcW w:w="840" w:type="dxa"/>
            <w:vAlign w:val="bottom"/>
          </w:tcPr>
          <w:p>
            <w:pPr>
              <w:spacing w:after="0"/>
              <w:rPr>
                <w:sz w:val="24"/>
                <w:szCs w:val="24"/>
                <w:color w:val="auto"/>
              </w:rPr>
            </w:pPr>
          </w:p>
        </w:tc>
      </w:tr>
      <w:tr>
        <w:trPr>
          <w:trHeight w:val="135"/>
        </w:trPr>
        <w:tc>
          <w:tcPr>
            <w:tcW w:w="23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4160" w:type="dxa"/>
            <w:vAlign w:val="bottom"/>
            <w:tcBorders>
              <w:bottom w:val="single" w:sz="8" w:color="auto"/>
            </w:tcBorders>
          </w:tcPr>
          <w:p>
            <w:pPr>
              <w:spacing w:after="0"/>
              <w:rPr>
                <w:sz w:val="11"/>
                <w:szCs w:val="11"/>
                <w:color w:val="auto"/>
              </w:rPr>
            </w:pPr>
          </w:p>
        </w:tc>
        <w:tc>
          <w:tcPr>
            <w:tcW w:w="3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r>
      <w:tr>
        <w:trPr>
          <w:trHeight w:val="20"/>
        </w:trPr>
        <w:tc>
          <w:tcPr>
            <w:tcW w:w="2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160" w:type="dxa"/>
            <w:vAlign w:val="bottom"/>
            <w:tcBorders>
              <w:bottom w:val="single" w:sz="8" w:color="auto"/>
            </w:tcBorders>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565" w:right="239" w:bottom="1440" w:gutter="0" w:footer="0" w:header="0"/>
        </w:sectPr>
      </w:pPr>
    </w:p>
    <w:bookmarkStart w:id="1" w:name="page2"/>
    <w:bookmarkEnd w:id="1"/>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CERULEAN PHARMA INC.</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2015</w:t>
      </w:r>
    </w:p>
    <w:p>
      <w:pPr>
        <w:spacing w:after="0" w:line="20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8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Page No.</w:t>
            </w:r>
          </w:p>
        </w:tc>
      </w:tr>
      <w:tr>
        <w:trPr>
          <w:trHeight w:val="291"/>
        </w:trPr>
        <w:tc>
          <w:tcPr>
            <w:tcW w:w="3080" w:type="dxa"/>
            <w:vAlign w:val="bottom"/>
            <w:tcBorders>
              <w:bottom w:val="single" w:sz="8" w:color="0000EE"/>
            </w:tcBorders>
            <w:gridSpan w:val="10"/>
          </w:tcPr>
          <w:p>
            <w:pPr>
              <w:spacing w:after="0"/>
              <w:rPr>
                <w:rFonts w:ascii="Times New Roman" w:cs="Times New Roman" w:eastAsia="Times New Roman" w:hAnsi="Times New Roman"/>
                <w:sz w:val="18"/>
                <w:szCs w:val="18"/>
                <w:b w:val="1"/>
                <w:bCs w:val="1"/>
                <w:color w:val="0000EE"/>
                <w:w w:val="98"/>
              </w:rPr>
            </w:pPr>
            <w:hyperlink w:anchor="page3">
              <w:r>
                <w:rPr>
                  <w:rFonts w:ascii="Times New Roman" w:cs="Times New Roman" w:eastAsia="Times New Roman" w:hAnsi="Times New Roman"/>
                  <w:sz w:val="18"/>
                  <w:szCs w:val="18"/>
                  <w:b w:val="1"/>
                  <w:bCs w:val="1"/>
                  <w:color w:val="0000EE"/>
                  <w:w w:val="98"/>
                </w:rPr>
                <w:t>PART I. FINANCIAL INFORMATION</w:t>
              </w:r>
            </w:hyperlink>
          </w:p>
        </w:tc>
        <w:tc>
          <w:tcPr>
            <w:tcW w:w="7560" w:type="dxa"/>
            <w:vAlign w:val="bottom"/>
            <w:gridSpan w:val="8"/>
          </w:tcPr>
          <w:p>
            <w:pPr>
              <w:spacing w:after="0"/>
              <w:rPr>
                <w:sz w:val="24"/>
                <w:szCs w:val="24"/>
                <w:color w:val="auto"/>
              </w:rPr>
            </w:pPr>
          </w:p>
        </w:tc>
        <w:tc>
          <w:tcPr>
            <w:tcW w:w="840" w:type="dxa"/>
            <w:vAlign w:val="bottom"/>
          </w:tcPr>
          <w:p>
            <w:pPr>
              <w:spacing w:after="0"/>
              <w:rPr>
                <w:sz w:val="24"/>
                <w:szCs w:val="24"/>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1620" w:type="dxa"/>
            <w:vAlign w:val="bottom"/>
            <w:tcBorders>
              <w:bottom w:val="single" w:sz="8" w:color="0000EE"/>
            </w:tcBorders>
            <w:gridSpan w:val="6"/>
          </w:tcPr>
          <w:p>
            <w:pPr>
              <w:spacing w:after="0"/>
              <w:rPr>
                <w:rFonts w:ascii="Times New Roman" w:cs="Times New Roman" w:eastAsia="Times New Roman" w:hAnsi="Times New Roman"/>
                <w:sz w:val="18"/>
                <w:szCs w:val="18"/>
                <w:b w:val="1"/>
                <w:bCs w:val="1"/>
                <w:color w:val="0000EE"/>
                <w:w w:val="99"/>
              </w:rPr>
            </w:pPr>
            <w:hyperlink w:anchor="page3">
              <w:r>
                <w:rPr>
                  <w:rFonts w:ascii="Times New Roman" w:cs="Times New Roman" w:eastAsia="Times New Roman" w:hAnsi="Times New Roman"/>
                  <w:sz w:val="18"/>
                  <w:szCs w:val="18"/>
                  <w:b w:val="1"/>
                  <w:bCs w:val="1"/>
                  <w:color w:val="0000EE"/>
                  <w:w w:val="99"/>
                </w:rPr>
                <w:t>Financial Statements</w:t>
              </w:r>
            </w:hyperlink>
          </w:p>
        </w:tc>
        <w:tc>
          <w:tcPr>
            <w:tcW w:w="7960" w:type="dxa"/>
            <w:vAlign w:val="bottom"/>
            <w:gridSpan w:val="11"/>
          </w:tcPr>
          <w:p>
            <w:pPr>
              <w:spacing w:after="0"/>
              <w:rPr>
                <w:sz w:val="24"/>
                <w:szCs w:val="24"/>
                <w:color w:val="auto"/>
              </w:rPr>
            </w:pPr>
          </w:p>
        </w:tc>
        <w:tc>
          <w:tcPr>
            <w:tcW w:w="84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rPr>
              <w:t>1</w:t>
            </w:r>
          </w:p>
        </w:tc>
      </w:tr>
      <w:tr>
        <w:trPr>
          <w:trHeight w:val="318"/>
        </w:trPr>
        <w:tc>
          <w:tcPr>
            <w:tcW w:w="1060" w:type="dxa"/>
            <w:vAlign w:val="bottom"/>
          </w:tcPr>
          <w:p>
            <w:pPr>
              <w:spacing w:after="0"/>
              <w:rPr>
                <w:sz w:val="24"/>
                <w:szCs w:val="24"/>
                <w:color w:val="auto"/>
              </w:rPr>
            </w:pPr>
          </w:p>
        </w:tc>
        <w:tc>
          <w:tcPr>
            <w:tcW w:w="716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Condensed Consolidated Balance Sheets as of March 31, 2015 and December 31, 2014 (unaudited)</w:t>
              </w:r>
            </w:hyperlink>
          </w:p>
        </w:tc>
        <w:tc>
          <w:tcPr>
            <w:tcW w:w="2420" w:type="dxa"/>
            <w:vAlign w:val="bottom"/>
          </w:tcPr>
          <w:p>
            <w:pPr>
              <w:spacing w:after="0"/>
              <w:rPr>
                <w:sz w:val="24"/>
                <w:szCs w:val="24"/>
                <w:color w:val="auto"/>
              </w:rPr>
            </w:pPr>
          </w:p>
        </w:tc>
        <w:tc>
          <w:tcPr>
            <w:tcW w:w="84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rPr>
              <w:t>1</w:t>
            </w:r>
          </w:p>
        </w:tc>
      </w:tr>
      <w:tr>
        <w:trPr>
          <w:trHeight w:val="318"/>
        </w:trPr>
        <w:tc>
          <w:tcPr>
            <w:tcW w:w="1060" w:type="dxa"/>
            <w:vAlign w:val="bottom"/>
          </w:tcPr>
          <w:p>
            <w:pPr>
              <w:spacing w:after="0"/>
              <w:rPr>
                <w:sz w:val="24"/>
                <w:szCs w:val="24"/>
                <w:color w:val="auto"/>
              </w:rPr>
            </w:pPr>
          </w:p>
        </w:tc>
        <w:tc>
          <w:tcPr>
            <w:tcW w:w="69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Statements of Operations for the Three Months Ended March 31, 2015</w:t>
              </w:r>
            </w:hyperlink>
          </w:p>
        </w:tc>
        <w:tc>
          <w:tcPr>
            <w:tcW w:w="2600" w:type="dxa"/>
            <w:vAlign w:val="bottom"/>
            <w:gridSpan w:val="3"/>
          </w:tcPr>
          <w:p>
            <w:pPr>
              <w:spacing w:after="0"/>
              <w:rPr>
                <w:sz w:val="24"/>
                <w:szCs w:val="24"/>
                <w:color w:val="auto"/>
              </w:rPr>
            </w:pPr>
          </w:p>
        </w:tc>
        <w:tc>
          <w:tcPr>
            <w:tcW w:w="840" w:type="dxa"/>
            <w:vAlign w:val="bottom"/>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360" w:type="dxa"/>
            <w:vAlign w:val="bottom"/>
            <w:gridSpan w:val="16"/>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and 2014 (unaudited)</w:t>
              </w:r>
            </w:hyperlink>
          </w:p>
        </w:tc>
        <w:tc>
          <w:tcPr>
            <w:tcW w:w="840" w:type="dxa"/>
            <w:vAlign w:val="bottom"/>
          </w:tcPr>
          <w:p>
            <w:pPr>
              <w:jc w:val="center"/>
              <w:ind w:left="51"/>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18"/>
        </w:trPr>
        <w:tc>
          <w:tcPr>
            <w:tcW w:w="1060" w:type="dxa"/>
            <w:vAlign w:val="bottom"/>
          </w:tcPr>
          <w:p>
            <w:pPr>
              <w:spacing w:after="0"/>
              <w:rPr>
                <w:sz w:val="24"/>
                <w:szCs w:val="24"/>
                <w:color w:val="auto"/>
              </w:rPr>
            </w:pPr>
          </w:p>
        </w:tc>
        <w:tc>
          <w:tcPr>
            <w:tcW w:w="70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Cash Flows for the Three Months Ended March 31, 2015</w:t>
              </w:r>
            </w:hyperlink>
          </w:p>
        </w:tc>
        <w:tc>
          <w:tcPr>
            <w:tcW w:w="2540" w:type="dxa"/>
            <w:vAlign w:val="bottom"/>
            <w:gridSpan w:val="2"/>
          </w:tcPr>
          <w:p>
            <w:pPr>
              <w:spacing w:after="0"/>
              <w:rPr>
                <w:sz w:val="24"/>
                <w:szCs w:val="24"/>
                <w:color w:val="auto"/>
              </w:rPr>
            </w:pPr>
          </w:p>
        </w:tc>
        <w:tc>
          <w:tcPr>
            <w:tcW w:w="840" w:type="dxa"/>
            <w:vAlign w:val="bottom"/>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360" w:type="dxa"/>
            <w:vAlign w:val="bottom"/>
            <w:gridSpan w:val="16"/>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and 2014 (unaudited)</w:t>
              </w:r>
            </w:hyperlink>
          </w:p>
        </w:tc>
        <w:tc>
          <w:tcPr>
            <w:tcW w:w="840" w:type="dxa"/>
            <w:vAlign w:val="bottom"/>
          </w:tcPr>
          <w:p>
            <w:pPr>
              <w:jc w:val="center"/>
              <w:ind w:left="51"/>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74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18"/>
        </w:trPr>
        <w:tc>
          <w:tcPr>
            <w:tcW w:w="1060" w:type="dxa"/>
            <w:vAlign w:val="bottom"/>
          </w:tcPr>
          <w:p>
            <w:pPr>
              <w:spacing w:after="0"/>
              <w:rPr>
                <w:sz w:val="24"/>
                <w:szCs w:val="24"/>
                <w:color w:val="auto"/>
              </w:rPr>
            </w:pPr>
          </w:p>
        </w:tc>
        <w:tc>
          <w:tcPr>
            <w:tcW w:w="48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Notes to Condensed Consolidated Financial Statements (unaudited)</w:t>
              </w:r>
            </w:hyperlink>
          </w:p>
        </w:tc>
        <w:tc>
          <w:tcPr>
            <w:tcW w:w="4700" w:type="dxa"/>
            <w:vAlign w:val="bottom"/>
            <w:gridSpan w:val="5"/>
          </w:tcPr>
          <w:p>
            <w:pPr>
              <w:spacing w:after="0"/>
              <w:rPr>
                <w:sz w:val="24"/>
                <w:szCs w:val="24"/>
                <w:color w:val="auto"/>
              </w:rPr>
            </w:pPr>
          </w:p>
        </w:tc>
        <w:tc>
          <w:tcPr>
            <w:tcW w:w="84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rPr>
              <w:t>4</w:t>
            </w: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6840" w:type="dxa"/>
            <w:vAlign w:val="bottom"/>
            <w:tcBorders>
              <w:bottom w:val="single" w:sz="8" w:color="0000EE"/>
            </w:tcBorders>
            <w:gridSpan w:val="13"/>
          </w:tcPr>
          <w:p>
            <w:pPr>
              <w:spacing w:after="0"/>
              <w:rPr>
                <w:rFonts w:ascii="Times New Roman" w:cs="Times New Roman" w:eastAsia="Times New Roman" w:hAnsi="Times New Roman"/>
                <w:sz w:val="18"/>
                <w:szCs w:val="18"/>
                <w:b w:val="1"/>
                <w:bCs w:val="1"/>
                <w:color w:val="0000EE"/>
                <w:w w:val="99"/>
              </w:rPr>
            </w:pPr>
            <w:hyperlink w:anchor="page12">
              <w:r>
                <w:rPr>
                  <w:rFonts w:ascii="Times New Roman" w:cs="Times New Roman" w:eastAsia="Times New Roman" w:hAnsi="Times New Roman"/>
                  <w:sz w:val="18"/>
                  <w:szCs w:val="18"/>
                  <w:b w:val="1"/>
                  <w:bCs w:val="1"/>
                  <w:color w:val="0000EE"/>
                  <w:w w:val="99"/>
                </w:rPr>
                <w:t>Management’s Discussion and Analysis of Financial Condition and Results of Operations</w:t>
              </w:r>
            </w:hyperlink>
          </w:p>
        </w:tc>
        <w:tc>
          <w:tcPr>
            <w:tcW w:w="2740" w:type="dxa"/>
            <w:vAlign w:val="bottom"/>
            <w:gridSpan w:val="4"/>
          </w:tcPr>
          <w:p>
            <w:pPr>
              <w:spacing w:after="0"/>
              <w:rPr>
                <w:sz w:val="24"/>
                <w:szCs w:val="24"/>
                <w:color w:val="auto"/>
              </w:rPr>
            </w:pPr>
          </w:p>
        </w:tc>
        <w:tc>
          <w:tcPr>
            <w:tcW w:w="84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9"/>
              </w:rPr>
              <w:t>10</w:t>
            </w: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9580" w:type="dxa"/>
            <w:vAlign w:val="bottom"/>
            <w:gridSpan w:val="17"/>
          </w:tcPr>
          <w:p>
            <w:pPr>
              <w:spacing w:after="0"/>
              <w:rPr>
                <w:rFonts w:ascii="Times New Roman" w:cs="Times New Roman" w:eastAsia="Times New Roman" w:hAnsi="Times New Roman"/>
                <w:sz w:val="18"/>
                <w:szCs w:val="18"/>
                <w:b w:val="1"/>
                <w:bCs w:val="1"/>
                <w:color w:val="0000EE"/>
              </w:rPr>
            </w:pPr>
            <w:hyperlink w:anchor="page20">
              <w:r>
                <w:rPr>
                  <w:rFonts w:ascii="Times New Roman" w:cs="Times New Roman" w:eastAsia="Times New Roman" w:hAnsi="Times New Roman"/>
                  <w:sz w:val="18"/>
                  <w:szCs w:val="18"/>
                  <w:b w:val="1"/>
                  <w:bCs w:val="1"/>
                  <w:color w:val="0000EE"/>
                </w:rPr>
                <w:t>Quantitative and Qualitative Disclosures About Market Risk</w:t>
              </w:r>
            </w:hyperlink>
          </w:p>
        </w:tc>
        <w:tc>
          <w:tcPr>
            <w:tcW w:w="84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9"/>
              </w:rPr>
              <w:t>18</w:t>
            </w: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1920" w:type="dxa"/>
            <w:vAlign w:val="bottom"/>
            <w:tcBorders>
              <w:top w:val="single" w:sz="8" w:color="0000EE"/>
              <w:bottom w:val="single" w:sz="8" w:color="0000EE"/>
            </w:tcBorders>
            <w:gridSpan w:val="8"/>
          </w:tcPr>
          <w:p>
            <w:pPr>
              <w:spacing w:after="0"/>
              <w:rPr>
                <w:rFonts w:ascii="Times New Roman" w:cs="Times New Roman" w:eastAsia="Times New Roman" w:hAnsi="Times New Roman"/>
                <w:sz w:val="18"/>
                <w:szCs w:val="18"/>
                <w:b w:val="1"/>
                <w:bCs w:val="1"/>
                <w:color w:val="0000EE"/>
                <w:w w:val="98"/>
              </w:rPr>
            </w:pPr>
            <w:hyperlink w:anchor="page21">
              <w:r>
                <w:rPr>
                  <w:rFonts w:ascii="Times New Roman" w:cs="Times New Roman" w:eastAsia="Times New Roman" w:hAnsi="Times New Roman"/>
                  <w:sz w:val="18"/>
                  <w:szCs w:val="18"/>
                  <w:b w:val="1"/>
                  <w:bCs w:val="1"/>
                  <w:color w:val="0000EE"/>
                  <w:w w:val="98"/>
                </w:rPr>
                <w:t>Controls and Procedures</w:t>
              </w:r>
            </w:hyperlink>
          </w:p>
        </w:tc>
        <w:tc>
          <w:tcPr>
            <w:tcW w:w="2740" w:type="dxa"/>
            <w:vAlign w:val="bottom"/>
            <w:tcBorders>
              <w:top w:val="single" w:sz="8" w:color="0000EE"/>
            </w:tcBorders>
            <w:gridSpan w:val="3"/>
          </w:tcPr>
          <w:p>
            <w:pPr>
              <w:spacing w:after="0"/>
              <w:rPr>
                <w:sz w:val="24"/>
                <w:szCs w:val="24"/>
                <w:color w:val="auto"/>
              </w:rPr>
            </w:pPr>
          </w:p>
        </w:tc>
        <w:tc>
          <w:tcPr>
            <w:tcW w:w="4920" w:type="dxa"/>
            <w:vAlign w:val="bottom"/>
            <w:gridSpan w:val="6"/>
          </w:tcPr>
          <w:p>
            <w:pPr>
              <w:spacing w:after="0"/>
              <w:rPr>
                <w:sz w:val="24"/>
                <w:szCs w:val="24"/>
                <w:color w:val="auto"/>
              </w:rPr>
            </w:pPr>
          </w:p>
        </w:tc>
        <w:tc>
          <w:tcPr>
            <w:tcW w:w="84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9"/>
              </w:rPr>
              <w:t>19</w:t>
            </w:r>
          </w:p>
        </w:tc>
      </w:tr>
      <w:tr>
        <w:trPr>
          <w:trHeight w:val="318"/>
        </w:trPr>
        <w:tc>
          <w:tcPr>
            <w:tcW w:w="2820" w:type="dxa"/>
            <w:vAlign w:val="bottom"/>
            <w:tcBorders>
              <w:bottom w:val="single" w:sz="8" w:color="0000EE"/>
            </w:tcBorders>
            <w:gridSpan w:val="8"/>
          </w:tcPr>
          <w:p>
            <w:pPr>
              <w:spacing w:after="0"/>
              <w:rPr>
                <w:rFonts w:ascii="Times New Roman" w:cs="Times New Roman" w:eastAsia="Times New Roman" w:hAnsi="Times New Roman"/>
                <w:sz w:val="18"/>
                <w:szCs w:val="18"/>
                <w:b w:val="1"/>
                <w:bCs w:val="1"/>
                <w:color w:val="0000EE"/>
                <w:w w:val="99"/>
              </w:rPr>
            </w:pPr>
            <w:hyperlink w:anchor="page22">
              <w:r>
                <w:rPr>
                  <w:rFonts w:ascii="Times New Roman" w:cs="Times New Roman" w:eastAsia="Times New Roman" w:hAnsi="Times New Roman"/>
                  <w:sz w:val="18"/>
                  <w:szCs w:val="18"/>
                  <w:b w:val="1"/>
                  <w:bCs w:val="1"/>
                  <w:color w:val="0000EE"/>
                  <w:w w:val="99"/>
                </w:rPr>
                <w:t>PART II. OTHER INFORMATION</w:t>
              </w:r>
            </w:hyperlink>
          </w:p>
        </w:tc>
        <w:tc>
          <w:tcPr>
            <w:tcW w:w="7820" w:type="dxa"/>
            <w:vAlign w:val="bottom"/>
            <w:gridSpan w:val="10"/>
          </w:tcPr>
          <w:p>
            <w:pPr>
              <w:spacing w:after="0"/>
              <w:rPr>
                <w:sz w:val="24"/>
                <w:szCs w:val="24"/>
                <w:color w:val="auto"/>
              </w:rPr>
            </w:pPr>
          </w:p>
        </w:tc>
        <w:tc>
          <w:tcPr>
            <w:tcW w:w="840" w:type="dxa"/>
            <w:vAlign w:val="bottom"/>
          </w:tcPr>
          <w:p>
            <w:pPr>
              <w:spacing w:after="0"/>
              <w:rPr>
                <w:sz w:val="24"/>
                <w:szCs w:val="24"/>
                <w:color w:val="auto"/>
              </w:rPr>
            </w:pP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980" w:type="dxa"/>
            <w:vAlign w:val="bottom"/>
            <w:tcBorders>
              <w:bottom w:val="single" w:sz="8" w:color="0000EE"/>
            </w:tcBorders>
            <w:gridSpan w:val="4"/>
          </w:tcPr>
          <w:p>
            <w:pPr>
              <w:spacing w:after="0"/>
              <w:rPr>
                <w:rFonts w:ascii="Times New Roman" w:cs="Times New Roman" w:eastAsia="Times New Roman" w:hAnsi="Times New Roman"/>
                <w:sz w:val="18"/>
                <w:szCs w:val="18"/>
                <w:b w:val="1"/>
                <w:bCs w:val="1"/>
                <w:color w:val="0000EE"/>
                <w:w w:val="98"/>
              </w:rPr>
            </w:pPr>
            <w:hyperlink w:anchor="page22">
              <w:r>
                <w:rPr>
                  <w:rFonts w:ascii="Times New Roman" w:cs="Times New Roman" w:eastAsia="Times New Roman" w:hAnsi="Times New Roman"/>
                  <w:sz w:val="18"/>
                  <w:szCs w:val="18"/>
                  <w:b w:val="1"/>
                  <w:bCs w:val="1"/>
                  <w:color w:val="0000EE"/>
                  <w:w w:val="98"/>
                </w:rPr>
                <w:t>Risk Factors</w:t>
              </w:r>
            </w:hyperlink>
          </w:p>
        </w:tc>
        <w:tc>
          <w:tcPr>
            <w:tcW w:w="8600" w:type="dxa"/>
            <w:vAlign w:val="bottom"/>
            <w:gridSpan w:val="13"/>
          </w:tcPr>
          <w:p>
            <w:pPr>
              <w:spacing w:after="0"/>
              <w:rPr>
                <w:sz w:val="24"/>
                <w:szCs w:val="24"/>
                <w:color w:val="auto"/>
              </w:rPr>
            </w:pPr>
          </w:p>
        </w:tc>
        <w:tc>
          <w:tcPr>
            <w:tcW w:w="84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9"/>
              </w:rPr>
              <w:t>20</w:t>
            </w: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4580" w:type="dxa"/>
            <w:vAlign w:val="bottom"/>
            <w:tcBorders>
              <w:bottom w:val="single" w:sz="8" w:color="0000EE"/>
            </w:tcBorders>
            <w:gridSpan w:val="10"/>
          </w:tcPr>
          <w:p>
            <w:pPr>
              <w:spacing w:after="0"/>
              <w:rPr>
                <w:rFonts w:ascii="Times New Roman" w:cs="Times New Roman" w:eastAsia="Times New Roman" w:hAnsi="Times New Roman"/>
                <w:sz w:val="18"/>
                <w:szCs w:val="18"/>
                <w:b w:val="1"/>
                <w:bCs w:val="1"/>
                <w:color w:val="0000EE"/>
                <w:w w:val="99"/>
              </w:rPr>
            </w:pPr>
            <w:hyperlink w:anchor="page56">
              <w:r>
                <w:rPr>
                  <w:rFonts w:ascii="Times New Roman" w:cs="Times New Roman" w:eastAsia="Times New Roman" w:hAnsi="Times New Roman"/>
                  <w:sz w:val="18"/>
                  <w:szCs w:val="18"/>
                  <w:b w:val="1"/>
                  <w:bCs w:val="1"/>
                  <w:color w:val="0000EE"/>
                  <w:w w:val="99"/>
                </w:rPr>
                <w:t>Unregistered Sales of Equity Securities and Use of Proceeds</w:t>
              </w:r>
            </w:hyperlink>
          </w:p>
        </w:tc>
        <w:tc>
          <w:tcPr>
            <w:tcW w:w="5000" w:type="dxa"/>
            <w:vAlign w:val="bottom"/>
            <w:gridSpan w:val="7"/>
          </w:tcPr>
          <w:p>
            <w:pPr>
              <w:spacing w:after="0"/>
              <w:rPr>
                <w:sz w:val="24"/>
                <w:szCs w:val="24"/>
                <w:color w:val="auto"/>
              </w:rPr>
            </w:pPr>
          </w:p>
        </w:tc>
        <w:tc>
          <w:tcPr>
            <w:tcW w:w="84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9"/>
              </w:rPr>
              <w:t>54</w:t>
            </w: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9580" w:type="dxa"/>
            <w:vAlign w:val="bottom"/>
            <w:gridSpan w:val="17"/>
          </w:tcPr>
          <w:p>
            <w:pPr>
              <w:spacing w:after="0"/>
              <w:rPr>
                <w:rFonts w:ascii="Times New Roman" w:cs="Times New Roman" w:eastAsia="Times New Roman" w:hAnsi="Times New Roman"/>
                <w:sz w:val="18"/>
                <w:szCs w:val="18"/>
                <w:b w:val="1"/>
                <w:bCs w:val="1"/>
                <w:color w:val="0000EE"/>
              </w:rPr>
            </w:pPr>
            <w:hyperlink w:anchor="page56">
              <w:r>
                <w:rPr>
                  <w:rFonts w:ascii="Times New Roman" w:cs="Times New Roman" w:eastAsia="Times New Roman" w:hAnsi="Times New Roman"/>
                  <w:sz w:val="18"/>
                  <w:szCs w:val="18"/>
                  <w:b w:val="1"/>
                  <w:bCs w:val="1"/>
                  <w:color w:val="0000EE"/>
                </w:rPr>
                <w:t>Other Information</w:t>
              </w:r>
            </w:hyperlink>
          </w:p>
        </w:tc>
        <w:tc>
          <w:tcPr>
            <w:tcW w:w="84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9"/>
              </w:rPr>
              <w:t>54</w:t>
            </w:r>
          </w:p>
        </w:tc>
      </w:tr>
      <w:tr>
        <w:trPr>
          <w:trHeight w:val="318"/>
        </w:trPr>
        <w:tc>
          <w:tcPr>
            <w:tcW w:w="1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440" w:type="dxa"/>
            <w:vAlign w:val="bottom"/>
            <w:tcBorders>
              <w:top w:val="single" w:sz="8" w:color="0000EE"/>
            </w:tcBorders>
            <w:gridSpan w:val="5"/>
          </w:tcPr>
          <w:p>
            <w:pPr>
              <w:spacing w:after="0"/>
              <w:rPr>
                <w:rFonts w:ascii="Times New Roman" w:cs="Times New Roman" w:eastAsia="Times New Roman" w:hAnsi="Times New Roman"/>
                <w:sz w:val="18"/>
                <w:szCs w:val="18"/>
                <w:b w:val="1"/>
                <w:bCs w:val="1"/>
                <w:color w:val="0000EE"/>
              </w:rPr>
            </w:pPr>
            <w:hyperlink w:anchor="page56">
              <w:r>
                <w:rPr>
                  <w:rFonts w:ascii="Times New Roman" w:cs="Times New Roman" w:eastAsia="Times New Roman" w:hAnsi="Times New Roman"/>
                  <w:sz w:val="18"/>
                  <w:szCs w:val="18"/>
                  <w:b w:val="1"/>
                  <w:bCs w:val="1"/>
                  <w:color w:val="0000EE"/>
                </w:rPr>
                <w:t>Exhibits</w:t>
              </w:r>
            </w:hyperlink>
          </w:p>
        </w:tc>
        <w:tc>
          <w:tcPr>
            <w:tcW w:w="8140" w:type="dxa"/>
            <w:vAlign w:val="bottom"/>
            <w:gridSpan w:val="12"/>
          </w:tcPr>
          <w:p>
            <w:pPr>
              <w:spacing w:after="0"/>
              <w:rPr>
                <w:sz w:val="24"/>
                <w:szCs w:val="24"/>
                <w:color w:val="auto"/>
              </w:rPr>
            </w:pPr>
          </w:p>
        </w:tc>
        <w:tc>
          <w:tcPr>
            <w:tcW w:w="84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9"/>
              </w:rPr>
              <w:t>54</w:t>
            </w:r>
          </w:p>
        </w:tc>
      </w:tr>
      <w:tr>
        <w:trPr>
          <w:trHeight w:val="20"/>
        </w:trPr>
        <w:tc>
          <w:tcPr>
            <w:tcW w:w="106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760" w:type="dxa"/>
            <w:vAlign w:val="bottom"/>
            <w:gridSpan w:val="1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318"/>
        </w:trPr>
        <w:tc>
          <w:tcPr>
            <w:tcW w:w="1060" w:type="dxa"/>
            <w:vAlign w:val="bottom"/>
          </w:tcPr>
          <w:p>
            <w:pPr>
              <w:spacing w:after="0"/>
              <w:rPr>
                <w:sz w:val="24"/>
                <w:szCs w:val="24"/>
                <w:color w:val="auto"/>
              </w:rPr>
            </w:pPr>
          </w:p>
        </w:tc>
        <w:tc>
          <w:tcPr>
            <w:tcW w:w="820" w:type="dxa"/>
            <w:vAlign w:val="bottom"/>
            <w:tcBorders>
              <w:bottom w:val="single" w:sz="8" w:color="0000EE"/>
            </w:tcBorders>
            <w:gridSpan w:val="3"/>
          </w:tcPr>
          <w:p>
            <w:pPr>
              <w:spacing w:after="0"/>
              <w:rPr>
                <w:rFonts w:ascii="Times New Roman" w:cs="Times New Roman" w:eastAsia="Times New Roman" w:hAnsi="Times New Roman"/>
                <w:sz w:val="18"/>
                <w:szCs w:val="18"/>
                <w:b w:val="1"/>
                <w:bCs w:val="1"/>
                <w:color w:val="0000EE"/>
                <w:w w:val="97"/>
              </w:rPr>
            </w:pPr>
            <w:hyperlink w:anchor="page57">
              <w:r>
                <w:rPr>
                  <w:rFonts w:ascii="Times New Roman" w:cs="Times New Roman" w:eastAsia="Times New Roman" w:hAnsi="Times New Roman"/>
                  <w:sz w:val="18"/>
                  <w:szCs w:val="18"/>
                  <w:b w:val="1"/>
                  <w:bCs w:val="1"/>
                  <w:color w:val="0000EE"/>
                  <w:w w:val="97"/>
                </w:rPr>
                <w:t>Signatures</w:t>
              </w:r>
            </w:hyperlink>
          </w:p>
        </w:tc>
        <w:tc>
          <w:tcPr>
            <w:tcW w:w="8760" w:type="dxa"/>
            <w:vAlign w:val="bottom"/>
            <w:gridSpan w:val="14"/>
          </w:tcPr>
          <w:p>
            <w:pPr>
              <w:spacing w:after="0"/>
              <w:rPr>
                <w:sz w:val="24"/>
                <w:szCs w:val="24"/>
                <w:color w:val="auto"/>
              </w:rPr>
            </w:pPr>
          </w:p>
        </w:tc>
        <w:tc>
          <w:tcPr>
            <w:tcW w:w="840" w:type="dxa"/>
            <w:vAlign w:val="bottom"/>
          </w:tcPr>
          <w:p>
            <w:pPr>
              <w:jc w:val="center"/>
              <w:ind w:left="51"/>
              <w:spacing w:after="0"/>
              <w:rPr>
                <w:sz w:val="20"/>
                <w:szCs w:val="20"/>
                <w:color w:val="auto"/>
              </w:rPr>
            </w:pPr>
            <w:r>
              <w:rPr>
                <w:rFonts w:ascii="Times New Roman" w:cs="Times New Roman" w:eastAsia="Times New Roman" w:hAnsi="Times New Roman"/>
                <w:sz w:val="18"/>
                <w:szCs w:val="18"/>
                <w:color w:val="auto"/>
                <w:w w:val="99"/>
              </w:rPr>
              <w:t>55</w:t>
            </w:r>
          </w:p>
        </w:tc>
      </w:tr>
    </w:tbl>
    <w:p>
      <w:pPr>
        <w:sectPr>
          <w:pgSz w:w="11900" w:h="16838" w:orient="portrait"/>
          <w:cols w:equalWidth="0" w:num="1">
            <w:col w:w="11480"/>
          </w:cols>
          <w:pgMar w:left="240" w:top="117" w:right="17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6920" w:type="dxa"/>
            <w:vAlign w:val="bottom"/>
          </w:tcPr>
          <w:p>
            <w:pPr>
              <w:ind w:left="306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69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CERULEAN PHARMA INC.</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 except share data and par value)</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0" w:type="dxa"/>
            <w:vAlign w:val="bottom"/>
          </w:tcPr>
          <w:p>
            <w:pPr>
              <w:spacing w:after="0"/>
              <w:rPr>
                <w:sz w:val="1"/>
                <w:szCs w:val="1"/>
                <w:color w:val="auto"/>
              </w:rPr>
            </w:pPr>
          </w:p>
        </w:tc>
      </w:tr>
      <w:tr>
        <w:trPr>
          <w:trHeight w:val="223"/>
        </w:trPr>
        <w:tc>
          <w:tcPr>
            <w:tcW w:w="1120" w:type="dxa"/>
            <w:vAlign w:val="bottom"/>
            <w:vMerge w:val="continue"/>
          </w:tcPr>
          <w:p>
            <w:pPr>
              <w:spacing w:after="0"/>
              <w:rPr>
                <w:sz w:val="19"/>
                <w:szCs w:val="19"/>
                <w:color w:val="auto"/>
              </w:rPr>
            </w:pPr>
          </w:p>
        </w:tc>
        <w:tc>
          <w:tcPr>
            <w:tcW w:w="69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6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56,316</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receivable, prepaid expenses, and other current assets</w:t>
            </w:r>
          </w:p>
        </w:tc>
        <w:tc>
          <w:tcPr>
            <w:tcW w:w="1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58,582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 Net</w:t>
            </w: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69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69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59,381</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53,393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Current portion of loan payable</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liabilities</w:t>
            </w:r>
          </w:p>
        </w:tc>
        <w:tc>
          <w:tcPr>
            <w:tcW w:w="18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40" w:type="dxa"/>
            <w:vAlign w:val="bottom"/>
            <w:tcBorders>
              <w:bottom w:val="single" w:sz="8" w:color="CFF0FC"/>
            </w:tcBorders>
            <w:gridSpan w:val="2"/>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Loan payable — net of current portion</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Non-current accrued interest</w:t>
            </w: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6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40" w:type="dxa"/>
            <w:vAlign w:val="bottom"/>
            <w:tcBorders>
              <w:top w:val="single" w:sz="8" w:color="CFF0FC"/>
            </w:tcBorders>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13,684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Commitments</w:t>
            </w:r>
          </w:p>
        </w:tc>
        <w:tc>
          <w:tcPr>
            <w:tcW w:w="6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8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Preferred stock, $0.01 par value; 5,000,000 shares authorized, no shares</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issued or outstanding</w:t>
            </w:r>
          </w:p>
        </w:tc>
        <w:tc>
          <w:tcPr>
            <w:tcW w:w="18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80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Common stock, $0.0001 par value;</w:t>
            </w:r>
          </w:p>
        </w:tc>
        <w:tc>
          <w:tcPr>
            <w:tcW w:w="1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120,000,000 shares authorized, 20,568,026 and 20,125,049 shares issued and</w:t>
            </w:r>
          </w:p>
        </w:tc>
        <w:tc>
          <w:tcPr>
            <w:tcW w:w="1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4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outstanding at March 31, 2015 and December 31, 2014, respectively</w:t>
            </w:r>
          </w:p>
        </w:tc>
        <w:tc>
          <w:tcPr>
            <w:tcW w:w="18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(130,209)</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(121,781)</w:t>
            </w:r>
          </w:p>
        </w:tc>
        <w:tc>
          <w:tcPr>
            <w:tcW w:w="0" w:type="dxa"/>
            <w:vAlign w:val="bottom"/>
          </w:tcPr>
          <w:p>
            <w:pPr>
              <w:spacing w:after="0"/>
              <w:rPr>
                <w:sz w:val="1"/>
                <w:szCs w:val="1"/>
                <w:color w:val="auto"/>
              </w:rPr>
            </w:pPr>
          </w:p>
        </w:tc>
      </w:tr>
      <w:tr>
        <w:trPr>
          <w:trHeight w:val="223"/>
        </w:trPr>
        <w:tc>
          <w:tcPr>
            <w:tcW w:w="8040" w:type="dxa"/>
            <w:vAlign w:val="bottom"/>
            <w:tcBorders>
              <w:bottom w:val="single" w:sz="8" w:color="CFF0FC"/>
            </w:tcBorders>
            <w:gridSpan w:val="2"/>
          </w:tcPr>
          <w:p>
            <w:pPr>
              <w:ind w:left="5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40,408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45,325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69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59,381</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53,393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17" w:right="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CERULEAN PHARMA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except per share and share data)</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40" w:type="dxa"/>
            <w:vAlign w:val="bottom"/>
            <w:gridSpan w:val="6"/>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56"/>
        </w:trPr>
        <w:tc>
          <w:tcPr>
            <w:tcW w:w="8040" w:type="dxa"/>
            <w:vAlign w:val="bottom"/>
            <w:tcBorders>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33"/>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FF0FC"/>
            </w:tcBorders>
          </w:tcPr>
          <w:p>
            <w:pPr>
              <w:spacing w:after="0"/>
              <w:rPr>
                <w:sz w:val="13"/>
                <w:szCs w:val="13"/>
                <w:color w:val="auto"/>
              </w:rPr>
            </w:pPr>
          </w:p>
        </w:tc>
      </w:tr>
      <w:tr>
        <w:trPr>
          <w:trHeight w:val="223"/>
        </w:trPr>
        <w:tc>
          <w:tcPr>
            <w:tcW w:w="8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bottom w:val="single" w:sz="8" w:color="auto"/>
            </w:tcBorders>
            <w:shd w:val="clear" w:color="auto" w:fill="CFF0FC"/>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FF0FC"/>
          </w:tcPr>
          <w:p>
            <w:pPr>
              <w:spacing w:after="0"/>
              <w:rPr>
                <w:sz w:val="19"/>
                <w:szCs w:val="19"/>
                <w:color w:val="auto"/>
              </w:rPr>
            </w:pPr>
          </w:p>
        </w:tc>
      </w:tr>
      <w:tr>
        <w:trPr>
          <w:trHeight w:val="223"/>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8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120" w:type="dxa"/>
            <w:vAlign w:val="bottom"/>
            <w:shd w:val="clear" w:color="auto" w:fill="CFF0FC"/>
          </w:tcPr>
          <w:p>
            <w:pPr>
              <w:spacing w:after="0"/>
              <w:rPr>
                <w:sz w:val="19"/>
                <w:szCs w:val="19"/>
                <w:color w:val="auto"/>
              </w:rPr>
            </w:pPr>
          </w:p>
        </w:tc>
      </w:tr>
      <w:tr>
        <w:trPr>
          <w:trHeight w:val="230"/>
        </w:trPr>
        <w:tc>
          <w:tcPr>
            <w:tcW w:w="80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20" w:type="dxa"/>
            <w:vAlign w:val="bottom"/>
            <w:tcBorders>
              <w:bottom w:val="single" w:sz="8" w:color="CFF0FC"/>
            </w:tcBorders>
          </w:tcPr>
          <w:p>
            <w:pPr>
              <w:spacing w:after="0"/>
              <w:rPr>
                <w:sz w:val="19"/>
                <w:szCs w:val="19"/>
                <w:color w:val="auto"/>
              </w:rPr>
            </w:pPr>
          </w:p>
        </w:tc>
      </w:tr>
      <w:tr>
        <w:trPr>
          <w:trHeight w:val="223"/>
        </w:trPr>
        <w:tc>
          <w:tcPr>
            <w:tcW w:w="80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120" w:type="dxa"/>
            <w:vAlign w:val="bottom"/>
            <w:shd w:val="clear" w:color="auto" w:fill="CFF0FC"/>
          </w:tcPr>
          <w:p>
            <w:pPr>
              <w:spacing w:after="0"/>
              <w:rPr>
                <w:sz w:val="19"/>
                <w:szCs w:val="19"/>
                <w:color w:val="auto"/>
              </w:rPr>
            </w:pPr>
          </w:p>
        </w:tc>
      </w:tr>
      <w:tr>
        <w:trPr>
          <w:trHeight w:val="223"/>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8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9"/>
                <w:szCs w:val="19"/>
                <w:color w:val="auto"/>
              </w:rPr>
            </w:pPr>
          </w:p>
        </w:tc>
      </w:tr>
      <w:tr>
        <w:trPr>
          <w:trHeight w:val="230"/>
        </w:trPr>
        <w:tc>
          <w:tcPr>
            <w:tcW w:w="8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(461)</w:t>
            </w:r>
          </w:p>
        </w:tc>
      </w:tr>
      <w:tr>
        <w:trPr>
          <w:trHeight w:val="230"/>
        </w:trPr>
        <w:tc>
          <w:tcPr>
            <w:tcW w:w="8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expense</w:t>
            </w: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Decrease in value of preferred stock warrant liability</w:t>
            </w:r>
          </w:p>
        </w:tc>
        <w:tc>
          <w:tcPr>
            <w:tcW w:w="3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20" w:type="dxa"/>
            <w:vAlign w:val="bottom"/>
          </w:tcPr>
          <w:p>
            <w:pPr>
              <w:spacing w:after="0"/>
              <w:rPr>
                <w:sz w:val="19"/>
                <w:szCs w:val="19"/>
                <w:color w:val="auto"/>
              </w:rPr>
            </w:pPr>
          </w:p>
        </w:tc>
      </w:tr>
      <w:tr>
        <w:trPr>
          <w:trHeight w:val="223"/>
        </w:trPr>
        <w:tc>
          <w:tcPr>
            <w:tcW w:w="804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other (expense) income — net</w:t>
            </w: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top w:val="single" w:sz="8" w:color="CFF0FC"/>
            </w:tcBorders>
            <w:shd w:val="clear" w:color="auto" w:fill="CFF0FC"/>
          </w:tcPr>
          <w:p>
            <w:pPr>
              <w:spacing w:after="0"/>
              <w:rPr>
                <w:sz w:val="19"/>
                <w:szCs w:val="19"/>
                <w:color w:val="auto"/>
              </w:rPr>
            </w:pPr>
          </w:p>
        </w:tc>
      </w:tr>
      <w:tr>
        <w:trPr>
          <w:trHeight w:val="263"/>
        </w:trPr>
        <w:tc>
          <w:tcPr>
            <w:tcW w:w="80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3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(8,428)</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(2,914)</w:t>
            </w:r>
          </w:p>
        </w:tc>
        <w:tc>
          <w:tcPr>
            <w:tcW w:w="120" w:type="dxa"/>
            <w:vAlign w:val="bottom"/>
            <w:tcBorders>
              <w:bottom w:val="single" w:sz="8" w:color="CFF0FC"/>
            </w:tcBorders>
          </w:tcPr>
          <w:p>
            <w:pPr>
              <w:spacing w:after="0"/>
              <w:rPr>
                <w:sz w:val="22"/>
                <w:szCs w:val="22"/>
                <w:color w:val="auto"/>
              </w:rPr>
            </w:pPr>
          </w:p>
        </w:tc>
      </w:tr>
      <w:tr>
        <w:trPr>
          <w:trHeight w:val="210"/>
        </w:trPr>
        <w:tc>
          <w:tcPr>
            <w:tcW w:w="8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70"/>
        </w:trPr>
        <w:tc>
          <w:tcPr>
            <w:tcW w:w="8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 and diluted</w:t>
            </w:r>
          </w:p>
        </w:tc>
        <w:tc>
          <w:tcPr>
            <w:tcW w:w="34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(0.41)</w:t>
            </w:r>
          </w:p>
        </w:tc>
        <w:tc>
          <w:tcPr>
            <w:tcW w:w="440" w:type="dxa"/>
            <w:vAlign w:val="bottom"/>
            <w:gridSpan w:val="2"/>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(3.70)</w:t>
            </w:r>
          </w:p>
        </w:tc>
      </w:tr>
      <w:tr>
        <w:trPr>
          <w:trHeight w:val="210"/>
        </w:trPr>
        <w:tc>
          <w:tcPr>
            <w:tcW w:w="80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4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8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 and diluted</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20,350,557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786,986</w:t>
            </w:r>
          </w:p>
        </w:tc>
        <w:tc>
          <w:tcPr>
            <w:tcW w:w="120" w:type="dxa"/>
            <w:vAlign w:val="bottom"/>
          </w:tcPr>
          <w:p>
            <w:pPr>
              <w:spacing w:after="0"/>
              <w:rPr>
                <w:sz w:val="19"/>
                <w:szCs w:val="19"/>
                <w:color w:val="auto"/>
              </w:rPr>
            </w:pPr>
          </w:p>
        </w:tc>
      </w:tr>
      <w:tr>
        <w:trPr>
          <w:trHeight w:val="20"/>
        </w:trPr>
        <w:tc>
          <w:tcPr>
            <w:tcW w:w="80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17"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CERULEAN PHARMA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40" w:type="dxa"/>
            <w:vAlign w:val="bottom"/>
          </w:tcPr>
          <w:p>
            <w:pPr>
              <w:spacing w:after="0"/>
              <w:rPr>
                <w:sz w:val="15"/>
                <w:szCs w:val="15"/>
                <w:color w:val="auto"/>
              </w:rPr>
            </w:pPr>
          </w:p>
        </w:tc>
        <w:tc>
          <w:tcPr>
            <w:tcW w:w="2720" w:type="dxa"/>
            <w:vAlign w:val="bottom"/>
            <w:tcBorders>
              <w:bottom w:val="single" w:sz="8" w:color="auto"/>
            </w:tcBorders>
            <w:gridSpan w:val="5"/>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804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80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96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8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tcPr>
          <w:p>
            <w:pPr>
              <w:jc w:val="right"/>
              <w:ind w:right="800"/>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(8,428)</w:t>
            </w:r>
          </w:p>
        </w:tc>
        <w:tc>
          <w:tcPr>
            <w:tcW w:w="1080" w:type="dxa"/>
            <w:vAlign w:val="bottom"/>
            <w:gridSpan w:val="2"/>
          </w:tcPr>
          <w:p>
            <w:pPr>
              <w:jc w:val="right"/>
              <w:ind w:right="83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(2,914)</w:t>
            </w:r>
          </w:p>
        </w:tc>
      </w:tr>
      <w:tr>
        <w:trPr>
          <w:trHeight w:val="230"/>
        </w:trPr>
        <w:tc>
          <w:tcPr>
            <w:tcW w:w="8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8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Stock-based compensation</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 w:type="dxa"/>
            <w:vAlign w:val="bottom"/>
          </w:tcPr>
          <w:p>
            <w:pPr>
              <w:spacing w:after="0"/>
              <w:rPr>
                <w:sz w:val="19"/>
                <w:szCs w:val="19"/>
                <w:color w:val="auto"/>
              </w:rPr>
            </w:pPr>
          </w:p>
        </w:tc>
      </w:tr>
      <w:tr>
        <w:trPr>
          <w:trHeight w:val="230"/>
        </w:trPr>
        <w:tc>
          <w:tcPr>
            <w:tcW w:w="80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Noncash rent expense</w:t>
            </w:r>
          </w:p>
        </w:tc>
        <w:tc>
          <w:tcPr>
            <w:tcW w:w="9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19"/>
                <w:szCs w:val="19"/>
                <w:color w:val="auto"/>
              </w:rPr>
            </w:pPr>
          </w:p>
        </w:tc>
      </w:tr>
      <w:tr>
        <w:trPr>
          <w:trHeight w:val="230"/>
        </w:trPr>
        <w:tc>
          <w:tcPr>
            <w:tcW w:w="8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Change in carrying value of preferred stock warrant liability</w:t>
            </w:r>
          </w:p>
        </w:tc>
        <w:tc>
          <w:tcPr>
            <w:tcW w:w="96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(504)</w:t>
            </w:r>
          </w:p>
        </w:tc>
      </w:tr>
      <w:tr>
        <w:trPr>
          <w:trHeight w:val="230"/>
        </w:trPr>
        <w:tc>
          <w:tcPr>
            <w:tcW w:w="80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FF0FC"/>
          </w:tcPr>
          <w:p>
            <w:pPr>
              <w:spacing w:after="0"/>
              <w:rPr>
                <w:sz w:val="19"/>
                <w:szCs w:val="19"/>
                <w:color w:val="auto"/>
              </w:rPr>
            </w:pPr>
          </w:p>
        </w:tc>
      </w:tr>
      <w:tr>
        <w:trPr>
          <w:trHeight w:val="230"/>
        </w:trPr>
        <w:tc>
          <w:tcPr>
            <w:tcW w:w="8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Noncash interest expense</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19"/>
                <w:szCs w:val="19"/>
                <w:color w:val="auto"/>
              </w:rPr>
            </w:pPr>
          </w:p>
        </w:tc>
      </w:tr>
      <w:tr>
        <w:trPr>
          <w:trHeight w:val="230"/>
        </w:trPr>
        <w:tc>
          <w:tcPr>
            <w:tcW w:w="80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80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Accounts receivable, prepaid expenses and other current assets</w:t>
            </w:r>
          </w:p>
        </w:tc>
        <w:tc>
          <w:tcPr>
            <w:tcW w:w="96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(1,019)</w:t>
            </w:r>
          </w:p>
        </w:tc>
      </w:tr>
      <w:tr>
        <w:trPr>
          <w:trHeight w:val="230"/>
        </w:trPr>
        <w:tc>
          <w:tcPr>
            <w:tcW w:w="80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Accounts payable</w:t>
            </w:r>
          </w:p>
        </w:tc>
        <w:tc>
          <w:tcPr>
            <w:tcW w:w="9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120" w:type="dxa"/>
            <w:vAlign w:val="bottom"/>
            <w:shd w:val="clear" w:color="auto" w:fill="CFF0FC"/>
          </w:tcPr>
          <w:p>
            <w:pPr>
              <w:spacing w:after="0"/>
              <w:rPr>
                <w:sz w:val="19"/>
                <w:szCs w:val="19"/>
                <w:color w:val="auto"/>
              </w:rPr>
            </w:pPr>
          </w:p>
        </w:tc>
      </w:tr>
      <w:tr>
        <w:trPr>
          <w:trHeight w:val="230"/>
        </w:trPr>
        <w:tc>
          <w:tcPr>
            <w:tcW w:w="80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Accrued expenses</w:t>
            </w:r>
          </w:p>
        </w:tc>
        <w:tc>
          <w:tcPr>
            <w:tcW w:w="96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(761)</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(781)</w:t>
            </w:r>
          </w:p>
        </w:tc>
      </w:tr>
      <w:tr>
        <w:trPr>
          <w:trHeight w:val="223"/>
        </w:trPr>
        <w:tc>
          <w:tcPr>
            <w:tcW w:w="8040" w:type="dxa"/>
            <w:vAlign w:val="bottom"/>
            <w:tcBorders>
              <w:top w:val="single" w:sz="8" w:color="CFF0FC"/>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(7,941)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(3,666)</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8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80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9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FF0FC"/>
            </w:tcBorders>
          </w:tcPr>
          <w:p>
            <w:pPr>
              <w:spacing w:after="0"/>
              <w:rPr>
                <w:sz w:val="19"/>
                <w:szCs w:val="19"/>
                <w:color w:val="auto"/>
              </w:rPr>
            </w:pPr>
          </w:p>
        </w:tc>
      </w:tr>
      <w:tr>
        <w:trPr>
          <w:trHeight w:val="223"/>
        </w:trPr>
        <w:tc>
          <w:tcPr>
            <w:tcW w:w="804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9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8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Proceeds from sale of common stock</w:t>
            </w:r>
          </w:p>
        </w:tc>
        <w:tc>
          <w:tcPr>
            <w:tcW w:w="9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FF0FC"/>
          </w:tcPr>
          <w:p>
            <w:pPr>
              <w:spacing w:after="0"/>
              <w:rPr>
                <w:sz w:val="19"/>
                <w:szCs w:val="19"/>
                <w:color w:val="auto"/>
              </w:rPr>
            </w:pPr>
          </w:p>
        </w:tc>
      </w:tr>
      <w:tr>
        <w:trPr>
          <w:trHeight w:val="230"/>
        </w:trPr>
        <w:tc>
          <w:tcPr>
            <w:tcW w:w="8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Proceeds from issuance of loans payable</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Proceeds from issuance of convertible promissory notes</w:t>
            </w:r>
          </w:p>
        </w:tc>
        <w:tc>
          <w:tcPr>
            <w:tcW w:w="9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120" w:type="dxa"/>
            <w:vAlign w:val="bottom"/>
            <w:shd w:val="clear" w:color="auto" w:fill="CFF0FC"/>
          </w:tcPr>
          <w:p>
            <w:pPr>
              <w:spacing w:after="0"/>
              <w:rPr>
                <w:sz w:val="19"/>
                <w:szCs w:val="19"/>
                <w:color w:val="auto"/>
              </w:rPr>
            </w:pPr>
          </w:p>
        </w:tc>
      </w:tr>
      <w:tr>
        <w:trPr>
          <w:trHeight w:val="230"/>
        </w:trPr>
        <w:tc>
          <w:tcPr>
            <w:tcW w:w="8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Payments on loans payable</w:t>
            </w:r>
          </w:p>
        </w:tc>
        <w:tc>
          <w:tcPr>
            <w:tcW w:w="96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(3,921)</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(812)</w:t>
            </w:r>
          </w:p>
        </w:tc>
      </w:tr>
      <w:tr>
        <w:trPr>
          <w:trHeight w:val="230"/>
        </w:trPr>
        <w:tc>
          <w:tcPr>
            <w:tcW w:w="8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paid for debt issuance costs</w:t>
            </w:r>
          </w:p>
        </w:tc>
        <w:tc>
          <w:tcPr>
            <w:tcW w:w="96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(359)</w:t>
            </w:r>
          </w:p>
        </w:tc>
        <w:tc>
          <w:tcPr>
            <w:tcW w:w="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paid for deferred financing costs</w:t>
            </w:r>
          </w:p>
        </w:tc>
        <w:tc>
          <w:tcPr>
            <w:tcW w:w="96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(1,065)</w:t>
            </w:r>
          </w:p>
        </w:tc>
      </w:tr>
      <w:tr>
        <w:trPr>
          <w:trHeight w:val="223"/>
        </w:trPr>
        <w:tc>
          <w:tcPr>
            <w:tcW w:w="8040" w:type="dxa"/>
            <w:vAlign w:val="bottom"/>
            <w:tcBorders>
              <w:top w:val="single" w:sz="8" w:color="CFF0FC"/>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13,112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6,650</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120" w:type="dxa"/>
            <w:vAlign w:val="bottom"/>
          </w:tcPr>
          <w:p>
            <w:pPr>
              <w:spacing w:after="0"/>
              <w:rPr>
                <w:sz w:val="19"/>
                <w:szCs w:val="19"/>
                <w:color w:val="auto"/>
              </w:rPr>
            </w:pPr>
          </w:p>
        </w:tc>
      </w:tr>
      <w:tr>
        <w:trPr>
          <w:trHeight w:val="230"/>
        </w:trPr>
        <w:tc>
          <w:tcPr>
            <w:tcW w:w="8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 Beginning of period</w:t>
            </w:r>
          </w:p>
        </w:tc>
        <w:tc>
          <w:tcPr>
            <w:tcW w:w="96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51,174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5,488</w:t>
            </w:r>
          </w:p>
        </w:tc>
        <w:tc>
          <w:tcPr>
            <w:tcW w:w="120" w:type="dxa"/>
            <w:vAlign w:val="bottom"/>
            <w:shd w:val="clear" w:color="auto" w:fill="CFF0FC"/>
          </w:tcPr>
          <w:p>
            <w:pPr>
              <w:spacing w:after="0"/>
              <w:rPr>
                <w:sz w:val="19"/>
                <w:szCs w:val="19"/>
                <w:color w:val="auto"/>
              </w:rPr>
            </w:pPr>
          </w:p>
        </w:tc>
      </w:tr>
      <w:tr>
        <w:trPr>
          <w:trHeight w:val="263"/>
        </w:trPr>
        <w:tc>
          <w:tcPr>
            <w:tcW w:w="80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and cash equivalents — End of period</w:t>
            </w:r>
          </w:p>
        </w:tc>
        <w:tc>
          <w:tcPr>
            <w:tcW w:w="960" w:type="dxa"/>
            <w:vAlign w:val="bottom"/>
            <w:tcBorders>
              <w:bottom w:val="single" w:sz="8" w:color="auto"/>
            </w:tcBorders>
          </w:tcPr>
          <w:p>
            <w:pPr>
              <w:jc w:val="right"/>
              <w:ind w:right="800"/>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56,316</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000" w:type="dxa"/>
            <w:vAlign w:val="bottom"/>
            <w:tcBorders>
              <w:bottom w:val="single" w:sz="8" w:color="auto"/>
            </w:tcBorders>
          </w:tcPr>
          <w:p>
            <w:pPr>
              <w:jc w:val="right"/>
              <w:ind w:right="835"/>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8,468</w:t>
            </w:r>
          </w:p>
        </w:tc>
        <w:tc>
          <w:tcPr>
            <w:tcW w:w="120" w:type="dxa"/>
            <w:vAlign w:val="bottom"/>
            <w:tcBorders>
              <w:bottom w:val="single" w:sz="8" w:color="CFF0FC"/>
            </w:tcBorders>
          </w:tcPr>
          <w:p>
            <w:pPr>
              <w:spacing w:after="0"/>
              <w:rPr>
                <w:sz w:val="22"/>
                <w:szCs w:val="22"/>
                <w:color w:val="auto"/>
              </w:rPr>
            </w:pPr>
          </w:p>
        </w:tc>
      </w:tr>
      <w:tr>
        <w:trPr>
          <w:trHeight w:val="210"/>
        </w:trPr>
        <w:tc>
          <w:tcPr>
            <w:tcW w:w="8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Supplemental cash flow information — Interest paid</w:t>
            </w:r>
          </w:p>
        </w:tc>
        <w:tc>
          <w:tcPr>
            <w:tcW w:w="960" w:type="dxa"/>
            <w:vAlign w:val="bottom"/>
            <w:tcBorders>
              <w:bottom w:val="single" w:sz="8" w:color="auto"/>
            </w:tcBorders>
            <w:shd w:val="clear" w:color="auto" w:fill="CFF0FC"/>
          </w:tcPr>
          <w:p>
            <w:pPr>
              <w:jc w:val="right"/>
              <w:ind w:right="800"/>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835"/>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80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17"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CERULEAN PHARMA INC.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52" w:lineRule="exact"/>
        <w:rPr>
          <w:sz w:val="20"/>
          <w:szCs w:val="20"/>
          <w:color w:val="auto"/>
        </w:rPr>
      </w:pPr>
    </w:p>
    <w:p>
      <w:pPr>
        <w:ind w:left="540" w:hanging="532"/>
        <w:spacing w:after="0"/>
        <w:tabs>
          <w:tab w:leader="none" w:pos="5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 AND OPERATIONS</w:t>
      </w:r>
    </w:p>
    <w:p>
      <w:pPr>
        <w:spacing w:after="0" w:line="121" w:lineRule="exact"/>
        <w:rPr>
          <w:sz w:val="20"/>
          <w:szCs w:val="20"/>
          <w:color w:val="auto"/>
        </w:rPr>
      </w:pPr>
    </w:p>
    <w:p>
      <w:pPr>
        <w:ind w:right="260" w:firstLine="518"/>
        <w:spacing w:after="0" w:line="282" w:lineRule="auto"/>
        <w:rPr>
          <w:sz w:val="20"/>
          <w:szCs w:val="20"/>
          <w:color w:val="auto"/>
        </w:rPr>
      </w:pPr>
      <w:r>
        <w:rPr>
          <w:rFonts w:ascii="Times New Roman" w:cs="Times New Roman" w:eastAsia="Times New Roman" w:hAnsi="Times New Roman"/>
          <w:sz w:val="18"/>
          <w:szCs w:val="18"/>
          <w:color w:val="auto"/>
        </w:rPr>
        <w:t>Nature of Business — Cerulean Pharma Inc. (the “Company”) was incorporated on November 28, 2005 as a Delaware corporation and is located in Cambridge, Massachusetts. The Company was formed to develop novel, nanotechnology-based therapeutics in the areas of oncology and other diseases.</w:t>
      </w:r>
    </w:p>
    <w:p>
      <w:pPr>
        <w:spacing w:after="0" w:line="162"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Basis of Presentation — The consolidated financial statements include the accounts of the Company and its subsidiary, Cerulean Pharma Australia Pty Ltd, a wholly owned Australian-based proprietary limited company. All intercompany accounts and transactions have been eliminated. The consolidated interim financial statements of the Company included herein have been prepared, without audit, pursuant to the rules and regulations of the Securities and Exchange Commission (the “SEC”). Certain information and footnote disclosures normally included in financial statements prepared in accordance with accounting principles generally accepted in the United States of America have been condensed or omitted from this report, as is permitted by such rules and regulations. Accordingly, these condensed consolidated financial statements should be read in conjunction with the Company’s audited financial statements as of and for the year ended December 31, 2014 and notes thereto, included in the Company’s annual report on Form 10-K.</w:t>
      </w:r>
    </w:p>
    <w:p>
      <w:pPr>
        <w:spacing w:after="0" w:line="189" w:lineRule="exact"/>
        <w:rPr>
          <w:sz w:val="20"/>
          <w:szCs w:val="20"/>
          <w:color w:val="auto"/>
        </w:rPr>
      </w:pPr>
    </w:p>
    <w:p>
      <w:pPr>
        <w:jc w:val="both"/>
        <w:ind w:right="20" w:firstLine="518"/>
        <w:spacing w:after="0" w:line="258" w:lineRule="auto"/>
        <w:rPr>
          <w:sz w:val="20"/>
          <w:szCs w:val="20"/>
          <w:color w:val="auto"/>
        </w:rPr>
      </w:pPr>
      <w:r>
        <w:rPr>
          <w:rFonts w:ascii="Times New Roman" w:cs="Times New Roman" w:eastAsia="Times New Roman" w:hAnsi="Times New Roman"/>
          <w:sz w:val="18"/>
          <w:szCs w:val="18"/>
          <w:color w:val="auto"/>
        </w:rPr>
        <w:t>The unaudited condensed consolidated financial statements have been prepared on the same basis as the audited consolidated financial statements. In the opinion of the Company’s management, the accompanying unaudited interim consolidated financial statements contain all adjustments that are necessary to present fairly the Company’s financial position as of March 31, 2015 and the results of its operations and cash flows for the three months ended March 31, 2015 and 2014. Such adjustments are of a normal and recurring nature. The results for the three months ended March 31, 2015 are not indicative of the results for the year ending December 31, 2015, or for any future period.</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April 15, 2014, the Company completed the sale of 8,500,000 shares of its common stock in its initial public offering (the “IPO”), at a price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of $7.00 per share. On May 7, 2014, the Company completed the sale of an additional 1,069,715 shares of common stock at a price to the public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$7.00 per share under a partial exercise by the underwriters of their option to purchase additional shares of common stock. The sale of the shares to the public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resulted in net proceeds to the Company of $59.9 million after deducting underwriting discounts and commissions and offering expenses payable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p>
      <w:pPr>
        <w:ind w:right="340" w:firstLine="518"/>
        <w:spacing w:after="0" w:line="261" w:lineRule="auto"/>
        <w:rPr>
          <w:sz w:val="20"/>
          <w:szCs w:val="20"/>
          <w:color w:val="auto"/>
        </w:rPr>
      </w:pPr>
      <w:r>
        <w:rPr>
          <w:rFonts w:ascii="Times New Roman" w:cs="Times New Roman" w:eastAsia="Times New Roman" w:hAnsi="Times New Roman"/>
          <w:sz w:val="18"/>
          <w:szCs w:val="18"/>
          <w:color w:val="auto"/>
        </w:rPr>
        <w:t>In connection with the closing of the IPO, all of the Company’s outstanding redeemable convertible preferred stock and convertible notes automatically converted into shares of common stock as of April 15, 2014, resulting in the issuance by the Company of an additional 9,728,237 shares of common stock. The significant increase in shares outstanding in April 2014 impacts the year-over-year comparability of the Company’s net loss per share calculations.</w:t>
      </w:r>
    </w:p>
    <w:p>
      <w:pPr>
        <w:spacing w:after="0" w:line="180" w:lineRule="exact"/>
        <w:rPr>
          <w:sz w:val="20"/>
          <w:szCs w:val="20"/>
          <w:color w:val="auto"/>
        </w:rPr>
      </w:pPr>
    </w:p>
    <w:p>
      <w:pPr>
        <w:ind w:right="120" w:firstLine="518"/>
        <w:spacing w:after="0" w:line="266" w:lineRule="auto"/>
        <w:rPr>
          <w:sz w:val="20"/>
          <w:szCs w:val="20"/>
          <w:color w:val="auto"/>
        </w:rPr>
      </w:pPr>
      <w:r>
        <w:rPr>
          <w:rFonts w:ascii="Times New Roman" w:cs="Times New Roman" w:eastAsia="Times New Roman" w:hAnsi="Times New Roman"/>
          <w:sz w:val="18"/>
          <w:szCs w:val="18"/>
          <w:color w:val="auto"/>
        </w:rPr>
        <w:t>In connection with the completion of the IPO on April 15, 2014, the Company’s outstanding warrants to purchase 1,857,226 shares of the Company’s preferred stock automatically converted into warrants to purchase an aggregate of 128,663 shares of the Company’s common stock and, as a result, the Company reclassified the warrant liability to additional paid-in capital.</w:t>
      </w:r>
    </w:p>
    <w:p>
      <w:pPr>
        <w:spacing w:after="0" w:line="172" w:lineRule="exact"/>
        <w:rPr>
          <w:sz w:val="20"/>
          <w:szCs w:val="20"/>
          <w:color w:val="auto"/>
        </w:rPr>
      </w:pPr>
    </w:p>
    <w:p>
      <w:pPr>
        <w:ind w:left="540" w:hanging="532"/>
        <w:spacing w:after="0"/>
        <w:tabs>
          <w:tab w:leader="none" w:pos="5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have been no material changes to the significant accounting policies previously disclosed in the Company’s Annual Report on Form 10-K.</w:t>
      </w:r>
    </w:p>
    <w:p>
      <w:pPr>
        <w:spacing w:after="0" w:line="221" w:lineRule="exact"/>
        <w:rPr>
          <w:sz w:val="20"/>
          <w:szCs w:val="20"/>
          <w:color w:val="auto"/>
        </w:rPr>
      </w:pPr>
    </w:p>
    <w:p>
      <w:pPr>
        <w:ind w:right="280" w:firstLine="51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Recent Accounting Pronouncements </w:t>
      </w:r>
      <w:r>
        <w:rPr>
          <w:rFonts w:ascii="Times New Roman" w:cs="Times New Roman" w:eastAsia="Times New Roman" w:hAnsi="Times New Roman"/>
          <w:sz w:val="18"/>
          <w:szCs w:val="18"/>
          <w:color w:val="auto"/>
        </w:rPr>
        <w:t>– In April 2015 Financial Accounting Standards Board (the “FASB”) issued Accounting Standards Update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(“ASU”) 2015-03, “Interest – Imputation of Interest” (“ASU 2015-03”). To simplify presentation of debt issuance costs, ASU 2015-03 requires that debt issuance costs related to a recognized debt liability be presented in the balance sheet as a direct deduction from the carrying amount of that debt liability, consistent with debt discounts. ASU 2015-03 is effective for annual and interim reporting periods beginning January 1, 2016 and is not expected to have a material impact on the Company’s consolidated financial statements.</w:t>
      </w:r>
    </w:p>
    <w:p>
      <w:pPr>
        <w:spacing w:after="0" w:line="180" w:lineRule="exact"/>
        <w:rPr>
          <w:sz w:val="20"/>
          <w:szCs w:val="20"/>
          <w:color w:val="auto"/>
        </w:rPr>
      </w:pPr>
    </w:p>
    <w:p>
      <w:pPr>
        <w:ind w:left="540" w:hanging="532"/>
        <w:spacing w:after="0"/>
        <w:tabs>
          <w:tab w:leader="none" w:pos="5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 ATTRIBUTABLE TO COMMON STOCKHOLDERS</w:t>
      </w:r>
    </w:p>
    <w:p>
      <w:pPr>
        <w:spacing w:after="0" w:line="121"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computed by dividing the net loss attributable to common stockholders by the weighted-average number of common shares outstanding for the period. During periods in which the Company earns net income, the Company would allocate participating securities a proportional share of net income determined by dividing total weighted average participating securities by the sum of the total weighted average common shares and participating securities (the “two-class method”). In 2014, the Company’s preferred stock participated in dividends declared by the Company and were therefore considered to be participating securities. Participating securities have the effect of diluting both basic and diluted earnings per share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17" w:right="239" w:bottom="1440" w:gutter="0" w:footer="0" w:header="0"/>
        </w:sectPr>
      </w:pPr>
    </w:p>
    <w:bookmarkStart w:id="6" w:name="page7"/>
    <w:bookmarkEnd w:id="6"/>
    <w:p>
      <w:pPr>
        <w:ind w:right="60"/>
        <w:spacing w:after="0" w:line="261" w:lineRule="auto"/>
        <w:rPr>
          <w:sz w:val="20"/>
          <w:szCs w:val="20"/>
          <w:color w:val="auto"/>
        </w:rPr>
      </w:pPr>
      <w:r>
        <w:rPr>
          <w:rFonts w:ascii="Times New Roman" w:cs="Times New Roman" w:eastAsia="Times New Roman" w:hAnsi="Times New Roman"/>
          <w:sz w:val="18"/>
          <w:szCs w:val="18"/>
          <w:color w:val="auto"/>
        </w:rPr>
        <w:t>during periods in which the Company earns net income. During periods in which the Company incurs a net loss, the Company allocates no portion of the loss to participating securities because they had no contractual obligation to share in the losses of the Company. The Company computes diluted loss per common share after giving consideration to the dilutive effect of stock options, warrants and shares of unvested restricted stock that are outstanding to the period, except where the inclusion of such nonparticipating securities would be antidilutive.</w:t>
      </w:r>
    </w:p>
    <w:p>
      <w:pPr>
        <w:spacing w:after="0" w:line="180" w:lineRule="exact"/>
        <w:rPr>
          <w:sz w:val="20"/>
          <w:szCs w:val="20"/>
          <w:color w:val="auto"/>
        </w:rPr>
      </w:pPr>
    </w:p>
    <w:p>
      <w:pPr>
        <w:ind w:right="520" w:firstLine="518"/>
        <w:spacing w:after="0" w:line="282" w:lineRule="auto"/>
        <w:rPr>
          <w:sz w:val="20"/>
          <w:szCs w:val="20"/>
          <w:color w:val="auto"/>
        </w:rPr>
      </w:pPr>
      <w:r>
        <w:rPr>
          <w:rFonts w:ascii="Times New Roman" w:cs="Times New Roman" w:eastAsia="Times New Roman" w:hAnsi="Times New Roman"/>
          <w:sz w:val="18"/>
          <w:szCs w:val="18"/>
          <w:color w:val="auto"/>
        </w:rPr>
        <w:t>The Company has reported a net loss for all periods presented and, therefore, diluted net loss per common share is the same as basic net loss per common share.</w:t>
      </w:r>
    </w:p>
    <w:p>
      <w:pPr>
        <w:spacing w:after="0" w:line="162" w:lineRule="exact"/>
        <w:rPr>
          <w:sz w:val="20"/>
          <w:szCs w:val="20"/>
          <w:color w:val="auto"/>
        </w:rPr>
      </w:pPr>
    </w:p>
    <w:p>
      <w:pPr>
        <w:ind w:right="180" w:firstLine="518"/>
        <w:spacing w:after="0" w:line="266" w:lineRule="auto"/>
        <w:rPr>
          <w:sz w:val="20"/>
          <w:szCs w:val="20"/>
          <w:color w:val="auto"/>
        </w:rPr>
      </w:pPr>
      <w:r>
        <w:rPr>
          <w:rFonts w:ascii="Times New Roman" w:cs="Times New Roman" w:eastAsia="Times New Roman" w:hAnsi="Times New Roman"/>
          <w:sz w:val="18"/>
          <w:szCs w:val="18"/>
          <w:color w:val="auto"/>
        </w:rPr>
        <w:t>The following potentially dilutive securities that were outstanding prior to the use of the two-class method have been excluded from the computation of diluted weighted-average shares outstanding, because the inclusion of such securities would have an antidilutive impact due to the losses reported (in common stock equivalent shares):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0" w:type="dxa"/>
            <w:vAlign w:val="bottom"/>
          </w:tcPr>
          <w:p>
            <w:pPr>
              <w:spacing w:after="0"/>
              <w:rPr>
                <w:sz w:val="15"/>
                <w:szCs w:val="15"/>
                <w:color w:val="auto"/>
              </w:rPr>
            </w:pPr>
          </w:p>
        </w:tc>
        <w:tc>
          <w:tcPr>
            <w:tcW w:w="7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20" w:type="dxa"/>
            <w:vAlign w:val="bottom"/>
            <w:gridSpan w:val="7"/>
          </w:tcPr>
          <w:p>
            <w:pPr>
              <w:ind w:left="940"/>
              <w:spacing w:after="0"/>
              <w:rPr>
                <w:sz w:val="20"/>
                <w:szCs w:val="20"/>
                <w:color w:val="auto"/>
              </w:rPr>
            </w:pPr>
            <w:r>
              <w:rPr>
                <w:rFonts w:ascii="Times New Roman" w:cs="Times New Roman" w:eastAsia="Times New Roman" w:hAnsi="Times New Roman"/>
                <w:sz w:val="14"/>
                <w:szCs w:val="14"/>
                <w:b w:val="1"/>
                <w:bCs w:val="1"/>
                <w:color w:val="auto"/>
              </w:rPr>
              <w:t>As of March 31,</w:t>
            </w:r>
          </w:p>
        </w:tc>
      </w:tr>
      <w:tr>
        <w:trPr>
          <w:trHeight w:val="156"/>
        </w:trPr>
        <w:tc>
          <w:tcPr>
            <w:tcW w:w="340" w:type="dxa"/>
            <w:vAlign w:val="bottom"/>
            <w:tcBorders>
              <w:bottom w:val="single" w:sz="8" w:color="CFF0FC"/>
            </w:tcBorders>
          </w:tcPr>
          <w:p>
            <w:pPr>
              <w:spacing w:after="0"/>
              <w:rPr>
                <w:sz w:val="13"/>
                <w:szCs w:val="13"/>
                <w:color w:val="auto"/>
              </w:rPr>
            </w:pPr>
          </w:p>
        </w:tc>
        <w:tc>
          <w:tcPr>
            <w:tcW w:w="7640" w:type="dxa"/>
            <w:vAlign w:val="bottom"/>
            <w:tcBorders>
              <w:bottom w:val="single" w:sz="8" w:color="CFF0FC"/>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535"/>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420" w:type="dxa"/>
            <w:vAlign w:val="bottom"/>
            <w:tcBorders>
              <w:top w:val="single" w:sz="8" w:color="auto"/>
              <w:bottom w:val="single" w:sz="8" w:color="auto"/>
            </w:tcBorders>
          </w:tcPr>
          <w:p>
            <w:pPr>
              <w:jc w:val="right"/>
              <w:ind w:right="554"/>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FF0FC"/>
            </w:tcBorders>
          </w:tcPr>
          <w:p>
            <w:pPr>
              <w:spacing w:after="0"/>
              <w:rPr>
                <w:sz w:val="13"/>
                <w:szCs w:val="13"/>
                <w:color w:val="auto"/>
              </w:rPr>
            </w:pPr>
          </w:p>
        </w:tc>
      </w:tr>
      <w:tr>
        <w:trPr>
          <w:trHeight w:val="223"/>
        </w:trPr>
        <w:tc>
          <w:tcPr>
            <w:tcW w:w="7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2,660,498</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1,208,077</w:t>
            </w:r>
          </w:p>
        </w:tc>
        <w:tc>
          <w:tcPr>
            <w:tcW w:w="120" w:type="dxa"/>
            <w:vAlign w:val="bottom"/>
            <w:shd w:val="clear" w:color="auto" w:fill="CFF0FC"/>
          </w:tcPr>
          <w:p>
            <w:pPr>
              <w:spacing w:after="0"/>
              <w:rPr>
                <w:sz w:val="19"/>
                <w:szCs w:val="19"/>
                <w:color w:val="auto"/>
              </w:rPr>
            </w:pPr>
          </w:p>
        </w:tc>
      </w:tr>
      <w:tr>
        <w:trPr>
          <w:trHeight w:val="230"/>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Warrants to purchase redeemable convertible preferred stock</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128,663</w:t>
            </w:r>
          </w:p>
        </w:tc>
        <w:tc>
          <w:tcPr>
            <w:tcW w:w="120" w:type="dxa"/>
            <w:vAlign w:val="bottom"/>
          </w:tcPr>
          <w:p>
            <w:pPr>
              <w:spacing w:after="0"/>
              <w:rPr>
                <w:sz w:val="19"/>
                <w:szCs w:val="19"/>
                <w:color w:val="auto"/>
              </w:rPr>
            </w:pPr>
          </w:p>
        </w:tc>
      </w:tr>
      <w:tr>
        <w:trPr>
          <w:trHeight w:val="230"/>
        </w:trPr>
        <w:tc>
          <w:tcPr>
            <w:tcW w:w="7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300,564</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6,826,004</w:t>
            </w:r>
          </w:p>
        </w:tc>
        <w:tc>
          <w:tcPr>
            <w:tcW w:w="120" w:type="dxa"/>
            <w:vAlign w:val="bottom"/>
          </w:tcPr>
          <w:p>
            <w:pPr>
              <w:spacing w:after="0"/>
              <w:rPr>
                <w:sz w:val="19"/>
                <w:szCs w:val="19"/>
                <w:color w:val="auto"/>
              </w:rPr>
            </w:pPr>
          </w:p>
        </w:tc>
      </w:tr>
      <w:tr>
        <w:trPr>
          <w:trHeight w:val="230"/>
        </w:trPr>
        <w:tc>
          <w:tcPr>
            <w:tcW w:w="7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notes payable</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2,894,099</w:t>
            </w:r>
          </w:p>
        </w:tc>
        <w:tc>
          <w:tcPr>
            <w:tcW w:w="120" w:type="dxa"/>
            <w:vAlign w:val="bottom"/>
            <w:shd w:val="clear" w:color="auto" w:fill="CFF0FC"/>
          </w:tcPr>
          <w:p>
            <w:pPr>
              <w:spacing w:after="0"/>
              <w:rPr>
                <w:sz w:val="19"/>
                <w:szCs w:val="19"/>
                <w:color w:val="auto"/>
              </w:rPr>
            </w:pPr>
          </w:p>
        </w:tc>
      </w:tr>
      <w:tr>
        <w:trPr>
          <w:trHeight w:val="432"/>
        </w:trPr>
        <w:tc>
          <w:tcPr>
            <w:tcW w:w="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76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ACCRUED EXPENSES</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24"/>
        </w:trPr>
        <w:tc>
          <w:tcPr>
            <w:tcW w:w="340" w:type="dxa"/>
            <w:vAlign w:val="bottom"/>
          </w:tcPr>
          <w:p>
            <w:pPr>
              <w:spacing w:after="0"/>
              <w:rPr>
                <w:sz w:val="24"/>
                <w:szCs w:val="24"/>
                <w:color w:val="auto"/>
              </w:rPr>
            </w:pPr>
          </w:p>
        </w:tc>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consist of the following:</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53"/>
        </w:trPr>
        <w:tc>
          <w:tcPr>
            <w:tcW w:w="34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73"/>
        </w:trPr>
        <w:tc>
          <w:tcPr>
            <w:tcW w:w="340" w:type="dxa"/>
            <w:vAlign w:val="bottom"/>
            <w:tcBorders>
              <w:bottom w:val="single" w:sz="8" w:color="CFF0FC"/>
            </w:tcBorders>
          </w:tcPr>
          <w:p>
            <w:pPr>
              <w:spacing w:after="0"/>
              <w:rPr>
                <w:sz w:val="15"/>
                <w:szCs w:val="15"/>
                <w:color w:val="auto"/>
              </w:rPr>
            </w:pPr>
          </w:p>
        </w:tc>
        <w:tc>
          <w:tcPr>
            <w:tcW w:w="764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FF0FC"/>
            </w:tcBorders>
          </w:tcPr>
          <w:p>
            <w:pPr>
              <w:spacing w:after="0"/>
              <w:rPr>
                <w:sz w:val="15"/>
                <w:szCs w:val="15"/>
                <w:color w:val="auto"/>
              </w:rPr>
            </w:pPr>
          </w:p>
        </w:tc>
      </w:tr>
      <w:tr>
        <w:trPr>
          <w:trHeight w:val="223"/>
        </w:trPr>
        <w:tc>
          <w:tcPr>
            <w:tcW w:w="7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974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20" w:type="dxa"/>
            <w:vAlign w:val="bottom"/>
            <w:shd w:val="clear" w:color="auto" w:fill="CFF0FC"/>
          </w:tcPr>
          <w:p>
            <w:pPr>
              <w:spacing w:after="0"/>
              <w:rPr>
                <w:sz w:val="19"/>
                <w:szCs w:val="19"/>
                <w:color w:val="auto"/>
              </w:rPr>
            </w:pPr>
          </w:p>
        </w:tc>
      </w:tr>
      <w:tr>
        <w:trPr>
          <w:trHeight w:val="230"/>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clinical trial costs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20" w:type="dxa"/>
            <w:vAlign w:val="bottom"/>
          </w:tcPr>
          <w:p>
            <w:pPr>
              <w:spacing w:after="0"/>
              <w:rPr>
                <w:sz w:val="19"/>
                <w:szCs w:val="19"/>
                <w:color w:val="auto"/>
              </w:rPr>
            </w:pPr>
          </w:p>
        </w:tc>
      </w:tr>
      <w:tr>
        <w:trPr>
          <w:trHeight w:val="230"/>
        </w:trPr>
        <w:tc>
          <w:tcPr>
            <w:tcW w:w="7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contract manufacturing expenses</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20" w:type="dxa"/>
            <w:vAlign w:val="bottom"/>
            <w:shd w:val="clear" w:color="auto" w:fill="CFF0FC"/>
          </w:tcPr>
          <w:p>
            <w:pPr>
              <w:spacing w:after="0"/>
              <w:rPr>
                <w:sz w:val="19"/>
                <w:szCs w:val="19"/>
                <w:color w:val="auto"/>
              </w:rPr>
            </w:pPr>
          </w:p>
        </w:tc>
      </w:tr>
      <w:tr>
        <w:trPr>
          <w:trHeight w:val="230"/>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20" w:type="dxa"/>
            <w:vAlign w:val="bottom"/>
          </w:tcPr>
          <w:p>
            <w:pPr>
              <w:spacing w:after="0"/>
              <w:rPr>
                <w:sz w:val="19"/>
                <w:szCs w:val="19"/>
                <w:color w:val="auto"/>
              </w:rPr>
            </w:pPr>
          </w:p>
        </w:tc>
      </w:tr>
      <w:tr>
        <w:trPr>
          <w:trHeight w:val="230"/>
        </w:trPr>
        <w:tc>
          <w:tcPr>
            <w:tcW w:w="7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20" w:type="dxa"/>
            <w:vAlign w:val="bottom"/>
            <w:shd w:val="clear" w:color="auto" w:fill="CFF0FC"/>
          </w:tcPr>
          <w:p>
            <w:pPr>
              <w:spacing w:after="0"/>
              <w:rPr>
                <w:sz w:val="19"/>
                <w:szCs w:val="19"/>
                <w:color w:val="auto"/>
              </w:rPr>
            </w:pPr>
          </w:p>
        </w:tc>
      </w:tr>
      <w:tr>
        <w:trPr>
          <w:trHeight w:val="223"/>
        </w:trPr>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accrued expenses</w:t>
            </w:r>
          </w:p>
        </w:tc>
        <w:tc>
          <w:tcPr>
            <w:tcW w:w="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3,648</w:t>
            </w:r>
          </w:p>
        </w:tc>
        <w:tc>
          <w:tcPr>
            <w:tcW w:w="12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ind w:left="540" w:hanging="532"/>
        <w:spacing w:after="0"/>
        <w:tabs>
          <w:tab w:leader="none" w:pos="5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NOTES PAYABLE TO SHAREHOLDERS</w:t>
      </w:r>
    </w:p>
    <w:p>
      <w:pPr>
        <w:spacing w:after="0" w:line="229" w:lineRule="exact"/>
        <w:rPr>
          <w:sz w:val="20"/>
          <w:szCs w:val="20"/>
          <w:color w:val="auto"/>
        </w:rPr>
      </w:pPr>
    </w:p>
    <w:p>
      <w:pPr>
        <w:jc w:val="both"/>
        <w:ind w:right="220" w:firstLine="518"/>
        <w:spacing w:after="0" w:line="266" w:lineRule="auto"/>
        <w:rPr>
          <w:sz w:val="20"/>
          <w:szCs w:val="20"/>
          <w:color w:val="auto"/>
        </w:rPr>
      </w:pPr>
      <w:r>
        <w:rPr>
          <w:rFonts w:ascii="Times New Roman" w:cs="Times New Roman" w:eastAsia="Times New Roman" w:hAnsi="Times New Roman"/>
          <w:sz w:val="18"/>
          <w:szCs w:val="18"/>
          <w:color w:val="auto"/>
        </w:rPr>
        <w:t>In August of 2013, the Company issued convertible promissory notes in the amount of $8,824,000 to existing investors with a stated interest rate of 7%. Outstanding principal and unpaid accrued interest due under the notes were automatically converted into shares of the Company’s common stock upon the closing of the IPO in April 2014.</w:t>
      </w:r>
    </w:p>
    <w:p>
      <w:pPr>
        <w:spacing w:after="0" w:line="176" w:lineRule="exact"/>
        <w:rPr>
          <w:sz w:val="20"/>
          <w:szCs w:val="20"/>
          <w:color w:val="auto"/>
        </w:rPr>
      </w:pPr>
    </w:p>
    <w:p>
      <w:pPr>
        <w:ind w:right="160" w:firstLine="518"/>
        <w:spacing w:after="0" w:line="256" w:lineRule="auto"/>
        <w:rPr>
          <w:sz w:val="20"/>
          <w:szCs w:val="20"/>
          <w:color w:val="auto"/>
        </w:rPr>
      </w:pPr>
      <w:r>
        <w:rPr>
          <w:rFonts w:ascii="Times New Roman" w:cs="Times New Roman" w:eastAsia="Times New Roman" w:hAnsi="Times New Roman"/>
          <w:sz w:val="18"/>
          <w:szCs w:val="18"/>
          <w:color w:val="auto"/>
        </w:rPr>
        <w:t>In February and March 2014, the Company issued convertible promissory notes in the original principal amount of $6,000,000 to existing investors and a convertible promissory note in the original principal amount of $2,500,000 to a new investor. All of the notes had a stated interest rate of 7%. Outstanding principal and unpaid accrued interest due under the notes were automatically converted into shares of the Company’s common stock upon the closing of the IPO at a conversion price equal to 77.5% of the IPO price. The Company recorded a loss on the extinguishment of the notes of $2,493,000 in April 2014, equal to the difference between the fair value of the shares into which the notes converted and the carrying amount of the notes upon the closing of the IPO.</w:t>
      </w:r>
    </w:p>
    <w:p>
      <w:pPr>
        <w:spacing w:after="0" w:line="184" w:lineRule="exact"/>
        <w:rPr>
          <w:sz w:val="20"/>
          <w:szCs w:val="20"/>
          <w:color w:val="auto"/>
        </w:rPr>
      </w:pPr>
    </w:p>
    <w:p>
      <w:pPr>
        <w:ind w:left="540" w:hanging="532"/>
        <w:spacing w:after="0"/>
        <w:tabs>
          <w:tab w:leader="none" w:pos="5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LOAN AGREEMENTS</w:t>
      </w:r>
    </w:p>
    <w:p>
      <w:pPr>
        <w:spacing w:after="0" w:line="229" w:lineRule="exact"/>
        <w:rPr>
          <w:sz w:val="20"/>
          <w:szCs w:val="20"/>
          <w:color w:val="auto"/>
        </w:rPr>
      </w:pPr>
    </w:p>
    <w:p>
      <w:pPr>
        <w:ind w:right="220" w:firstLine="518"/>
        <w:spacing w:after="0" w:line="266" w:lineRule="auto"/>
        <w:rPr>
          <w:sz w:val="20"/>
          <w:szCs w:val="20"/>
          <w:color w:val="auto"/>
        </w:rPr>
      </w:pPr>
      <w:r>
        <w:rPr>
          <w:rFonts w:ascii="Times New Roman" w:cs="Times New Roman" w:eastAsia="Times New Roman" w:hAnsi="Times New Roman"/>
          <w:sz w:val="18"/>
          <w:szCs w:val="18"/>
          <w:color w:val="auto"/>
        </w:rPr>
        <w:t>On January 8, 2015 (the “Closing Date”), the Company entered into a term loan facility of up to $26.0 million (the “Term Loan”) with Hercules Technology Growth Capital, Inc., or Hercules, the proceeds of which were used to repay the Company’s existing term loan facility with Lighthouse Capital Partners VI, L.P. (“Lighthouse Capital”) and for general corporate and working capital purposes.</w:t>
      </w:r>
    </w:p>
    <w:p>
      <w:pPr>
        <w:spacing w:after="0" w:line="176" w:lineRule="exact"/>
        <w:rPr>
          <w:sz w:val="20"/>
          <w:szCs w:val="20"/>
          <w:color w:val="auto"/>
        </w:rPr>
      </w:pPr>
    </w:p>
    <w:p>
      <w:pPr>
        <w:ind w:right="100" w:firstLine="518"/>
        <w:spacing w:after="0" w:line="256" w:lineRule="auto"/>
        <w:rPr>
          <w:sz w:val="20"/>
          <w:szCs w:val="20"/>
          <w:color w:val="auto"/>
        </w:rPr>
      </w:pPr>
      <w:r>
        <w:rPr>
          <w:rFonts w:ascii="Times New Roman" w:cs="Times New Roman" w:eastAsia="Times New Roman" w:hAnsi="Times New Roman"/>
          <w:sz w:val="18"/>
          <w:szCs w:val="18"/>
          <w:color w:val="auto"/>
        </w:rPr>
        <w:t>The Term Loan is governed by a loan and security agreement, dated January 8, 2015, between the Company and Hercules (the “Hercules Loan Agreement”). The Hercules Loan Agreement provides for up to three separate borrowings, the first of which was funded in the amount of $15.0 million on the Closing Date. The second borrowing of up to $5.0 million may be drawn by the Company, subject to the satisfaction of customary funding conditions, on or prior to December 15, 2015, provided that the Company meets certain clinical milestones. The third borrowing of up to $6.0 million (the “Term C Loan Advance”) may be drawn, at no less than $3.0 million per draw and subject to the satisfaction of customary funding conditions, on or after September 30, 2015 but before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229" w:right="239" w:bottom="1440" w:gutter="0" w:footer="0" w:header="0"/>
        </w:sectPr>
      </w:pPr>
    </w:p>
    <w:bookmarkStart w:id="7" w:name="page8"/>
    <w:bookmarkEnd w:id="7"/>
    <w:p>
      <w:pPr>
        <w:ind w:right="220"/>
        <w:spacing w:after="0" w:line="282" w:lineRule="auto"/>
        <w:rPr>
          <w:sz w:val="20"/>
          <w:szCs w:val="20"/>
          <w:color w:val="auto"/>
        </w:rPr>
      </w:pPr>
      <w:r>
        <w:rPr>
          <w:rFonts w:ascii="Times New Roman" w:cs="Times New Roman" w:eastAsia="Times New Roman" w:hAnsi="Times New Roman"/>
          <w:sz w:val="18"/>
          <w:szCs w:val="18"/>
          <w:color w:val="auto"/>
        </w:rPr>
        <w:t>December 15, 2015, provided that between the Closing Date and December 15, 2015, the Company has received net cash proceeds of at least $40.0 million from the issuance and sale by the Company of its equity securities and/or upfront cash payments from one or more strategic corporate partnerships.</w:t>
      </w:r>
    </w:p>
    <w:p>
      <w:pPr>
        <w:spacing w:after="0" w:line="162" w:lineRule="exact"/>
        <w:rPr>
          <w:sz w:val="20"/>
          <w:szCs w:val="20"/>
          <w:color w:val="auto"/>
        </w:rPr>
      </w:pPr>
    </w:p>
    <w:p>
      <w:pPr>
        <w:ind w:right="20" w:firstLine="518"/>
        <w:spacing w:after="0" w:line="253" w:lineRule="auto"/>
        <w:rPr>
          <w:sz w:val="20"/>
          <w:szCs w:val="20"/>
          <w:color w:val="auto"/>
        </w:rPr>
      </w:pPr>
      <w:r>
        <w:rPr>
          <w:rFonts w:ascii="Times New Roman" w:cs="Times New Roman" w:eastAsia="Times New Roman" w:hAnsi="Times New Roman"/>
          <w:sz w:val="18"/>
          <w:szCs w:val="18"/>
          <w:color w:val="auto"/>
        </w:rPr>
        <w:t>The Term Loan will mature on July 1, 2018. Each advance under the Term Loan accrues interest at a floating per annum rate equal to the greater of (i) 7.30% or (ii) the sum of 7.30% plus the prime rate minus 5.75%. The Term Loan provides for interest-only payments on a monthly basis until December 31, 2015. The interest only period may be extended at the Company’s option for a three month period if the Company attains certain clinical milestones, and for an additional three month period if the Company attains certain clinical milestones and receives net cash proceeds of at least $30.0 million from the issuance and sale by the Company of its equity securities and/or upfront cash payments from one or more strategic corporate partnerships. Thereafter, payments will be payable monthly in equal installments of principal and interest to fully amortize the outstanding principal over the remaining term of the loan, subject to recalculation upon a change in the prime rate. The Company may prepay the Term Loan in whole or in part upon seven business days’ prior written notice to Hercules. Any such prepayment of the Term Loan is subject to a prepayment charge of (i) 3.0% if such prepayment occurs within twelve months of the Closing Date, (ii) 2.0% if such prepayment occurs after twelve months following the Closing Date but on or prior to twenty-four months following the Closing Date, and (iii) 1.0% thereafter. Amounts outstanding during an event of default are payable upon Hercules’ demand and shall accrue interest at an additional rate of 5.0% per annum of the past due amount outstanding. At the end of the loan term (whether at maturity, by prepayment in full or otherwise), the Company shall make a final payment to the lender in the amount of 6.70% of the aggregate original principal amount advanced by the lender. The amount is being accrued over the loan term as interest expense.</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connection with the Hercules Loan Agreement, the Company issued to Hercules a warrant to purchase shares of the common stock of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an exercise price of $6.05 per share. The warrant is initially exercisable for 137,521 shares of common stock. On such date (if any) as a Term C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Advance is made to the Company, the warrant shall automatically become exercisable for an additional 34,380 shares of common stock. The warrant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exercisable until January 8, 2020. The Company estimated the fair value of the warrant for shares exercisable on the issue date in January 2015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$659,000. The value of the warrant was recorded as a discount to the loan and will be amortized to interest expense using the effective interest method over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of the loan. The fair value of the warrant was estimated on the date of issue for the exercisable shares at that date using the Black-Scholes option-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pricing model. The following table shows the Black-Scholes assumptions used to value the warrant in connection with the Hercules Loan Agreement: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580" w:type="dxa"/>
            <w:vAlign w:val="bottom"/>
            <w:tcBorders>
              <w:bottom w:val="single" w:sz="8" w:color="CFF0FC"/>
            </w:tcBorders>
          </w:tcPr>
          <w:p>
            <w:pPr>
              <w:spacing w:after="0"/>
              <w:rPr>
                <w:sz w:val="15"/>
                <w:szCs w:val="15"/>
                <w:color w:val="auto"/>
              </w:rPr>
            </w:pPr>
          </w:p>
        </w:tc>
        <w:tc>
          <w:tcPr>
            <w:tcW w:w="2660" w:type="dxa"/>
            <w:vAlign w:val="bottom"/>
            <w:tcBorders>
              <w:top w:val="single" w:sz="8" w:color="auto"/>
              <w:bottom w:val="single" w:sz="8" w:color="auto"/>
            </w:tcBorders>
          </w:tcPr>
          <w:p>
            <w:pPr>
              <w:jc w:val="right"/>
              <w:ind w:right="774"/>
              <w:spacing w:after="0"/>
              <w:rPr>
                <w:sz w:val="20"/>
                <w:szCs w:val="20"/>
                <w:color w:val="auto"/>
              </w:rPr>
            </w:pPr>
            <w:r>
              <w:rPr>
                <w:rFonts w:ascii="Times New Roman" w:cs="Times New Roman" w:eastAsia="Times New Roman" w:hAnsi="Times New Roman"/>
                <w:sz w:val="14"/>
                <w:szCs w:val="14"/>
                <w:b w:val="1"/>
                <w:bCs w:val="1"/>
                <w:color w:val="auto"/>
              </w:rPr>
              <w:t>January 8, 2015</w:t>
            </w:r>
          </w:p>
        </w:tc>
        <w:tc>
          <w:tcPr>
            <w:tcW w:w="180" w:type="dxa"/>
            <w:vAlign w:val="bottom"/>
            <w:tcBorders>
              <w:bottom w:val="single" w:sz="8" w:color="CFF0FC"/>
            </w:tcBorders>
          </w:tcPr>
          <w:p>
            <w:pPr>
              <w:spacing w:after="0"/>
              <w:rPr>
                <w:sz w:val="15"/>
                <w:szCs w:val="15"/>
                <w:color w:val="auto"/>
              </w:rPr>
            </w:pPr>
          </w:p>
        </w:tc>
      </w:tr>
      <w:tr>
        <w:trPr>
          <w:trHeight w:val="223"/>
        </w:trPr>
        <w:tc>
          <w:tcPr>
            <w:tcW w:w="8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Contractual life</w:t>
            </w:r>
          </w:p>
        </w:tc>
        <w:tc>
          <w:tcPr>
            <w:tcW w:w="2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years</w:t>
            </w:r>
          </w:p>
        </w:tc>
        <w:tc>
          <w:tcPr>
            <w:tcW w:w="180" w:type="dxa"/>
            <w:vAlign w:val="bottom"/>
            <w:shd w:val="clear" w:color="auto" w:fill="CFF0FC"/>
          </w:tcPr>
          <w:p>
            <w:pPr>
              <w:spacing w:after="0"/>
              <w:rPr>
                <w:sz w:val="19"/>
                <w:szCs w:val="19"/>
                <w:color w:val="auto"/>
              </w:rPr>
            </w:pPr>
          </w:p>
        </w:tc>
      </w:tr>
      <w:tr>
        <w:trPr>
          <w:trHeight w:val="230"/>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Volatility rate</w:t>
            </w:r>
          </w:p>
        </w:tc>
        <w:tc>
          <w:tcPr>
            <w:tcW w:w="2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r>
      <w:tr>
        <w:trPr>
          <w:trHeight w:val="230"/>
        </w:trPr>
        <w:tc>
          <w:tcPr>
            <w:tcW w:w="8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1.50%</w:t>
            </w:r>
          </w:p>
        </w:tc>
      </w:tr>
      <w:tr>
        <w:trPr>
          <w:trHeight w:val="234"/>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dividends</w:t>
            </w:r>
          </w:p>
        </w:tc>
        <w:tc>
          <w:tcPr>
            <w:tcW w:w="2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3" w:lineRule="exact"/>
        <w:rPr>
          <w:sz w:val="20"/>
          <w:szCs w:val="20"/>
          <w:color w:val="auto"/>
        </w:rPr>
      </w:pPr>
    </w:p>
    <w:p>
      <w:pPr>
        <w:ind w:right="140" w:firstLine="518"/>
        <w:spacing w:after="0" w:line="266" w:lineRule="auto"/>
        <w:rPr>
          <w:sz w:val="20"/>
          <w:szCs w:val="20"/>
          <w:color w:val="auto"/>
        </w:rPr>
      </w:pPr>
      <w:r>
        <w:rPr>
          <w:rFonts w:ascii="Times New Roman" w:cs="Times New Roman" w:eastAsia="Times New Roman" w:hAnsi="Times New Roman"/>
          <w:sz w:val="18"/>
          <w:szCs w:val="18"/>
          <w:color w:val="auto"/>
        </w:rPr>
        <w:t>In connection with the Hercules Loan Agreement, the Company entered into a stock purchase agreement with Hercules, whereby Hercules purchased 135,501 shares of common stock from the Company at a price per share of $7.38, which was equal to the closing price of the common stock on The NASDAQ Global Market on January 7, 2015, for an aggregate purchase price of approximately $1.0 million.</w:t>
      </w:r>
    </w:p>
    <w:p>
      <w:pPr>
        <w:spacing w:after="0" w:line="176"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In December 2011, the Company entered into a loan and security agreement with Lighthouse Capital to borrow up to $10,000,000 in one or more advances by December 31, 2012. In both March 2012 and August 2012, the Company borrowed $5,000,000 under the loan and security agreement, for a total of $10,000,000. This amount was being repaid over 36 months beginning on December 1, 2012, at an interest rate of 8.25%. In addition, the Company was required to make an additional interest payment in the amount of $600,000 at the end of the loan term. The amount was accrued over the loan term as interest expense. The amount accrued as of December 31, 2014 was $574,000 and was included in accrued expense in the accompanying balance sheet. In January 2015, the Company repaid in full the amount outstanding under the Lighthouse Capital loan, or $3.6 million, with the proceeds from the Hercules Loan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337" w:right="239" w:bottom="1440" w:gutter="0" w:footer="0" w:header="0"/>
        </w:sectPr>
      </w:pPr>
    </w:p>
    <w:bookmarkStart w:id="8" w:name="page9"/>
    <w:bookmarkEnd w:id="8"/>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In connection with the loan and security agreement with Lighthouse Capital, the Company issued Lighthouse Capital a warrant to purchase a maximum of 66,436 shares of the Company’s Series D Preferred Stock, at an exercise price of $12.04 per share. The warrant was immediately exercisable for 29,067 shares at the date of issue and expires 10 years from the date of issue (December 2021). The exercisable shares increased in March 2012 and August 2012 as the Company borrowed under the loan and security agreement. At March 31, 2015 and December 31, 2014, 66,436 shares were exercisable. The fair value of the warrant was estimated on the date of issue for the exercisable shares at that date and the fair value of each increment was estimated on the date the shares became exercisable, using the Black-Scholes option-pricing model. The Company estimated the fair value of the warrant for shares exercisable on the issue date in December 2011 and incremental shares exercisable in March 2012 and August 2012 to be $284,000, $182,000 and $178,000, respectively. The following table shows the Black-Scholes assumptions used to value the preferred stock warrants in connection with the loan and security agreement on the respective dates: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Series D Preferred Stock Warrants</w:t>
            </w:r>
          </w:p>
        </w:tc>
        <w:tc>
          <w:tcPr>
            <w:tcW w:w="18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4"/>
        </w:trPr>
        <w:tc>
          <w:tcPr>
            <w:tcW w:w="48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40" w:type="dxa"/>
            <w:vAlign w:val="bottom"/>
            <w:gridSpan w:val="2"/>
          </w:tcPr>
          <w:p>
            <w:pPr>
              <w:spacing w:after="0"/>
              <w:rPr>
                <w:sz w:val="2"/>
                <w:szCs w:val="2"/>
                <w:color w:val="auto"/>
              </w:rPr>
            </w:pPr>
          </w:p>
        </w:tc>
        <w:tc>
          <w:tcPr>
            <w:tcW w:w="2040" w:type="dxa"/>
            <w:vAlign w:val="bottom"/>
            <w:gridSpan w:val="2"/>
          </w:tcPr>
          <w:p>
            <w:pPr>
              <w:spacing w:after="0"/>
              <w:rPr>
                <w:sz w:val="2"/>
                <w:szCs w:val="2"/>
                <w:color w:val="auto"/>
              </w:rPr>
            </w:pPr>
          </w:p>
        </w:tc>
      </w:tr>
      <w:tr>
        <w:trPr>
          <w:trHeight w:val="156"/>
        </w:trPr>
        <w:tc>
          <w:tcPr>
            <w:tcW w:w="4860" w:type="dxa"/>
            <w:vAlign w:val="bottom"/>
          </w:tcPr>
          <w:p>
            <w:pPr>
              <w:spacing w:after="0"/>
              <w:rPr>
                <w:sz w:val="13"/>
                <w:szCs w:val="13"/>
                <w:color w:val="auto"/>
              </w:rPr>
            </w:pPr>
          </w:p>
        </w:tc>
        <w:tc>
          <w:tcPr>
            <w:tcW w:w="14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December 2011</w:t>
            </w:r>
          </w:p>
        </w:tc>
        <w:tc>
          <w:tcPr>
            <w:tcW w:w="4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240" w:type="dxa"/>
            <w:vAlign w:val="bottom"/>
            <w:tcBorders>
              <w:top w:val="single" w:sz="8" w:color="auto"/>
            </w:tcBorders>
            <w:gridSpan w:val="2"/>
          </w:tcPr>
          <w:p>
            <w:pPr>
              <w:jc w:val="right"/>
              <w:ind w:right="940"/>
              <w:spacing w:after="0" w:line="155" w:lineRule="exact"/>
              <w:rPr>
                <w:sz w:val="20"/>
                <w:szCs w:val="20"/>
                <w:color w:val="auto"/>
              </w:rPr>
            </w:pPr>
            <w:r>
              <w:rPr>
                <w:rFonts w:ascii="Times New Roman" w:cs="Times New Roman" w:eastAsia="Times New Roman" w:hAnsi="Times New Roman"/>
                <w:sz w:val="14"/>
                <w:szCs w:val="14"/>
                <w:b w:val="1"/>
                <w:bCs w:val="1"/>
                <w:color w:val="auto"/>
              </w:rPr>
              <w:t>March 2012</w:t>
            </w:r>
          </w:p>
        </w:tc>
        <w:tc>
          <w:tcPr>
            <w:tcW w:w="1860" w:type="dxa"/>
            <w:vAlign w:val="bottom"/>
            <w:tcBorders>
              <w:top w:val="single" w:sz="8" w:color="auto"/>
            </w:tcBorders>
          </w:tcPr>
          <w:p>
            <w:pPr>
              <w:jc w:val="right"/>
              <w:ind w:right="474"/>
              <w:spacing w:after="0" w:line="155" w:lineRule="exact"/>
              <w:rPr>
                <w:sz w:val="20"/>
                <w:szCs w:val="20"/>
                <w:color w:val="auto"/>
              </w:rPr>
            </w:pPr>
            <w:r>
              <w:rPr>
                <w:rFonts w:ascii="Times New Roman" w:cs="Times New Roman" w:eastAsia="Times New Roman" w:hAnsi="Times New Roman"/>
                <w:sz w:val="14"/>
                <w:szCs w:val="14"/>
                <w:b w:val="1"/>
                <w:bCs w:val="1"/>
                <w:color w:val="auto"/>
              </w:rPr>
              <w:t>August 2012</w:t>
            </w:r>
          </w:p>
        </w:tc>
        <w:tc>
          <w:tcPr>
            <w:tcW w:w="180" w:type="dxa"/>
            <w:vAlign w:val="bottom"/>
          </w:tcPr>
          <w:p>
            <w:pPr>
              <w:spacing w:after="0"/>
              <w:rPr>
                <w:sz w:val="13"/>
                <w:szCs w:val="13"/>
                <w:color w:val="auto"/>
              </w:rPr>
            </w:pPr>
          </w:p>
        </w:tc>
      </w:tr>
      <w:tr>
        <w:trPr>
          <w:trHeight w:val="223"/>
        </w:trPr>
        <w:tc>
          <w:tcPr>
            <w:tcW w:w="4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Contractual life</w:t>
            </w: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years</w:t>
            </w:r>
          </w:p>
        </w:tc>
        <w:tc>
          <w:tcPr>
            <w:tcW w:w="1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 years</w:t>
            </w:r>
          </w:p>
        </w:tc>
        <w:tc>
          <w:tcPr>
            <w:tcW w:w="380" w:type="dxa"/>
            <w:vAlign w:val="bottom"/>
            <w:tcBorders>
              <w:top w:val="single" w:sz="8" w:color="CFF0FC"/>
            </w:tcBorders>
            <w:shd w:val="clear" w:color="auto" w:fill="CFF0FC"/>
          </w:tcPr>
          <w:p>
            <w:pPr>
              <w:spacing w:after="0"/>
              <w:rPr>
                <w:sz w:val="19"/>
                <w:szCs w:val="19"/>
                <w:color w:val="auto"/>
              </w:rPr>
            </w:pPr>
          </w:p>
        </w:tc>
        <w:tc>
          <w:tcPr>
            <w:tcW w:w="1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 years</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Volatility rate</w:t>
            </w:r>
          </w:p>
        </w:tc>
        <w:tc>
          <w:tcPr>
            <w:tcW w:w="144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w:t>
            </w:r>
          </w:p>
        </w:tc>
        <w:tc>
          <w:tcPr>
            <w:tcW w:w="2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80%</w:t>
            </w:r>
          </w:p>
        </w:tc>
        <w:tc>
          <w:tcPr>
            <w:tcW w:w="2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w:t>
            </w:r>
          </w:p>
        </w:tc>
      </w:tr>
      <w:tr>
        <w:trPr>
          <w:trHeight w:val="230"/>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4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1.98%</w:t>
            </w:r>
          </w:p>
        </w:tc>
        <w:tc>
          <w:tcPr>
            <w:tcW w:w="24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2.17%</w:t>
            </w:r>
          </w:p>
        </w:tc>
        <w:tc>
          <w:tcPr>
            <w:tcW w:w="2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1.68%</w:t>
            </w:r>
          </w:p>
        </w:tc>
      </w:tr>
      <w:tr>
        <w:trPr>
          <w:trHeight w:val="234"/>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dividends</w:t>
            </w:r>
          </w:p>
        </w:tc>
        <w:tc>
          <w:tcPr>
            <w:tcW w:w="144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3" w:lineRule="exact"/>
        <w:rPr>
          <w:sz w:val="20"/>
          <w:szCs w:val="20"/>
          <w:color w:val="auto"/>
        </w:rPr>
      </w:pPr>
    </w:p>
    <w:p>
      <w:pPr>
        <w:jc w:val="both"/>
        <w:ind w:right="260" w:firstLine="518"/>
        <w:spacing w:after="0" w:line="261" w:lineRule="auto"/>
        <w:rPr>
          <w:sz w:val="20"/>
          <w:szCs w:val="20"/>
          <w:color w:val="auto"/>
        </w:rPr>
      </w:pPr>
      <w:r>
        <w:rPr>
          <w:rFonts w:ascii="Times New Roman" w:cs="Times New Roman" w:eastAsia="Times New Roman" w:hAnsi="Times New Roman"/>
          <w:sz w:val="18"/>
          <w:szCs w:val="18"/>
          <w:color w:val="auto"/>
        </w:rPr>
        <w:t>The Company determined the fair value of the warrant at the end of each subsequent reporting period using the Black-Scholes option pricing model until their conversion to warrants to purchase 66,436 shares of common stock upon the completion of the IPO. The value of the warrant was recorded as a discount to the loan and was being amortized as interest expense using the effective interest method over the 36-month repayment term. The unamortized discount relating to warrants, or $0.2 million, was expensed as interest expense upon repayment of the loan in January 2015.</w:t>
      </w:r>
    </w:p>
    <w:p>
      <w:pPr>
        <w:spacing w:after="0" w:line="176" w:lineRule="exact"/>
        <w:rPr>
          <w:sz w:val="20"/>
          <w:szCs w:val="20"/>
          <w:color w:val="auto"/>
        </w:rPr>
      </w:pPr>
    </w:p>
    <w:p>
      <w:pPr>
        <w:ind w:left="540" w:hanging="532"/>
        <w:spacing w:after="0"/>
        <w:tabs>
          <w:tab w:leader="none" w:pos="5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OPTION PLAN</w:t>
      </w:r>
    </w:p>
    <w:p>
      <w:pPr>
        <w:spacing w:after="0" w:line="229" w:lineRule="exact"/>
        <w:rPr>
          <w:sz w:val="20"/>
          <w:szCs w:val="20"/>
          <w:color w:val="auto"/>
        </w:rPr>
      </w:pPr>
    </w:p>
    <w:p>
      <w:pPr>
        <w:ind w:right="40" w:firstLine="518"/>
        <w:spacing w:after="0" w:line="282" w:lineRule="auto"/>
        <w:rPr>
          <w:sz w:val="20"/>
          <w:szCs w:val="20"/>
          <w:color w:val="auto"/>
        </w:rPr>
      </w:pPr>
      <w:r>
        <w:rPr>
          <w:rFonts w:ascii="Times New Roman" w:cs="Times New Roman" w:eastAsia="Times New Roman" w:hAnsi="Times New Roman"/>
          <w:sz w:val="18"/>
          <w:szCs w:val="18"/>
          <w:color w:val="auto"/>
        </w:rPr>
        <w:t>A summary of stock option activity for employee, director and nonemployee awards under all stock option plans during the three months ended March 31, 2015 is presented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1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38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40" w:type="dxa"/>
            <w:vAlign w:val="bottom"/>
          </w:tcPr>
          <w:p>
            <w:pPr>
              <w:jc w:val="center"/>
              <w:ind w:left="21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840" w:type="dxa"/>
            <w:vAlign w:val="bottom"/>
          </w:tcPr>
          <w:p>
            <w:pPr>
              <w:jc w:val="center"/>
              <w:ind w:left="239"/>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960" w:type="dxa"/>
            <w:vAlign w:val="bottom"/>
          </w:tcPr>
          <w:p>
            <w:pPr>
              <w:spacing w:after="0"/>
              <w:rPr>
                <w:sz w:val="15"/>
                <w:szCs w:val="15"/>
                <w:color w:val="auto"/>
              </w:rPr>
            </w:pPr>
          </w:p>
        </w:tc>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40" w:type="dxa"/>
            <w:vAlign w:val="bottom"/>
          </w:tcPr>
          <w:p>
            <w:pPr>
              <w:jc w:val="center"/>
              <w:ind w:left="239"/>
              <w:spacing w:after="0"/>
              <w:rPr>
                <w:sz w:val="20"/>
                <w:szCs w:val="20"/>
                <w:color w:val="auto"/>
              </w:rPr>
            </w:pPr>
            <w:r>
              <w:rPr>
                <w:rFonts w:ascii="Times New Roman" w:cs="Times New Roman" w:eastAsia="Times New Roman" w:hAnsi="Times New Roman"/>
                <w:sz w:val="14"/>
                <w:szCs w:val="14"/>
                <w:b w:val="1"/>
                <w:bCs w:val="1"/>
                <w:color w:val="auto"/>
              </w:rPr>
              <w:t>Price</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00" w:type="dxa"/>
            <w:vAlign w:val="bottom"/>
          </w:tcPr>
          <w:p>
            <w:pPr>
              <w:spacing w:after="0"/>
              <w:rPr>
                <w:sz w:val="15"/>
                <w:szCs w:val="15"/>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 January 1, 2015</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2,126,176</w:t>
            </w:r>
          </w:p>
        </w:tc>
        <w:tc>
          <w:tcPr>
            <w:tcW w:w="22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4.97</w:t>
            </w:r>
          </w:p>
        </w:tc>
        <w:tc>
          <w:tcPr>
            <w:tcW w:w="22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842,820</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8.91</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(307,476)</w:t>
            </w: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4.59</w:t>
            </w: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(1,022)</w:t>
            </w:r>
          </w:p>
        </w:tc>
        <w:tc>
          <w:tcPr>
            <w:tcW w:w="8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5.73</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 March 31, 2015</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2,660,498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CFF0FC"/>
              <w:bottom w:val="single" w:sz="8" w:color="CFF0FC"/>
            </w:tcBorders>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6.33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1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expected to vest — March 31, 2015</w:t>
            </w: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vMerge w:val="restart"/>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7.14</w:t>
            </w:r>
          </w:p>
        </w:tc>
        <w:tc>
          <w:tcPr>
            <w:tcW w:w="220" w:type="dxa"/>
            <w:vAlign w:val="bottom"/>
          </w:tcPr>
          <w:p>
            <w:pPr>
              <w:spacing w:after="0" w:line="20" w:lineRule="exact"/>
              <w:rPr>
                <w:sz w:val="1"/>
                <w:szCs w:val="1"/>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0" w:type="dxa"/>
            <w:vAlign w:val="bottom"/>
          </w:tcPr>
          <w:p>
            <w:pPr>
              <w:spacing w:after="0" w:line="20" w:lineRule="exact"/>
              <w:rPr>
                <w:sz w:val="1"/>
                <w:szCs w:val="1"/>
                <w:color w:val="auto"/>
              </w:rPr>
            </w:pP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FF0FC"/>
            </w:tcBorders>
            <w:vMerge w:val="continue"/>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1,561,898</w:t>
            </w:r>
          </w:p>
        </w:tc>
        <w:tc>
          <w:tcPr>
            <w:tcW w:w="220" w:type="dxa"/>
            <w:vAlign w:val="bottom"/>
            <w:tcBorders>
              <w:bottom w:val="single" w:sz="8" w:color="CFF0FC"/>
            </w:tcBorders>
          </w:tcPr>
          <w:p>
            <w:pPr>
              <w:spacing w:after="0"/>
              <w:rPr>
                <w:sz w:val="21"/>
                <w:szCs w:val="21"/>
                <w:color w:val="auto"/>
              </w:rPr>
            </w:pPr>
          </w:p>
        </w:tc>
        <w:tc>
          <w:tcPr>
            <w:tcW w:w="840" w:type="dxa"/>
            <w:vAlign w:val="bottom"/>
            <w:tcBorders>
              <w:bottom w:val="single" w:sz="8" w:color="CFF0FC"/>
            </w:tcBorders>
            <w:vMerge w:val="continue"/>
          </w:tcPr>
          <w:p>
            <w:pPr>
              <w:spacing w:after="0"/>
              <w:rPr>
                <w:sz w:val="21"/>
                <w:szCs w:val="21"/>
                <w:color w:val="auto"/>
              </w:rPr>
            </w:pPr>
          </w:p>
        </w:tc>
        <w:tc>
          <w:tcPr>
            <w:tcW w:w="320" w:type="dxa"/>
            <w:vAlign w:val="bottom"/>
            <w:tcBorders>
              <w:bottom w:val="single" w:sz="8" w:color="CFF0FC"/>
            </w:tcBorders>
            <w:vMerge w:val="continue"/>
          </w:tcPr>
          <w:p>
            <w:pPr>
              <w:spacing w:after="0"/>
              <w:rPr>
                <w:sz w:val="21"/>
                <w:szCs w:val="21"/>
                <w:color w:val="auto"/>
              </w:rPr>
            </w:pPr>
          </w:p>
        </w:tc>
        <w:tc>
          <w:tcPr>
            <w:tcW w:w="220" w:type="dxa"/>
            <w:vAlign w:val="bottom"/>
            <w:tcBorders>
              <w:bottom w:val="single" w:sz="8" w:color="CFF0FC"/>
            </w:tcBorders>
          </w:tcPr>
          <w:p>
            <w:pPr>
              <w:spacing w:after="0"/>
              <w:rPr>
                <w:sz w:val="21"/>
                <w:szCs w:val="21"/>
                <w:color w:val="auto"/>
              </w:rPr>
            </w:pPr>
          </w:p>
        </w:tc>
        <w:tc>
          <w:tcPr>
            <w:tcW w:w="1180" w:type="dxa"/>
            <w:vAlign w:val="bottom"/>
            <w:tcBorders>
              <w:bottom w:val="single" w:sz="8" w:color="CFF0FC"/>
            </w:tcBorders>
            <w:vMerge w:val="continue"/>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vMerge w:val="continue"/>
          </w:tcPr>
          <w:p>
            <w:pPr>
              <w:spacing w:after="0"/>
              <w:rPr>
                <w:sz w:val="21"/>
                <w:szCs w:val="21"/>
                <w:color w:val="auto"/>
              </w:rPr>
            </w:pPr>
          </w:p>
        </w:tc>
        <w:tc>
          <w:tcPr>
            <w:tcW w:w="1000" w:type="dxa"/>
            <w:vAlign w:val="bottom"/>
            <w:tcBorders>
              <w:bottom w:val="single" w:sz="8" w:color="CFF0FC"/>
            </w:tcBorders>
            <w:vMerge w:val="continue"/>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exercisable — March 31, 2015</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580,484</w:t>
            </w:r>
          </w:p>
        </w:tc>
        <w:tc>
          <w:tcPr>
            <w:tcW w:w="2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4.79</w:t>
            </w:r>
          </w:p>
        </w:tc>
        <w:tc>
          <w:tcPr>
            <w:tcW w:w="22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518"/>
        <w:spacing w:after="0" w:line="282" w:lineRule="auto"/>
        <w:rPr>
          <w:sz w:val="20"/>
          <w:szCs w:val="20"/>
          <w:color w:val="auto"/>
        </w:rPr>
      </w:pPr>
      <w:r>
        <w:rPr>
          <w:rFonts w:ascii="Times New Roman" w:cs="Times New Roman" w:eastAsia="Times New Roman" w:hAnsi="Times New Roman"/>
          <w:sz w:val="18"/>
          <w:szCs w:val="18"/>
          <w:color w:val="auto"/>
        </w:rPr>
        <w:t>The weighted-average per share grant date fair value of options granted during the three months ended March 31, 2015 and 2014 was $5.07 and $5.95, respectively.</w:t>
      </w:r>
    </w:p>
    <w:p>
      <w:pPr>
        <w:spacing w:after="0" w:line="162"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The fair value of each option award is estimated on the date of grant using the Black-Scholes option-pricing model based on the assumptions noted in the table below. Expected volatility for the Company’s common stock was determined based on an average of the historical volatility of a peer-group of similar public companies. The Company has limited option exercise information, as such, the expected term of the options granted was calculated using the simplified method that represents the average of the contractual term of the option and the weighted-average vesting period of the option. The assumed dividend yield is based upon the Company’s expectation of not paying dividends in the foreseeable future. The risk-free rate for periods within the contractual life of the option is based upon the U.S. Treasury yield curve in effect at the time of grant.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337" w:right="239" w:bottom="1440" w:gutter="0" w:footer="0" w:header="0"/>
        </w:sectPr>
      </w:pPr>
    </w:p>
    <w:bookmarkStart w:id="9" w:name="page10"/>
    <w:bookmarkEnd w:id="9"/>
    <w:p>
      <w:pPr>
        <w:jc w:val="both"/>
        <w:ind w:right="20" w:firstLine="518"/>
        <w:spacing w:after="0" w:line="266" w:lineRule="auto"/>
        <w:rPr>
          <w:sz w:val="20"/>
          <w:szCs w:val="20"/>
          <w:color w:val="auto"/>
        </w:rPr>
      </w:pPr>
      <w:r>
        <w:rPr>
          <w:rFonts w:ascii="Times New Roman" w:cs="Times New Roman" w:eastAsia="Times New Roman" w:hAnsi="Times New Roman"/>
          <w:sz w:val="18"/>
          <w:szCs w:val="18"/>
          <w:color w:val="auto"/>
        </w:rPr>
        <w:t>The Company has recorded stock-based compensation expense related to the issuance of stock option awards to employees of $420,000 and $148,000 for the three months ended March 31, 2015 and 2014, respectively. The assumptions used in the Black-Scholes option-pricing model for stock options granted to employees and to directors in respect of board services during the three months ended March 31, 2015 and 2014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80" w:type="dxa"/>
            <w:vAlign w:val="bottom"/>
          </w:tcPr>
          <w:p>
            <w:pPr>
              <w:spacing w:after="0"/>
              <w:rPr>
                <w:sz w:val="15"/>
                <w:szCs w:val="15"/>
                <w:color w:val="auto"/>
              </w:rPr>
            </w:pPr>
          </w:p>
        </w:tc>
        <w:tc>
          <w:tcPr>
            <w:tcW w:w="4140" w:type="dxa"/>
            <w:vAlign w:val="bottom"/>
            <w:gridSpan w:val="4"/>
          </w:tcPr>
          <w:p>
            <w:pPr>
              <w:jc w:val="right"/>
              <w:ind w:right="11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56"/>
        </w:trPr>
        <w:tc>
          <w:tcPr>
            <w:tcW w:w="7280" w:type="dxa"/>
            <w:vAlign w:val="bottom"/>
            <w:tcBorders>
              <w:bottom w:val="single" w:sz="8" w:color="CFF0FC"/>
            </w:tcBorders>
          </w:tcPr>
          <w:p>
            <w:pPr>
              <w:spacing w:after="0"/>
              <w:rPr>
                <w:sz w:val="13"/>
                <w:szCs w:val="13"/>
                <w:color w:val="auto"/>
              </w:rPr>
            </w:pPr>
          </w:p>
        </w:tc>
        <w:tc>
          <w:tcPr>
            <w:tcW w:w="1980" w:type="dxa"/>
            <w:vAlign w:val="bottom"/>
            <w:tcBorders>
              <w:top w:val="single" w:sz="8" w:color="auto"/>
              <w:bottom w:val="single" w:sz="8" w:color="auto"/>
            </w:tcBorders>
          </w:tcPr>
          <w:p>
            <w:pPr>
              <w:jc w:val="right"/>
              <w:ind w:right="776"/>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top w:val="single" w:sz="8" w:color="auto"/>
              <w:bottom w:val="single" w:sz="8" w:color="CFF0FC"/>
            </w:tcBorders>
          </w:tcPr>
          <w:p>
            <w:pPr>
              <w:spacing w:after="0"/>
              <w:rPr>
                <w:sz w:val="13"/>
                <w:szCs w:val="13"/>
                <w:color w:val="auto"/>
              </w:rPr>
            </w:pPr>
          </w:p>
        </w:tc>
        <w:tc>
          <w:tcPr>
            <w:tcW w:w="1880" w:type="dxa"/>
            <w:vAlign w:val="bottom"/>
            <w:tcBorders>
              <w:top w:val="single" w:sz="8" w:color="auto"/>
              <w:bottom w:val="single" w:sz="8" w:color="auto"/>
            </w:tcBorders>
          </w:tcPr>
          <w:p>
            <w:pPr>
              <w:jc w:val="right"/>
              <w:ind w:right="714"/>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80" w:type="dxa"/>
            <w:vAlign w:val="bottom"/>
            <w:tcBorders>
              <w:bottom w:val="single" w:sz="8" w:color="CFF0FC"/>
            </w:tcBorders>
          </w:tcPr>
          <w:p>
            <w:pPr>
              <w:spacing w:after="0"/>
              <w:rPr>
                <w:sz w:val="13"/>
                <w:szCs w:val="13"/>
                <w:color w:val="auto"/>
              </w:rPr>
            </w:pPr>
          </w:p>
        </w:tc>
      </w:tr>
      <w:tr>
        <w:trPr>
          <w:trHeight w:val="223"/>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years</w:t>
            </w:r>
          </w:p>
        </w:tc>
        <w:tc>
          <w:tcPr>
            <w:tcW w:w="10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years</w:t>
            </w:r>
          </w:p>
        </w:tc>
        <w:tc>
          <w:tcPr>
            <w:tcW w:w="180" w:type="dxa"/>
            <w:vAlign w:val="bottom"/>
            <w:shd w:val="clear" w:color="auto" w:fill="CFF0FC"/>
          </w:tcPr>
          <w:p>
            <w:pPr>
              <w:spacing w:after="0"/>
              <w:rPr>
                <w:sz w:val="19"/>
                <w:szCs w:val="19"/>
                <w:color w:val="auto"/>
              </w:rPr>
            </w:pPr>
          </w:p>
        </w:tc>
      </w:tr>
      <w:tr>
        <w:trPr>
          <w:trHeight w:val="230"/>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1.45%-1.69%</w:t>
            </w:r>
          </w:p>
        </w:tc>
        <w:tc>
          <w:tcPr>
            <w:tcW w:w="1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1.83%-2.00%</w:t>
            </w:r>
          </w:p>
        </w:tc>
        <w:tc>
          <w:tcPr>
            <w:tcW w:w="180" w:type="dxa"/>
            <w:vAlign w:val="bottom"/>
          </w:tcPr>
          <w:p>
            <w:pPr>
              <w:spacing w:after="0"/>
              <w:rPr>
                <w:sz w:val="19"/>
                <w:szCs w:val="19"/>
                <w:color w:val="auto"/>
              </w:rPr>
            </w:pPr>
          </w:p>
        </w:tc>
      </w:tr>
      <w:tr>
        <w:trPr>
          <w:trHeight w:val="230"/>
        </w:trPr>
        <w:tc>
          <w:tcPr>
            <w:tcW w:w="7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61%-63%</w:t>
            </w:r>
          </w:p>
        </w:tc>
        <w:tc>
          <w:tcPr>
            <w:tcW w:w="100" w:type="dxa"/>
            <w:vAlign w:val="bottom"/>
            <w:shd w:val="clear" w:color="auto" w:fill="CFF0FC"/>
          </w:tcPr>
          <w:p>
            <w:pPr>
              <w:spacing w:after="0"/>
              <w:rPr>
                <w:sz w:val="19"/>
                <w:szCs w:val="19"/>
                <w:color w:val="auto"/>
              </w:rPr>
            </w:pPr>
          </w:p>
        </w:tc>
        <w:tc>
          <w:tcPr>
            <w:tcW w:w="2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60.00%</w:t>
            </w:r>
          </w:p>
        </w:tc>
      </w:tr>
      <w:tr>
        <w:trPr>
          <w:trHeight w:val="243"/>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2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The Company recorded stock-based compensation expense related to nonemployee awards of $20,000 and $12,000 for the three months ended March 31, 2015 and 2014, respectively. The compensation expense related to nonemployee awards is included in the total stock-based compensation each year and is subject to re-measurement until the options vest. The Black-Scholes assumptions used to estimate fair value for the three months ended March 31, 2015 and 2014 were as follows:</w:t>
      </w:r>
    </w:p>
    <w:p>
      <w:pPr>
        <w:spacing w:after="0" w:line="255"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200" w:type="dxa"/>
            <w:vAlign w:val="bottom"/>
            <w:tcBorders>
              <w:bottom w:val="single" w:sz="8" w:color="CFF0FC"/>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88"/>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8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1980" w:type="dxa"/>
            <w:vAlign w:val="bottom"/>
            <w:tcBorders>
              <w:top w:val="single" w:sz="8" w:color="auto"/>
              <w:bottom w:val="single" w:sz="8" w:color="auto"/>
            </w:tcBorders>
          </w:tcPr>
          <w:p>
            <w:pPr>
              <w:jc w:val="right"/>
              <w:ind w:right="774"/>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r>
      <w:tr>
        <w:trPr>
          <w:trHeight w:val="223"/>
        </w:trPr>
        <w:tc>
          <w:tcPr>
            <w:tcW w:w="7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life</w:t>
            </w:r>
          </w:p>
        </w:tc>
        <w:tc>
          <w:tcPr>
            <w:tcW w:w="1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8 years</w:t>
            </w:r>
          </w:p>
        </w:tc>
        <w:tc>
          <w:tcPr>
            <w:tcW w:w="120" w:type="dxa"/>
            <w:vAlign w:val="bottom"/>
            <w:shd w:val="clear" w:color="auto" w:fill="CFF0FC"/>
          </w:tcPr>
          <w:p>
            <w:pPr>
              <w:spacing w:after="0"/>
              <w:rPr>
                <w:sz w:val="19"/>
                <w:szCs w:val="19"/>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 years</w:t>
            </w:r>
          </w:p>
        </w:tc>
      </w:tr>
      <w:tr>
        <w:trPr>
          <w:trHeight w:val="230"/>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1.86 %</w:t>
            </w:r>
          </w:p>
        </w:tc>
        <w:tc>
          <w:tcPr>
            <w:tcW w:w="1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2.11%-2.63%</w:t>
            </w:r>
          </w:p>
        </w:tc>
      </w:tr>
      <w:tr>
        <w:trPr>
          <w:trHeight w:val="230"/>
        </w:trPr>
        <w:tc>
          <w:tcPr>
            <w:tcW w:w="84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62.00 %</w:t>
            </w:r>
          </w:p>
        </w:tc>
        <w:tc>
          <w:tcPr>
            <w:tcW w:w="120" w:type="dxa"/>
            <w:vAlign w:val="bottom"/>
            <w:shd w:val="clear" w:color="auto" w:fill="CFF0FC"/>
          </w:tcPr>
          <w:p>
            <w:pPr>
              <w:spacing w:after="0"/>
              <w:rPr>
                <w:sz w:val="19"/>
                <w:szCs w:val="19"/>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56%-59%</w:t>
            </w:r>
          </w:p>
        </w:tc>
      </w:tr>
      <w:tr>
        <w:trPr>
          <w:trHeight w:val="243"/>
        </w:trPr>
        <w:tc>
          <w:tcPr>
            <w:tcW w:w="8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did not grant any nonemployee stock option grants for the three months ended March 31, 2015 and 2014.</w:t>
      </w:r>
    </w:p>
    <w:p>
      <w:pPr>
        <w:spacing w:after="0" w:line="221" w:lineRule="exact"/>
        <w:rPr>
          <w:sz w:val="20"/>
          <w:szCs w:val="20"/>
          <w:color w:val="auto"/>
        </w:rPr>
      </w:pPr>
    </w:p>
    <w:p>
      <w:pPr>
        <w:ind w:left="540" w:hanging="532"/>
        <w:spacing w:after="0"/>
        <w:tabs>
          <w:tab w:leader="none" w:pos="5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ind w:right="120" w:firstLine="518"/>
        <w:spacing w:after="0" w:line="261" w:lineRule="auto"/>
        <w:rPr>
          <w:sz w:val="20"/>
          <w:szCs w:val="20"/>
          <w:color w:val="auto"/>
        </w:rPr>
      </w:pPr>
      <w:r>
        <w:rPr>
          <w:rFonts w:ascii="Times New Roman" w:cs="Times New Roman" w:eastAsia="Times New Roman" w:hAnsi="Times New Roman"/>
          <w:sz w:val="18"/>
          <w:szCs w:val="18"/>
          <w:color w:val="auto"/>
        </w:rPr>
        <w:t>The Company’s financial instruments consist of cash equivalents, accounts payable, accrued expenses, debt obligations, and preferred stock warrants. The carrying amount of accounts payable and accrued expenses are considered a reasonable estimate of their fair value, due to the short-term maturity of these instruments. The carrying amount of debt is also considered to be a reasonable estimate of the fair value based on the short term nature of the debt and because the debt bears interest at the prevailing market rate for instruments with similar characteristics.</w:t>
      </w:r>
    </w:p>
    <w:p>
      <w:pPr>
        <w:spacing w:after="0" w:line="180" w:lineRule="exact"/>
        <w:rPr>
          <w:sz w:val="20"/>
          <w:szCs w:val="20"/>
          <w:color w:val="auto"/>
        </w:rPr>
      </w:pPr>
    </w:p>
    <w:p>
      <w:pPr>
        <w:ind w:right="300" w:firstLine="518"/>
        <w:spacing w:after="0" w:line="266"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are performed in a manner to maximize the use of observable inputs and minimize the use of unobservable inputs.</w:t>
      </w:r>
    </w:p>
    <w:p>
      <w:pPr>
        <w:spacing w:after="0" w:line="176" w:lineRule="exact"/>
        <w:rPr>
          <w:sz w:val="20"/>
          <w:szCs w:val="20"/>
          <w:color w:val="auto"/>
        </w:rPr>
      </w:pPr>
    </w:p>
    <w:p>
      <w:pPr>
        <w:ind w:right="180" w:firstLine="518"/>
        <w:spacing w:after="0" w:line="282" w:lineRule="auto"/>
        <w:rPr>
          <w:sz w:val="20"/>
          <w:szCs w:val="20"/>
          <w:color w:val="auto"/>
        </w:rPr>
      </w:pPr>
      <w:r>
        <w:rPr>
          <w:rFonts w:ascii="Times New Roman" w:cs="Times New Roman" w:eastAsia="Times New Roman" w:hAnsi="Times New Roman"/>
          <w:sz w:val="18"/>
          <w:szCs w:val="18"/>
          <w:color w:val="auto"/>
        </w:rPr>
        <w:t>The accounting standard describes a fair value hierarchy based on three levels of inputs, of which the first two are considered observable and the last unobservable, that may be used to measure fair value, which are the following:</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 — Quoted prices in active markets that are accessible at the market date for identical unrestricted assets or liabilities.</w:t>
      </w:r>
    </w:p>
    <w:p>
      <w:pPr>
        <w:spacing w:after="0" w:line="225" w:lineRule="exact"/>
        <w:rPr>
          <w:sz w:val="20"/>
          <w:szCs w:val="20"/>
          <w:color w:val="auto"/>
        </w:rPr>
      </w:pPr>
    </w:p>
    <w:p>
      <w:pPr>
        <w:jc w:val="both"/>
        <w:ind w:right="460" w:firstLine="518"/>
        <w:spacing w:after="0" w:line="266" w:lineRule="auto"/>
        <w:rPr>
          <w:sz w:val="20"/>
          <w:szCs w:val="20"/>
          <w:color w:val="auto"/>
        </w:rPr>
      </w:pPr>
      <w:r>
        <w:rPr>
          <w:rFonts w:ascii="Times New Roman" w:cs="Times New Roman" w:eastAsia="Times New Roman" w:hAnsi="Times New Roman"/>
          <w:sz w:val="18"/>
          <w:szCs w:val="18"/>
          <w:color w:val="auto"/>
        </w:rPr>
        <w:t>Level 2 — Inputs other than Level 1 that are observable, either directly or indirectly, such as quoted prices for similar assets or liabilities; quoted prices in markets that are not active; or other inputs for which all significant inputs are observable or can be corroborated by observable market data for substantially the full term of the assets or liabilities.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337" w:right="239" w:bottom="1440" w:gutter="0" w:footer="0" w:header="0"/>
        </w:sectPr>
      </w:pPr>
    </w:p>
    <w:bookmarkStart w:id="10" w:name="page11"/>
    <w:bookmarkEnd w:id="10"/>
    <w:p>
      <w:pPr>
        <w:ind w:firstLine="518"/>
        <w:spacing w:after="0" w:line="282" w:lineRule="auto"/>
        <w:rPr>
          <w:sz w:val="20"/>
          <w:szCs w:val="20"/>
          <w:color w:val="auto"/>
        </w:rPr>
      </w:pPr>
      <w:r>
        <w:rPr>
          <w:rFonts w:ascii="Times New Roman" w:cs="Times New Roman" w:eastAsia="Times New Roman" w:hAnsi="Times New Roman"/>
          <w:sz w:val="18"/>
          <w:szCs w:val="18"/>
          <w:color w:val="auto"/>
        </w:rPr>
        <w:t>A summary of the financial assets and liabilities that are measured on a recurring basis at fair value as of March 31, 2015 and December 31, 2014, is as follows: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6"/>
          </w:tcPr>
          <w:p>
            <w:pPr>
              <w:jc w:val="center"/>
              <w:ind w:left="944"/>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11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50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200" w:type="dxa"/>
            <w:vAlign w:val="bottom"/>
          </w:tcPr>
          <w:p>
            <w:pPr>
              <w:spacing w:after="0"/>
              <w:rPr>
                <w:sz w:val="11"/>
                <w:szCs w:val="11"/>
                <w:color w:val="auto"/>
              </w:rPr>
            </w:pPr>
          </w:p>
        </w:tc>
        <w:tc>
          <w:tcPr>
            <w:tcW w:w="1100" w:type="dxa"/>
            <w:vAlign w:val="bottom"/>
          </w:tcPr>
          <w:p>
            <w:pPr>
              <w:jc w:val="center"/>
              <w:ind w:right="123"/>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200" w:type="dxa"/>
            <w:vAlign w:val="bottom"/>
          </w:tcPr>
          <w:p>
            <w:pPr>
              <w:spacing w:after="0"/>
              <w:rPr>
                <w:sz w:val="12"/>
                <w:szCs w:val="12"/>
                <w:color w:val="auto"/>
              </w:rPr>
            </w:pPr>
          </w:p>
        </w:tc>
        <w:tc>
          <w:tcPr>
            <w:tcW w:w="1100" w:type="dxa"/>
            <w:vAlign w:val="bottom"/>
          </w:tcPr>
          <w:p>
            <w:pPr>
              <w:jc w:val="center"/>
              <w:ind w:right="143"/>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200" w:type="dxa"/>
            <w:vAlign w:val="bottom"/>
          </w:tcPr>
          <w:p>
            <w:pPr>
              <w:spacing w:after="0"/>
              <w:rPr>
                <w:sz w:val="12"/>
                <w:szCs w:val="12"/>
                <w:color w:val="auto"/>
              </w:rPr>
            </w:pPr>
          </w:p>
        </w:tc>
        <w:tc>
          <w:tcPr>
            <w:tcW w:w="1100" w:type="dxa"/>
            <w:vAlign w:val="bottom"/>
          </w:tcPr>
          <w:p>
            <w:pPr>
              <w:jc w:val="center"/>
              <w:ind w:right="123"/>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4"/>
                <w:szCs w:val="14"/>
                <w:color w:val="auto"/>
              </w:rPr>
            </w:pPr>
          </w:p>
        </w:tc>
        <w:tc>
          <w:tcPr>
            <w:tcW w:w="1100" w:type="dxa"/>
            <w:vAlign w:val="bottom"/>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73"/>
        </w:trPr>
        <w:tc>
          <w:tcPr>
            <w:tcW w:w="35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5"/>
                <w:szCs w:val="15"/>
                <w:color w:val="auto"/>
              </w:rPr>
            </w:pPr>
          </w:p>
        </w:tc>
        <w:tc>
          <w:tcPr>
            <w:tcW w:w="1100" w:type="dxa"/>
            <w:vAlign w:val="bottom"/>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35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March 31, 2015</w:t>
            </w:r>
          </w:p>
        </w:tc>
        <w:tc>
          <w:tcPr>
            <w:tcW w:w="20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55,844</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55,844</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2014</w:t>
            </w:r>
          </w:p>
        </w:tc>
        <w:tc>
          <w:tcPr>
            <w:tcW w:w="2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50,541</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50,541</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debt obligations are Level 2 measurements in the fair value hierarchy.</w:t>
      </w:r>
    </w:p>
    <w:p>
      <w:pPr>
        <w:spacing w:after="0" w:line="225"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The Company’s money market funds have been valued on the basis of valuations provided by third-party pricing services, as derived from such services’ pricing models. Inputs to the models may include, but are not limited to, reported trades, executable bid and asked prices, broker/dealer quotations, prices or yields of securities with similar characteristics, benchmark curves or information pertaining to the issuer, as well as industry and economic events. The pricing services may use a matrix approach, which considers information regarding securities with similar characteristics to determine the valuation for a security. The Company is ultimately responsible for the consolidated financial statements and underlying estimates. Accordingly, the Company assesses the reasonableness of the valuations provided by the third-party pricing services by reviewing actual trade data, broker/dealer quotes and other similar data, which are obtained from quoted market prices or other sources.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transfers between levels have occurred during the periods presented.</w:t>
      </w:r>
    </w:p>
    <w:p>
      <w:pPr>
        <w:spacing w:after="0" w:line="200" w:lineRule="exact"/>
        <w:rPr>
          <w:sz w:val="20"/>
          <w:szCs w:val="20"/>
          <w:color w:val="auto"/>
        </w:rPr>
      </w:pPr>
    </w:p>
    <w:p>
      <w:pPr>
        <w:spacing w:after="0" w:line="264" w:lineRule="exact"/>
        <w:rPr>
          <w:sz w:val="20"/>
          <w:szCs w:val="20"/>
          <w:color w:val="auto"/>
        </w:rPr>
      </w:pPr>
    </w:p>
    <w:p>
      <w:pPr>
        <w:ind w:left="540" w:hanging="532"/>
        <w:spacing w:after="0"/>
        <w:tabs>
          <w:tab w:leader="none" w:pos="5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w:t>
      </w:r>
    </w:p>
    <w:p>
      <w:pPr>
        <w:spacing w:after="0" w:line="229" w:lineRule="exact"/>
        <w:rPr>
          <w:sz w:val="20"/>
          <w:szCs w:val="20"/>
          <w:color w:val="auto"/>
        </w:rPr>
      </w:pPr>
    </w:p>
    <w:p>
      <w:pPr>
        <w:jc w:val="both"/>
        <w:ind w:right="180" w:firstLine="518"/>
        <w:spacing w:after="0" w:line="261" w:lineRule="auto"/>
        <w:rPr>
          <w:sz w:val="20"/>
          <w:szCs w:val="20"/>
          <w:color w:val="auto"/>
        </w:rPr>
      </w:pPr>
      <w:r>
        <w:rPr>
          <w:rFonts w:ascii="Times New Roman" w:cs="Times New Roman" w:eastAsia="Times New Roman" w:hAnsi="Times New Roman"/>
          <w:sz w:val="18"/>
          <w:szCs w:val="18"/>
          <w:color w:val="auto"/>
        </w:rPr>
        <w:t>On April 10, 2015, the Company closed an underwritten public offering (the “Secondary Offering”) of 6,716,000 shares of common stock, including 876,000 shares sold pursuant to the full exercise of the underwriters’ option to purchase additional shares, at a public offering price of $6.00 per share. The gross proceeds to the Company from the Secondary Offering were approximately $40.3 million, before deducting underwriting discounts and commissions and offering expenses payable by the Company.</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337" w:right="239" w:bottom="1440" w:gutter="0" w:footer="0" w:header="0"/>
        </w:sectPr>
      </w:pPr>
    </w:p>
    <w:bookmarkStart w:id="11" w:name="page12"/>
    <w:bookmarkEnd w:id="11"/>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ind w:right="80" w:firstLine="518"/>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condensed consolidated financial statements and the related notes appearing elsewhere in this Quarterly Report on Form 10-Q.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You should read the “Risk Factors” section of this Quarterly Report on Form 10-Q for a discussion of important factors that could cause actual results to differ materially from the results described in or implied by the forward-looking statements contained in the following discussion and analysis.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We are a clinical-stage, oncology-focused company applying our proprietary Dynamic Tumor Targeting™ Platform to develop differentiated therapies. This platform utilizes nanoparticle-drug conjugates, or NDCs, which consist of proprietary polymers that are covalently linked to anti-cancer therapeutics, or payloads. We believe these NDCs dynamically target tumors by exploiting the leakiness of new blood vessels in tumors as an entry portal into tumor tissue, followed by active uptake into tumor cells and the sustained release of the anti-cancer payload inside the tumor cells. We believe that our NDCs are differentiated from other nanoparticle technologies by our linker technology, which allows for preferential delivery of our anti-cancer payloads.</w:t>
      </w:r>
    </w:p>
    <w:p>
      <w:pPr>
        <w:spacing w:after="0" w:line="184"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During the quarter ended March 31, 2015, we signed a clinical research agreement with the GOG Foundation, Inc. to conduct an open-label Phase 1b clinical trial of our lead product candidate, CRLX101, in combination with weekly paclitaxel in patients with relapsed ovarian cancer. We have commenced start-up procedures and expect to enroll the first patient in the second quarter of 2015. In March 2015 we also announced that a Phase 1b/2 investigator-sponsored trial of CRLX101 in combination with Avastin® in relapsed renal cell carcinoma, or RCC, achieved its primary endpoint of at least 50% of patients achieving four months of progression free survival. Data from this trial have been submitted for presentation at the American Society of Clinical Oncology 2015 Annual Meeting in June and will be submitted for publication in a peer-reviewed journal later this year.</w:t>
      </w:r>
    </w:p>
    <w:p>
      <w:pPr>
        <w:spacing w:after="0" w:line="188"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We have devoted substantially all of our resources to our drug discovery and development efforts, including conducting clinical trials of our product candidates, protecting our intellectual property and the general and administrative support of these operations. To date, we have generated no revenue from product sales. We expect that it will be several years before we commercialize a product candidate, if ever. Through March 31, 2015, we have funded our operations primarily through $84.2 million in proceeds from the sale of shares of our convertible preferred stock in private placements, net proceeds of $59.9 million from sales of shares of our common stock in our initial public offering, or IPO, $17.3 million in proceeds from our sale of convertible promissory notes, $10.0 million in proceeds from a loan and security agreement with Lighthouse Capital Partners VI, L.P., or Lighthouse Capital, and $15.0 million in proceeds from a loan and security agreement with Hercules Technology Growth Capital, Inc., or Hercules. We refer to our loan and security agreements with Lighthouse Capital and Hercules as the Lighthouse Loan Agreement and Hercules Loan Agreement, respectively.</w:t>
      </w:r>
    </w:p>
    <w:p>
      <w:pPr>
        <w:spacing w:after="0" w:line="185"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On January 8, 2015, we entered into the Hercules Loan Agreement pursuant to which we are eligible to borrow up to an aggregate principal amount of $26.0 million, subject to certain conditions. On January 8, 2015, we borrowed $15.0 million under the Hercules Loan Agreement, and we used a portion of those proceeds to repay our outstanding indebtedness under the Lighthouse Loan Agreement. In connection with entering into the Hercules Loan Agreement, we sold 135,501 shares of our common stock to Hercules in a private placement and received $1.0 million in proceeds.</w:t>
      </w:r>
    </w:p>
    <w:p>
      <w:pPr>
        <w:spacing w:after="0" w:line="180" w:lineRule="exact"/>
        <w:rPr>
          <w:sz w:val="20"/>
          <w:szCs w:val="20"/>
          <w:color w:val="auto"/>
        </w:rPr>
      </w:pPr>
    </w:p>
    <w:p>
      <w:pPr>
        <w:ind w:right="200" w:firstLine="518"/>
        <w:spacing w:after="0" w:line="266" w:lineRule="auto"/>
        <w:rPr>
          <w:sz w:val="20"/>
          <w:szCs w:val="20"/>
          <w:color w:val="auto"/>
        </w:rPr>
      </w:pPr>
      <w:r>
        <w:rPr>
          <w:rFonts w:ascii="Times New Roman" w:cs="Times New Roman" w:eastAsia="Times New Roman" w:hAnsi="Times New Roman"/>
          <w:sz w:val="18"/>
          <w:szCs w:val="18"/>
          <w:color w:val="auto"/>
        </w:rPr>
        <w:t>We have never been profitable and have incurred significant operating losses since our incorporation. As of March 31, 2015, we had an accumulated deficit of $130.2 million. We incurred net losses of approximately $8.4 million and $2.9 million for the three months ended March 31, 2015 and 2014, respectively.</w:t>
      </w:r>
    </w:p>
    <w:p>
      <w:pPr>
        <w:spacing w:after="0" w:line="176" w:lineRule="exact"/>
        <w:rPr>
          <w:sz w:val="20"/>
          <w:szCs w:val="20"/>
          <w:color w:val="auto"/>
        </w:rPr>
      </w:pPr>
    </w:p>
    <w:p>
      <w:pPr>
        <w:ind w:right="200" w:firstLine="518"/>
        <w:spacing w:after="0" w:line="261" w:lineRule="auto"/>
        <w:rPr>
          <w:sz w:val="20"/>
          <w:szCs w:val="20"/>
          <w:color w:val="auto"/>
        </w:rPr>
      </w:pPr>
      <w:r>
        <w:rPr>
          <w:rFonts w:ascii="Times New Roman" w:cs="Times New Roman" w:eastAsia="Times New Roman" w:hAnsi="Times New Roman"/>
          <w:sz w:val="18"/>
          <w:szCs w:val="18"/>
          <w:color w:val="auto"/>
        </w:rPr>
        <w:t>We expect to continue to incur significant and increasing expenses and operating losses for the foreseeable future, as we advance our product candidates through preclinical studies and clinical trials, and as we seek regulatory approval for, and eventually commercialize, our product candidates. Our net losses may fluctuate significantly from quarter to quarter and from year to year. We will need to raise additional capital in the future to support our expenses and operating activities.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29" w:lineRule="exact"/>
        <w:rPr>
          <w:sz w:val="20"/>
          <w:szCs w:val="20"/>
          <w:color w:val="auto"/>
        </w:rPr>
      </w:pPr>
    </w:p>
    <w:p>
      <w:pPr>
        <w:ind w:right="300" w:firstLine="518"/>
        <w:spacing w:after="0" w:line="261" w:lineRule="auto"/>
        <w:rPr>
          <w:sz w:val="20"/>
          <w:szCs w:val="20"/>
          <w:color w:val="auto"/>
        </w:rPr>
      </w:pPr>
      <w:r>
        <w:rPr>
          <w:rFonts w:ascii="Times New Roman" w:cs="Times New Roman" w:eastAsia="Times New Roman" w:hAnsi="Times New Roman"/>
          <w:sz w:val="18"/>
          <w:szCs w:val="18"/>
          <w:color w:val="auto"/>
        </w:rPr>
        <w:t>On April 10, 2015, we closed an underwritten public offering, or the Secondary Offering, of 6,716,000 shares of common stock, including 876,000 shares sold pursuant to the full exercise of the underwriters’ option to purchase additional shares, at a public offering price of $6.00 per share. The gross proceeds to us from the Secondary Offering were approximately $40.3 million, before deducting underwriting discounts and commissions and offering expenses payable by us.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17"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and do not expect to generate any revenue from product sales for the next several years, if ever. In the future, we may generate revenue from a combination of product sales, license fees, milestone and research and development payments in connection with strategic partnerships, and royalties resulting from the sales of products developed under licenses of our intellectual property. We expect that any revenue we generate will fluctuate from quarter to quarter as a result of the timing and amount of any such payments. Our ability to generate product revenues will depend on the successful development and eventual commercialization of our product candidates. If we fail to complete the development of our product candidates in a timely manner or to obtain regulatory approval for our product candidates, our ability to generate future revenue and our results of operations and financial position would be materially adversely affected.</w:t>
      </w:r>
    </w:p>
    <w:p>
      <w:pPr>
        <w:spacing w:after="0" w:line="189" w:lineRule="exact"/>
        <w:rPr>
          <w:sz w:val="20"/>
          <w:szCs w:val="20"/>
          <w:color w:val="auto"/>
        </w:rPr>
      </w:pPr>
    </w:p>
    <w:p>
      <w:pPr>
        <w:ind w:right="280" w:firstLine="518"/>
        <w:spacing w:after="0" w:line="282" w:lineRule="auto"/>
        <w:rPr>
          <w:sz w:val="20"/>
          <w:szCs w:val="20"/>
          <w:color w:val="auto"/>
        </w:rPr>
      </w:pPr>
      <w:r>
        <w:rPr>
          <w:rFonts w:ascii="Times New Roman" w:cs="Times New Roman" w:eastAsia="Times New Roman" w:hAnsi="Times New Roman"/>
          <w:sz w:val="18"/>
          <w:szCs w:val="18"/>
          <w:color w:val="auto"/>
        </w:rPr>
        <w:t>To date, our only revenue has consisted of a government tax credit that we received in 2010 and payments in 2011, 2012, 2013, and 2014 from four material transfer agreements and a research agreement.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right="360" w:firstLine="518"/>
        <w:spacing w:after="0" w:line="282" w:lineRule="auto"/>
        <w:rPr>
          <w:sz w:val="20"/>
          <w:szCs w:val="20"/>
          <w:color w:val="auto"/>
        </w:rPr>
      </w:pPr>
      <w:r>
        <w:rPr>
          <w:rFonts w:ascii="Times New Roman" w:cs="Times New Roman" w:eastAsia="Times New Roman" w:hAnsi="Times New Roman"/>
          <w:sz w:val="18"/>
          <w:szCs w:val="18"/>
          <w:color w:val="auto"/>
        </w:rPr>
        <w:t>Research and development expense consists of costs incurred in connection with the discovery and development of our Dynamic Tumor Targeting Platform and our product candidates. These expenses consist primarily of:</w:t>
      </w:r>
    </w:p>
    <w:p>
      <w:pPr>
        <w:ind w:left="900" w:hanging="374"/>
        <w:spacing w:after="0" w:line="207" w:lineRule="auto"/>
        <w:tabs>
          <w:tab w:leader="none" w:pos="900" w:val="left"/>
        </w:tabs>
        <w:numPr>
          <w:ilvl w:val="0"/>
          <w:numId w:val="1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employee-related expenses, including salaries, benefits and stock-based compensation expense;</w:t>
      </w:r>
    </w:p>
    <w:p>
      <w:pPr>
        <w:spacing w:after="0" w:line="110" w:lineRule="exact"/>
        <w:rPr>
          <w:rFonts w:ascii="Times New Roman" w:cs="Times New Roman" w:eastAsia="Times New Roman" w:hAnsi="Times New Roman"/>
          <w:sz w:val="29"/>
          <w:szCs w:val="29"/>
          <w:color w:val="auto"/>
          <w:vertAlign w:val="superscript"/>
        </w:rPr>
      </w:pPr>
    </w:p>
    <w:p>
      <w:pPr>
        <w:ind w:left="900" w:right="680" w:hanging="374"/>
        <w:spacing w:after="0" w:line="191" w:lineRule="auto"/>
        <w:tabs>
          <w:tab w:leader="none" w:pos="900" w:val="left"/>
        </w:tabs>
        <w:numPr>
          <w:ilvl w:val="0"/>
          <w:numId w:val="1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expenses incurred under agreements with contract research organizations, or CROs, investigative sites that conduct our clinical trials and consultants that conduct a portion of our preclinical studies;</w:t>
      </w:r>
    </w:p>
    <w:p>
      <w:pPr>
        <w:ind w:left="900" w:hanging="374"/>
        <w:spacing w:after="0" w:line="233" w:lineRule="auto"/>
        <w:tabs>
          <w:tab w:leader="none" w:pos="900" w:val="left"/>
        </w:tabs>
        <w:numPr>
          <w:ilvl w:val="0"/>
          <w:numId w:val="1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expenses relating to scientific and medical consultants and advisors;</w:t>
      </w:r>
    </w:p>
    <w:p>
      <w:pPr>
        <w:spacing w:after="0" w:line="110" w:lineRule="exact"/>
        <w:rPr>
          <w:rFonts w:ascii="Times New Roman" w:cs="Times New Roman" w:eastAsia="Times New Roman" w:hAnsi="Times New Roman"/>
          <w:sz w:val="29"/>
          <w:szCs w:val="29"/>
          <w:color w:val="auto"/>
          <w:vertAlign w:val="superscript"/>
        </w:rPr>
      </w:pPr>
    </w:p>
    <w:p>
      <w:pPr>
        <w:ind w:left="900" w:hanging="374"/>
        <w:spacing w:after="0" w:line="186" w:lineRule="auto"/>
        <w:tabs>
          <w:tab w:leader="none" w:pos="900" w:val="left"/>
        </w:tabs>
        <w:numPr>
          <w:ilvl w:val="0"/>
          <w:numId w:val="1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cost of acquiring and manufacturing clinical trial materials;</w:t>
      </w:r>
    </w:p>
    <w:p>
      <w:pPr>
        <w:spacing w:after="0" w:line="110" w:lineRule="exact"/>
        <w:rPr>
          <w:rFonts w:ascii="Times New Roman" w:cs="Times New Roman" w:eastAsia="Times New Roman" w:hAnsi="Times New Roman"/>
          <w:sz w:val="24"/>
          <w:szCs w:val="24"/>
          <w:color w:val="auto"/>
          <w:vertAlign w:val="superscript"/>
        </w:rPr>
      </w:pPr>
    </w:p>
    <w:p>
      <w:pPr>
        <w:ind w:left="900" w:right="120" w:hanging="374"/>
        <w:spacing w:after="0" w:line="191" w:lineRule="auto"/>
        <w:tabs>
          <w:tab w:leader="none" w:pos="900" w:val="left"/>
        </w:tabs>
        <w:numPr>
          <w:ilvl w:val="0"/>
          <w:numId w:val="1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facilities, depreciation of fixed assets and other allocated expenses, including direct and allocated expenses for rent and maintenance of facilities and equipment;</w:t>
      </w:r>
    </w:p>
    <w:p>
      <w:pPr>
        <w:ind w:left="900" w:hanging="374"/>
        <w:spacing w:after="0" w:line="233" w:lineRule="auto"/>
        <w:tabs>
          <w:tab w:leader="none" w:pos="900" w:val="left"/>
        </w:tabs>
        <w:numPr>
          <w:ilvl w:val="0"/>
          <w:numId w:val="1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lab supplies, reagents, active pharmaceutical ingredients and other direct and indirect costs in support of our preclinical and clinical activities;</w:t>
      </w:r>
    </w:p>
    <w:p>
      <w:pPr>
        <w:spacing w:after="0" w:line="110" w:lineRule="exact"/>
        <w:rPr>
          <w:rFonts w:ascii="Times New Roman" w:cs="Times New Roman" w:eastAsia="Times New Roman" w:hAnsi="Times New Roman"/>
          <w:sz w:val="29"/>
          <w:szCs w:val="29"/>
          <w:color w:val="auto"/>
          <w:vertAlign w:val="superscript"/>
        </w:rPr>
      </w:pPr>
    </w:p>
    <w:p>
      <w:pPr>
        <w:ind w:left="900" w:hanging="374"/>
        <w:spacing w:after="0" w:line="186" w:lineRule="auto"/>
        <w:tabs>
          <w:tab w:leader="none" w:pos="900" w:val="left"/>
        </w:tabs>
        <w:numPr>
          <w:ilvl w:val="0"/>
          <w:numId w:val="1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license fees related to in-licensed products and technology; and</w:t>
      </w:r>
    </w:p>
    <w:p>
      <w:pPr>
        <w:spacing w:after="0" w:line="110" w:lineRule="exact"/>
        <w:rPr>
          <w:rFonts w:ascii="Times New Roman" w:cs="Times New Roman" w:eastAsia="Times New Roman" w:hAnsi="Times New Roman"/>
          <w:sz w:val="24"/>
          <w:szCs w:val="24"/>
          <w:color w:val="auto"/>
          <w:vertAlign w:val="superscript"/>
        </w:rPr>
      </w:pPr>
    </w:p>
    <w:p>
      <w:pPr>
        <w:ind w:left="900" w:hanging="374"/>
        <w:spacing w:after="0" w:line="186" w:lineRule="auto"/>
        <w:tabs>
          <w:tab w:leader="none" w:pos="900" w:val="left"/>
        </w:tabs>
        <w:numPr>
          <w:ilvl w:val="0"/>
          <w:numId w:val="11"/>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costs associated with non-clinical activities and regulatory approvals.</w:t>
      </w:r>
    </w:p>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expense research and development costs as incurred.</w:t>
      </w:r>
    </w:p>
    <w:p>
      <w:pPr>
        <w:spacing w:after="0" w:line="225"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Conducting a significant amount of research and development is central to our business model. Product candidates in late stages of clinical development generally have higher development costs than those in earlier stages of clinical development primarily due to the increased size and duration of late-stage clinical trials. We plan to increase our research and development expenses for the foreseeable future as we continue to support multiple clinical trials of CRLX101 and CRLX301, and advance our earlier-stage research and development projects.</w:t>
      </w:r>
    </w:p>
    <w:p>
      <w:pPr>
        <w:spacing w:after="0" w:line="180" w:lineRule="exact"/>
        <w:rPr>
          <w:sz w:val="20"/>
          <w:szCs w:val="20"/>
          <w:color w:val="auto"/>
        </w:rPr>
      </w:pPr>
    </w:p>
    <w:p>
      <w:pPr>
        <w:ind w:right="160" w:firstLine="518"/>
        <w:spacing w:after="0" w:line="254" w:lineRule="auto"/>
        <w:rPr>
          <w:sz w:val="20"/>
          <w:szCs w:val="20"/>
          <w:color w:val="auto"/>
        </w:rPr>
      </w:pPr>
      <w:r>
        <w:rPr>
          <w:rFonts w:ascii="Times New Roman" w:cs="Times New Roman" w:eastAsia="Times New Roman" w:hAnsi="Times New Roman"/>
          <w:sz w:val="18"/>
          <w:szCs w:val="18"/>
          <w:color w:val="auto"/>
        </w:rPr>
        <w:t>We use our employee and infrastructure resources across multiple research and development programs. We track external research and development expenses and personnel expense on a program-by-program basis and have allocated expenses such as stock-based compensation and indirect laboratory supplies and services to each program based on the personnel resources allocated to each program. Facilities, depreciation and scientific advisory board fees and expenses are not allocated to a program and are considered overhead. Below is a summary of our research and development expenses for the three months ended March 31, 2015 and 2014 (in thousands):</w:t>
      </w:r>
    </w:p>
    <w:tbl>
      <w:tblPr>
        <w:tblLayout w:type="fixed"/>
        <w:tblInd w:w="0" w:type="dxa"/>
        <w:tblCellMar>
          <w:top w:w="0" w:type="dxa"/>
          <w:left w:w="0" w:type="dxa"/>
          <w:bottom w:w="0" w:type="dxa"/>
          <w:right w:w="0" w:type="dxa"/>
        </w:tblCellMar>
      </w:tblPr>
      <w:tr>
        <w:trPr>
          <w:trHeight w:val="141"/>
        </w:trPr>
        <w:tc>
          <w:tcPr>
            <w:tcW w:w="42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60" w:type="dxa"/>
            <w:vAlign w:val="bottom"/>
            <w:gridSpan w:val="3"/>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28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280" w:type="dxa"/>
            <w:vAlign w:val="bottom"/>
            <w:tcBorders>
              <w:bottom w:val="single" w:sz="8" w:color="CFF0FC"/>
            </w:tcBorders>
          </w:tcPr>
          <w:p>
            <w:pPr>
              <w:spacing w:after="0"/>
              <w:rPr>
                <w:sz w:val="13"/>
                <w:szCs w:val="13"/>
                <w:color w:val="auto"/>
              </w:rPr>
            </w:pPr>
          </w:p>
        </w:tc>
        <w:tc>
          <w:tcPr>
            <w:tcW w:w="346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58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33"/>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CRLX101</w:t>
            </w:r>
          </w:p>
        </w:tc>
        <w:tc>
          <w:tcPr>
            <w:tcW w:w="34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3,342</w:t>
            </w: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47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CRLX301</w:t>
            </w:r>
          </w:p>
        </w:tc>
        <w:tc>
          <w:tcPr>
            <w:tcW w:w="3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Dynamic Tumor Targeting platform</w:t>
            </w:r>
          </w:p>
        </w:tc>
        <w:tc>
          <w:tcPr>
            <w:tcW w:w="34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Overhead</w:t>
            </w:r>
          </w:p>
        </w:tc>
        <w:tc>
          <w:tcPr>
            <w:tcW w:w="346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4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346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5,021</w:t>
            </w:r>
          </w:p>
        </w:tc>
        <w:tc>
          <w:tcPr>
            <w:tcW w:w="24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7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460" w:type="dxa"/>
            <w:vAlign w:val="bottom"/>
            <w:vMerge w:val="restart"/>
          </w:tcPr>
          <w:p>
            <w:pPr>
              <w:jc w:val="right"/>
              <w:ind w:right="1850"/>
              <w:spacing w:after="0"/>
              <w:rPr>
                <w:sz w:val="20"/>
                <w:szCs w:val="20"/>
                <w:color w:val="auto"/>
              </w:rPr>
            </w:pPr>
            <w:r>
              <w:rPr>
                <w:rFonts w:ascii="Times New Roman" w:cs="Times New Roman" w:eastAsia="Times New Roman" w:hAnsi="Times New Roman"/>
                <w:sz w:val="18"/>
                <w:szCs w:val="18"/>
                <w:color w:val="auto"/>
              </w:rPr>
              <w:t>11</w:t>
            </w: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28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1" w:right="239" w:bottom="1440" w:gutter="0" w:footer="0" w:header="0"/>
        </w:sectPr>
      </w:pPr>
    </w:p>
    <w:bookmarkStart w:id="13" w:name="page14"/>
    <w:bookmarkEnd w:id="13"/>
    <w:p>
      <w:pPr>
        <w:ind w:left="520"/>
        <w:spacing w:after="0"/>
        <w:rPr>
          <w:sz w:val="20"/>
          <w:szCs w:val="20"/>
          <w:color w:val="auto"/>
        </w:rPr>
      </w:pPr>
      <w:r>
        <w:rPr>
          <w:rFonts w:ascii="Times New Roman" w:cs="Times New Roman" w:eastAsia="Times New Roman" w:hAnsi="Times New Roman"/>
          <w:sz w:val="18"/>
          <w:szCs w:val="18"/>
          <w:color w:val="auto"/>
        </w:rPr>
        <w:t>The following summarizes our research and development programs.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CRLX101</w:t>
      </w:r>
    </w:p>
    <w:p>
      <w:pPr>
        <w:spacing w:after="0" w:line="227" w:lineRule="exact"/>
        <w:rPr>
          <w:sz w:val="20"/>
          <w:szCs w:val="20"/>
          <w:color w:val="auto"/>
        </w:rPr>
      </w:pPr>
    </w:p>
    <w:p>
      <w:pPr>
        <w:ind w:right="200" w:firstLine="518"/>
        <w:spacing w:after="0" w:line="266" w:lineRule="auto"/>
        <w:rPr>
          <w:sz w:val="20"/>
          <w:szCs w:val="20"/>
          <w:color w:val="auto"/>
        </w:rPr>
      </w:pPr>
      <w:r>
        <w:rPr>
          <w:rFonts w:ascii="Times New Roman" w:cs="Times New Roman" w:eastAsia="Times New Roman" w:hAnsi="Times New Roman"/>
          <w:sz w:val="18"/>
          <w:szCs w:val="18"/>
          <w:color w:val="auto"/>
        </w:rPr>
        <w:t>Our lead product candidate, CRLX101, is an NDC in Phase 2 clinical development. We are pursuing development of CRLX101 in combination with anti-cancer therapies in multiple ongoing clinical development programs that include company-sponsored trials and investigator-sponsored trials, or ISTs. These trials consist of:</w:t>
      </w:r>
    </w:p>
    <w:p>
      <w:pPr>
        <w:spacing w:after="0" w:line="66" w:lineRule="exact"/>
        <w:rPr>
          <w:sz w:val="20"/>
          <w:szCs w:val="20"/>
          <w:color w:val="auto"/>
        </w:rPr>
      </w:pPr>
    </w:p>
    <w:p>
      <w:pPr>
        <w:ind w:left="900" w:hanging="374"/>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Relapsed renal cell carcinoma:</w:t>
      </w:r>
    </w:p>
    <w:p>
      <w:pPr>
        <w:spacing w:after="0" w:line="227" w:lineRule="exact"/>
        <w:rPr>
          <w:rFonts w:ascii="Times New Roman" w:cs="Times New Roman" w:eastAsia="Times New Roman" w:hAnsi="Times New Roman"/>
          <w:sz w:val="18"/>
          <w:szCs w:val="18"/>
          <w:color w:val="auto"/>
        </w:rPr>
      </w:pPr>
    </w:p>
    <w:p>
      <w:pPr>
        <w:ind w:left="1260" w:right="160" w:hanging="354"/>
        <w:spacing w:after="0" w:line="257" w:lineRule="auto"/>
        <w:tabs>
          <w:tab w:leader="none" w:pos="1260" w:val="left"/>
        </w:tabs>
        <w:numPr>
          <w:ilvl w:val="1"/>
          <w:numId w:val="12"/>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A Phase 2 randomized, controlled, company-sponsored trial is being conducted comparing CRLX101 administered in combination with Avastin to investigator’s choice of standard of care in patients with RCC who have received two or three prior lines of therapy. We refer to this clinical trial as the RCC Trial.</w:t>
      </w:r>
    </w:p>
    <w:p>
      <w:pPr>
        <w:spacing w:after="0" w:line="183" w:lineRule="exact"/>
        <w:rPr>
          <w:rFonts w:ascii="Courier New" w:cs="Courier New" w:eastAsia="Courier New" w:hAnsi="Courier New"/>
          <w:sz w:val="18"/>
          <w:szCs w:val="18"/>
          <w:color w:val="auto"/>
        </w:rPr>
      </w:pPr>
    </w:p>
    <w:p>
      <w:pPr>
        <w:ind w:left="1260" w:hanging="354"/>
        <w:spacing w:after="0"/>
        <w:tabs>
          <w:tab w:leader="none" w:pos="1260" w:val="left"/>
        </w:tabs>
        <w:numPr>
          <w:ilvl w:val="1"/>
          <w:numId w:val="12"/>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A Phase 1b/2 single-arm IST of CRLX101 in combination with Avastin.</w:t>
      </w:r>
    </w:p>
    <w:p>
      <w:pPr>
        <w:spacing w:after="0" w:line="208" w:lineRule="exact"/>
        <w:rPr>
          <w:rFonts w:ascii="Courier New" w:cs="Courier New" w:eastAsia="Courier New" w:hAnsi="Courier New"/>
          <w:sz w:val="18"/>
          <w:szCs w:val="18"/>
          <w:color w:val="auto"/>
        </w:rPr>
      </w:pPr>
    </w:p>
    <w:p>
      <w:pPr>
        <w:ind w:left="900" w:hanging="374"/>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Relapsed ovarian cancer:</w:t>
      </w:r>
    </w:p>
    <w:p>
      <w:pPr>
        <w:spacing w:after="0" w:line="227" w:lineRule="exact"/>
        <w:rPr>
          <w:rFonts w:ascii="Times New Roman" w:cs="Times New Roman" w:eastAsia="Times New Roman" w:hAnsi="Times New Roman"/>
          <w:sz w:val="18"/>
          <w:szCs w:val="18"/>
          <w:color w:val="auto"/>
        </w:rPr>
      </w:pPr>
    </w:p>
    <w:p>
      <w:pPr>
        <w:ind w:left="1260" w:right="520" w:hanging="354"/>
        <w:spacing w:after="0" w:line="264" w:lineRule="auto"/>
        <w:tabs>
          <w:tab w:leader="none" w:pos="1260" w:val="left"/>
        </w:tabs>
        <w:numPr>
          <w:ilvl w:val="1"/>
          <w:numId w:val="12"/>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A Phase 1b single-arm company-sponsored trial of CRLX101 in combination with weekly paclitaxel in patients with relapsed ovarian cancer conducted in collaboration with the GOG Foundation, Inc.</w:t>
      </w:r>
    </w:p>
    <w:p>
      <w:pPr>
        <w:spacing w:after="0" w:line="176" w:lineRule="exact"/>
        <w:rPr>
          <w:rFonts w:ascii="Courier New" w:cs="Courier New" w:eastAsia="Courier New" w:hAnsi="Courier New"/>
          <w:sz w:val="18"/>
          <w:szCs w:val="18"/>
          <w:color w:val="auto"/>
        </w:rPr>
      </w:pPr>
    </w:p>
    <w:p>
      <w:pPr>
        <w:ind w:left="1260" w:hanging="354"/>
        <w:spacing w:after="0"/>
        <w:tabs>
          <w:tab w:leader="none" w:pos="1260" w:val="left"/>
        </w:tabs>
        <w:numPr>
          <w:ilvl w:val="1"/>
          <w:numId w:val="12"/>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A Phase 2 single-arm IST of CRLX101 as monotherapy and in combination with Avastin in patients with relapsed ovarian cancer.</w:t>
      </w:r>
    </w:p>
    <w:p>
      <w:pPr>
        <w:spacing w:after="0" w:line="208" w:lineRule="exact"/>
        <w:rPr>
          <w:rFonts w:ascii="Courier New" w:cs="Courier New" w:eastAsia="Courier New" w:hAnsi="Courier New"/>
          <w:sz w:val="18"/>
          <w:szCs w:val="18"/>
          <w:color w:val="auto"/>
        </w:rPr>
      </w:pPr>
    </w:p>
    <w:p>
      <w:pPr>
        <w:ind w:left="900" w:hanging="374"/>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Neoadjuvant rectal cancer:</w:t>
      </w:r>
    </w:p>
    <w:p>
      <w:pPr>
        <w:spacing w:after="0" w:line="227" w:lineRule="exact"/>
        <w:rPr>
          <w:rFonts w:ascii="Times New Roman" w:cs="Times New Roman" w:eastAsia="Times New Roman" w:hAnsi="Times New Roman"/>
          <w:sz w:val="18"/>
          <w:szCs w:val="18"/>
          <w:color w:val="auto"/>
        </w:rPr>
      </w:pPr>
    </w:p>
    <w:p>
      <w:pPr>
        <w:ind w:left="1260" w:hanging="354"/>
        <w:spacing w:after="0"/>
        <w:tabs>
          <w:tab w:leader="none" w:pos="1260" w:val="left"/>
        </w:tabs>
        <w:numPr>
          <w:ilvl w:val="1"/>
          <w:numId w:val="12"/>
        </w:numPr>
        <w:rPr>
          <w:rFonts w:ascii="Courier New" w:cs="Courier New" w:eastAsia="Courier New" w:hAnsi="Courier New"/>
          <w:sz w:val="18"/>
          <w:szCs w:val="18"/>
          <w:color w:val="auto"/>
        </w:rPr>
      </w:pPr>
      <w:r>
        <w:rPr>
          <w:rFonts w:ascii="Times New Roman" w:cs="Times New Roman" w:eastAsia="Times New Roman" w:hAnsi="Times New Roman"/>
          <w:sz w:val="18"/>
          <w:szCs w:val="18"/>
          <w:color w:val="auto"/>
        </w:rPr>
        <w:t>A Phase 1b/2 single-arm IST of CRLX101 in combination with chemoradiotherapy in patients with non-metastatic rectal cancer.</w:t>
      </w:r>
    </w:p>
    <w:p>
      <w:pPr>
        <w:spacing w:after="0" w:line="318" w:lineRule="exact"/>
        <w:rPr>
          <w:sz w:val="20"/>
          <w:szCs w:val="20"/>
          <w:color w:val="auto"/>
        </w:rPr>
      </w:pPr>
    </w:p>
    <w:p>
      <w:pPr>
        <w:jc w:val="both"/>
        <w:ind w:right="40" w:firstLine="518"/>
        <w:spacing w:after="0" w:line="266" w:lineRule="auto"/>
        <w:rPr>
          <w:sz w:val="20"/>
          <w:szCs w:val="20"/>
          <w:color w:val="auto"/>
        </w:rPr>
      </w:pPr>
      <w:r>
        <w:rPr>
          <w:rFonts w:ascii="Times New Roman" w:cs="Times New Roman" w:eastAsia="Times New Roman" w:hAnsi="Times New Roman"/>
          <w:sz w:val="18"/>
          <w:szCs w:val="18"/>
          <w:color w:val="auto"/>
        </w:rPr>
        <w:t>We cannot accurately project future research and development expenses for our CRLX101 program because such expenses are dependent on a number of variables, including, among others, the cost and design of any additional clinical trials, the duration of the regulatory process and the results of any clinical trials.</w:t>
      </w:r>
    </w:p>
    <w:p>
      <w:pPr>
        <w:spacing w:after="0" w:line="176"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Under our license agreement with Calando Pharmaceuticals, Inc., or Calando, pursuant to which we obtained rights to CRLX101, or the CRLX101 Agreement, we are obligated to pay milestone payments which could total, in the aggregate, $32.8 million, if we achieve certain development and sales events with CRLX101. In addition, under the CRLX101 Agreement, if we, or one of our affiliates, sell CRLX101 we are required to pay tiered royalty payments ranging from low- to mid-single digits, as a percentage of worldwide net sales, depending on whether there is patent protection for CRLX101 at the time of the sale. In the event we license or sublicense the intellectual property that we purchased or licensed from Calando, we are required to pay Calando a percentage of the income we receive from the licensee or sublicensee to the extent attributable to such license or sublicense, subject to certain exceptions. The percentage of such license income that we are obligated to pay Calando ranges from the low- to mid-double digits depending on the development stage of CRLX101 at the time we first provide or receive draft terms of a license arrangement with the third party that results in a license agreement.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CRLX301</w:t>
      </w:r>
    </w:p>
    <w:p>
      <w:pPr>
        <w:spacing w:after="0" w:line="227" w:lineRule="exact"/>
        <w:rPr>
          <w:sz w:val="20"/>
          <w:szCs w:val="20"/>
          <w:color w:val="auto"/>
        </w:rPr>
      </w:pPr>
    </w:p>
    <w:p>
      <w:pPr>
        <w:jc w:val="both"/>
        <w:ind w:right="80" w:firstLine="518"/>
        <w:spacing w:after="0" w:line="266" w:lineRule="auto"/>
        <w:rPr>
          <w:sz w:val="20"/>
          <w:szCs w:val="20"/>
          <w:color w:val="auto"/>
        </w:rPr>
      </w:pPr>
      <w:r>
        <w:rPr>
          <w:rFonts w:ascii="Times New Roman" w:cs="Times New Roman" w:eastAsia="Times New Roman" w:hAnsi="Times New Roman"/>
          <w:sz w:val="18"/>
          <w:szCs w:val="18"/>
          <w:color w:val="auto"/>
        </w:rPr>
        <w:t>CRLX301 is currently in early stage clinical development, with a Phase 1 trial ongoing. Assuming we are successful in establishing a safe maximum tolerated dose, or MTD, and/or a recommended Phase 2 dose in the Phase 1 trial, we plan to rapidly advance CRLX301 into Phase 2 development in selected solid tumors.</w:t>
      </w:r>
    </w:p>
    <w:p>
      <w:pPr>
        <w:spacing w:after="0" w:line="176" w:lineRule="exact"/>
        <w:rPr>
          <w:sz w:val="20"/>
          <w:szCs w:val="20"/>
          <w:color w:val="auto"/>
        </w:rPr>
      </w:pPr>
    </w:p>
    <w:p>
      <w:pPr>
        <w:ind w:right="160" w:firstLine="518"/>
        <w:spacing w:after="0" w:line="254" w:lineRule="auto"/>
        <w:rPr>
          <w:sz w:val="20"/>
          <w:szCs w:val="20"/>
          <w:color w:val="auto"/>
        </w:rPr>
      </w:pPr>
      <w:r>
        <w:rPr>
          <w:rFonts w:ascii="Times New Roman" w:cs="Times New Roman" w:eastAsia="Times New Roman" w:hAnsi="Times New Roman"/>
          <w:sz w:val="18"/>
          <w:szCs w:val="18"/>
          <w:color w:val="auto"/>
        </w:rPr>
        <w:t>Under our license agreement with Calando pursuant to which we obtained rights to Calando’s cyclodextrin system for purposes of conjugating or complexing certain other therapeutic agents to the system, or the Platform Agreement, we paid a $250,000 clinical development milestone to Calando in January 2015 in connection with the initiation of our Phase 1 clinical trial of CRLX301 in December 2014. We may also be required to make milestone payments in an aggregate amount of up to $18.0 million to Calando if we achieve certain development and sales events with respect to any cyclodextrin-based, or CDP-based, product. Further, under the Platform Agreement, if we, or one of our affiliates, sell CRLX301, or any CDP-based product, we are required to pay tiered royalty payments ranging from low- to mid-single digits, as a percentage of worldwide net sales, depending on whether there is patent protection at the time of the sale. In the event we license or sublicense the intellectual property that we purchased or licensed from Calando, we are required to pay Calando a percentage of the income we receive from the licensee or sublicensee to the extent attributable to such license or sublicense, subject to certain exceptions. The percentage of such license income that we are obligated to pay Calando is in the low-double digits.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337"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color w:val="auto"/>
        </w:rPr>
        <w:t>Nanoparticle-Drug Conjugates</w:t>
      </w:r>
    </w:p>
    <w:p>
      <w:pPr>
        <w:spacing w:after="0" w:line="227" w:lineRule="exact"/>
        <w:rPr>
          <w:sz w:val="20"/>
          <w:szCs w:val="20"/>
          <w:color w:val="auto"/>
        </w:rPr>
      </w:pPr>
    </w:p>
    <w:p>
      <w:pPr>
        <w:jc w:val="both"/>
        <w:ind w:right="260" w:firstLine="518"/>
        <w:spacing w:after="0" w:line="266" w:lineRule="auto"/>
        <w:rPr>
          <w:sz w:val="20"/>
          <w:szCs w:val="20"/>
          <w:color w:val="auto"/>
        </w:rPr>
      </w:pPr>
      <w:r>
        <w:rPr>
          <w:rFonts w:ascii="Times New Roman" w:cs="Times New Roman" w:eastAsia="Times New Roman" w:hAnsi="Times New Roman"/>
          <w:sz w:val="18"/>
          <w:szCs w:val="18"/>
          <w:color w:val="auto"/>
        </w:rPr>
        <w:t>We expect that the expenses related to our NDC’s will continue to increase as we seek to identify additional targets for preclinical research and add personnel to these projects. We cannot accurately predict future research and development expenses for our NDC’s because such costs are dependent on a number of variables, including the success of preclinical studies on any such NDC.</w:t>
      </w:r>
    </w:p>
    <w:p>
      <w:pPr>
        <w:spacing w:after="0" w:line="176"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The successful development of any of our product candidates is highly uncertain. As such, at this time, we cannot reasonably predict with certainty the duration and costs of the current or future clinical trials of any of our product candidates or if, when or to what extent we will generate revenues from any commercialization and sale of any of our product candidates that obtain marketing approval. We may never succeed in achieving regulatory approval for any of our product candidates. The duration, costs and timing of development of our product candidates will depend on a variety of factors, including:</w:t>
      </w:r>
    </w:p>
    <w:p>
      <w:pPr>
        <w:spacing w:after="0" w:line="72" w:lineRule="exact"/>
        <w:rPr>
          <w:sz w:val="20"/>
          <w:szCs w:val="20"/>
          <w:color w:val="auto"/>
        </w:rPr>
      </w:pPr>
    </w:p>
    <w:p>
      <w:pPr>
        <w:ind w:left="900" w:hanging="374"/>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rate of progress of our ongoing clinical trials;</w:t>
      </w:r>
    </w:p>
    <w:p>
      <w:pPr>
        <w:spacing w:after="0" w:line="117" w:lineRule="exact"/>
        <w:rPr>
          <w:rFonts w:ascii="Times New Roman" w:cs="Times New Roman" w:eastAsia="Times New Roman" w:hAnsi="Times New Roman"/>
          <w:sz w:val="18"/>
          <w:szCs w:val="18"/>
          <w:color w:val="auto"/>
        </w:rPr>
      </w:pPr>
    </w:p>
    <w:p>
      <w:pPr>
        <w:ind w:left="900" w:hanging="374"/>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of any product candidate once approved;</w:t>
      </w:r>
    </w:p>
    <w:p>
      <w:pPr>
        <w:spacing w:after="0" w:line="117" w:lineRule="exact"/>
        <w:rPr>
          <w:rFonts w:ascii="Times New Roman" w:cs="Times New Roman" w:eastAsia="Times New Roman" w:hAnsi="Times New Roman"/>
          <w:sz w:val="18"/>
          <w:szCs w:val="18"/>
          <w:color w:val="auto"/>
        </w:rPr>
      </w:pPr>
    </w:p>
    <w:p>
      <w:pPr>
        <w:ind w:left="900" w:hanging="374"/>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timing, results and costs of researching and developing our product candidates and conducting preclinical and clinical trials;</w:t>
      </w:r>
    </w:p>
    <w:p>
      <w:pPr>
        <w:spacing w:after="0" w:line="117" w:lineRule="exact"/>
        <w:rPr>
          <w:rFonts w:ascii="Times New Roman" w:cs="Times New Roman" w:eastAsia="Times New Roman" w:hAnsi="Times New Roman"/>
          <w:sz w:val="18"/>
          <w:szCs w:val="18"/>
          <w:color w:val="auto"/>
        </w:rPr>
      </w:pPr>
    </w:p>
    <w:p>
      <w:pPr>
        <w:ind w:left="900" w:hanging="374"/>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ongoing as well as any future clinical trials;</w:t>
      </w:r>
    </w:p>
    <w:p>
      <w:pPr>
        <w:spacing w:after="0" w:line="117" w:lineRule="exact"/>
        <w:rPr>
          <w:rFonts w:ascii="Times New Roman" w:cs="Times New Roman" w:eastAsia="Times New Roman" w:hAnsi="Times New Roman"/>
          <w:sz w:val="18"/>
          <w:szCs w:val="18"/>
          <w:color w:val="auto"/>
        </w:rPr>
      </w:pPr>
    </w:p>
    <w:p>
      <w:pPr>
        <w:ind w:left="900" w:hanging="374"/>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 in the United States and abroad;</w:t>
      </w:r>
    </w:p>
    <w:p>
      <w:pPr>
        <w:spacing w:after="0" w:line="117" w:lineRule="exact"/>
        <w:rPr>
          <w:rFonts w:ascii="Times New Roman" w:cs="Times New Roman" w:eastAsia="Times New Roman" w:hAnsi="Times New Roman"/>
          <w:sz w:val="18"/>
          <w:szCs w:val="18"/>
          <w:color w:val="auto"/>
        </w:rPr>
      </w:pPr>
    </w:p>
    <w:p>
      <w:pPr>
        <w:ind w:left="900" w:hanging="374"/>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or approval of our product candidates in the United States and abroad;</w:t>
      </w:r>
    </w:p>
    <w:p>
      <w:pPr>
        <w:spacing w:after="0" w:line="117" w:lineRule="exact"/>
        <w:rPr>
          <w:rFonts w:ascii="Times New Roman" w:cs="Times New Roman" w:eastAsia="Times New Roman" w:hAnsi="Times New Roman"/>
          <w:sz w:val="18"/>
          <w:szCs w:val="18"/>
          <w:color w:val="auto"/>
        </w:rPr>
      </w:pPr>
    </w:p>
    <w:p>
      <w:pPr>
        <w:ind w:left="900" w:hanging="374"/>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partnerships, licensing or other arrangements and the financial terms of such agreements;</w:t>
      </w:r>
    </w:p>
    <w:p>
      <w:pPr>
        <w:spacing w:after="0" w:line="117" w:lineRule="exact"/>
        <w:rPr>
          <w:rFonts w:ascii="Times New Roman" w:cs="Times New Roman" w:eastAsia="Times New Roman" w:hAnsi="Times New Roman"/>
          <w:sz w:val="18"/>
          <w:szCs w:val="18"/>
          <w:color w:val="auto"/>
        </w:rPr>
      </w:pPr>
    </w:p>
    <w:p>
      <w:pPr>
        <w:ind w:left="900" w:hanging="374"/>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arrangements with third party suppliers of raw materials and third party manufacturers of finished drug product;</w:t>
      </w:r>
    </w:p>
    <w:p>
      <w:pPr>
        <w:spacing w:after="0" w:line="117" w:lineRule="exact"/>
        <w:rPr>
          <w:rFonts w:ascii="Times New Roman" w:cs="Times New Roman" w:eastAsia="Times New Roman" w:hAnsi="Times New Roman"/>
          <w:sz w:val="18"/>
          <w:szCs w:val="18"/>
          <w:color w:val="auto"/>
        </w:rPr>
      </w:pPr>
    </w:p>
    <w:p>
      <w:pPr>
        <w:ind w:left="900" w:right="280" w:hanging="374"/>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market, commercialize and achieve market acceptance for any of our product candidates that we are developing or may develop in the future;</w:t>
      </w:r>
    </w:p>
    <w:p>
      <w:pPr>
        <w:spacing w:after="0" w:line="53" w:lineRule="exact"/>
        <w:rPr>
          <w:rFonts w:ascii="Times New Roman" w:cs="Times New Roman" w:eastAsia="Times New Roman" w:hAnsi="Times New Roman"/>
          <w:sz w:val="18"/>
          <w:szCs w:val="18"/>
          <w:color w:val="auto"/>
        </w:rPr>
      </w:pPr>
    </w:p>
    <w:p>
      <w:pPr>
        <w:ind w:left="900" w:hanging="374"/>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technologies and products and other adverse market developments; and</w:t>
      </w:r>
    </w:p>
    <w:p>
      <w:pPr>
        <w:spacing w:after="0" w:line="117" w:lineRule="exact"/>
        <w:rPr>
          <w:rFonts w:ascii="Times New Roman" w:cs="Times New Roman" w:eastAsia="Times New Roman" w:hAnsi="Times New Roman"/>
          <w:sz w:val="18"/>
          <w:szCs w:val="18"/>
          <w:color w:val="auto"/>
        </w:rPr>
      </w:pPr>
    </w:p>
    <w:p>
      <w:pPr>
        <w:ind w:left="900" w:hanging="374"/>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preparing, filing and prosecuting patent applications and maintaining, enforcing and defending intellectual property-related claims.</w:t>
      </w:r>
    </w:p>
    <w:p>
      <w:pPr>
        <w:spacing w:after="0" w:line="225"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Any change in the outcome of any of these variables with respect to the development of a product candidate could mean a significant change in the cost and timing associated with the development of that product candidate. For example, if the FDA, or a comparable non-U.S. regulatory authority were to require us to conduct clinical trials beyond those that we currently anticipate will be required for the marketing authorization of a product candidate, or if we experience significant delays in enrollment in any of our clinical trials, we could be required to expend significant additional financial resources and time to obtain marketing authorization.</w:t>
      </w:r>
    </w:p>
    <w:p>
      <w:pPr>
        <w:spacing w:after="0" w:line="184"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As a result of the uncertainties discussed above, we are unable to determine when, or to what extent, we will generate revenues from the commercialization and sale of any of our product candidates. We anticipate that we will make determinations as to which additional programs to pursue and how much funding to direct to each program on an ongoing basis in response to the scientific and clinical data with respect to each product candidate, as well as our ongoing assessment of the product candidate’s commercial potential. We will need to raise additional capital in the future in order to complete the development and commercialization of CRLX101 and CRLX301 and to fund the development of our other product candidates, if any.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right="280" w:firstLine="51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principally of salaries and related costs for personnel in our executive, finance, business development, marketing, legal and human resources functions. Other general and administrative expenses include patent filing, patent prosecution, professional fees for legal, insurance, consulting, information technology, auditing and tax services and facility costs not otherwise included in research and development expenses.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for, among others, the following reasons:</w:t>
      </w:r>
    </w:p>
    <w:p>
      <w:pPr>
        <w:spacing w:after="0" w:line="117" w:lineRule="exact"/>
        <w:rPr>
          <w:sz w:val="20"/>
          <w:szCs w:val="20"/>
          <w:color w:val="auto"/>
        </w:rPr>
      </w:pPr>
    </w:p>
    <w:p>
      <w:pPr>
        <w:ind w:left="900" w:right="60" w:hanging="374"/>
        <w:spacing w:after="0" w:line="282"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incur increased general and administrative expenses to support our research and development activities, which we expect to expand as we continue to pursue the development of our product candidates;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380"/>
          </w:cols>
          <w:pgMar w:left="240" w:top="335" w:right="279" w:bottom="1440" w:gutter="0" w:footer="0" w:header="0"/>
        </w:sectPr>
      </w:pPr>
    </w:p>
    <w:bookmarkStart w:id="15" w:name="page16"/>
    <w:bookmarkEnd w:id="15"/>
    <w:p>
      <w:pPr>
        <w:ind w:left="900" w:right="380" w:hanging="374"/>
        <w:spacing w:after="0" w:line="266"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our general and administrative expenses will continue to increase as a result of increased payroll, expanded infrastructure, higher consulting, legal, accounting and investor relations costs, director compensation and director and officer insurance premiums associated with being a public company; and</w:t>
      </w:r>
    </w:p>
    <w:p>
      <w:pPr>
        <w:spacing w:after="0" w:line="68" w:lineRule="exact"/>
        <w:rPr>
          <w:rFonts w:ascii="Times New Roman" w:cs="Times New Roman" w:eastAsia="Times New Roman" w:hAnsi="Times New Roman"/>
          <w:sz w:val="18"/>
          <w:szCs w:val="18"/>
          <w:color w:val="auto"/>
        </w:rPr>
      </w:pPr>
    </w:p>
    <w:p>
      <w:pPr>
        <w:ind w:left="900" w:right="140" w:hanging="374"/>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begin to incur expenses related to sales and marketing of our product candidates in anticipation of commercial launch before we receive regulatory approval of a product candidate.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income consists of interest earned on our cash and cash equivalents. The primary objective of our investment policy is capital preservation.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Interest expense consists primarily of interest, amortization of debt discount and amortization of deferred financing costs associated with the Hercules Loan Agreement and the write off of debt discount and deferred financing costs associated with the repayment of the debt incurred under the Lighthouse Loan Agreement in 2015 and interest, amortization of debt discount and amortization of deferred financing costs associated with the Lighthouse Loan Agreement and interest expense on our convertible notes in 2014.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March 31, 2015 and 2014 (Unaudited)</w:t>
      </w:r>
    </w:p>
    <w:p>
      <w:pPr>
        <w:spacing w:after="0" w:line="229" w:lineRule="exact"/>
        <w:rPr>
          <w:sz w:val="20"/>
          <w:szCs w:val="20"/>
          <w:color w:val="auto"/>
        </w:rPr>
      </w:pPr>
    </w:p>
    <w:p>
      <w:pPr>
        <w:ind w:right="20" w:firstLine="51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consolidated results of operations for the three months ended March 31, 2015 and 2014, together with the changes in those items in dollars and as a percentage (in thousands, except percentages):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8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1460" w:type="dxa"/>
            <w:vAlign w:val="bottom"/>
            <w:gridSpan w:val="3"/>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vMerge w:val="continue"/>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0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56"/>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3"/>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Dollar</w:t>
            </w:r>
          </w:p>
        </w:tc>
        <w:tc>
          <w:tcPr>
            <w:tcW w:w="860" w:type="dxa"/>
            <w:vAlign w:val="bottom"/>
          </w:tcPr>
          <w:p>
            <w:pPr>
              <w:jc w:val="right"/>
              <w:ind w:right="453"/>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8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3,526</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3"/>
        </w:trPr>
        <w:tc>
          <w:tcPr>
            <w:tcW w:w="4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8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(4,744)</w:t>
            </w:r>
          </w:p>
        </w:tc>
        <w:tc>
          <w:tcPr>
            <w:tcW w:w="2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(770)</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8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6"/>
          <w:szCs w:val="16"/>
          <w:color w:val="auto"/>
        </w:rPr>
        <w:t>* Not meaningful</w:t>
      </w:r>
    </w:p>
    <w:p>
      <w:pPr>
        <w:spacing w:after="0" w:line="200" w:lineRule="exact"/>
        <w:rPr>
          <w:sz w:val="20"/>
          <w:szCs w:val="20"/>
          <w:color w:val="auto"/>
        </w:rPr>
      </w:pPr>
    </w:p>
    <w:p>
      <w:pPr>
        <w:spacing w:after="0" w:line="269" w:lineRule="exact"/>
        <w:rPr>
          <w:sz w:val="20"/>
          <w:szCs w:val="20"/>
          <w:color w:val="auto"/>
        </w:rPr>
      </w:pPr>
    </w:p>
    <w:p>
      <w:pPr>
        <w:ind w:right="420"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There was no revenue recorded for the three months ended March 31, 2015. For the three months ended March 31, 2014, revenue was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$47,000 from two material transfer agreements which concluded in 2014. Pursuant to the agreements, we received payments in exchange for providing research services utilizing our proprietary technology for research purposes.</w:t>
      </w:r>
    </w:p>
    <w:p>
      <w:pPr>
        <w:spacing w:after="0" w:line="171" w:lineRule="exact"/>
        <w:rPr>
          <w:sz w:val="20"/>
          <w:szCs w:val="20"/>
          <w:color w:val="auto"/>
        </w:rPr>
      </w:pPr>
    </w:p>
    <w:p>
      <w:pPr>
        <w:ind w:right="100" w:firstLine="5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w:t>
      </w:r>
      <w:r>
        <w:rPr>
          <w:rFonts w:ascii="Times New Roman" w:cs="Times New Roman" w:eastAsia="Times New Roman" w:hAnsi="Times New Roman"/>
          <w:sz w:val="18"/>
          <w:szCs w:val="18"/>
          <w:color w:val="auto"/>
        </w:rPr>
        <w:t>Research and development expense for the three months ended March 31, 2015 was $5.0 million compared to $1.5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for the three months ended March 31, 2014, an increase of $3.5 million. The increase is primarily attributable to an increase in costs associated with the CRLX101 program. The following table summarizes our research and development expense by program for the three months ended March 31, 2015 and 2014, together with the change in spending by program in dollars and as a percentage (in thousands, except percentages):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1"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100" w:type="dxa"/>
            <w:vAlign w:val="bottom"/>
            <w:gridSpan w:val="4"/>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3"/>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4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vMerge w:val="continue"/>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4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420" w:type="dxa"/>
            <w:vAlign w:val="bottom"/>
          </w:tcPr>
          <w:p>
            <w:pPr>
              <w:spacing w:after="0"/>
              <w:rPr>
                <w:sz w:val="13"/>
                <w:szCs w:val="13"/>
                <w:color w:val="auto"/>
              </w:rPr>
            </w:pPr>
          </w:p>
        </w:tc>
        <w:tc>
          <w:tcPr>
            <w:tcW w:w="9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3"/>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Dollar</w:t>
            </w:r>
          </w:p>
        </w:tc>
        <w:tc>
          <w:tcPr>
            <w:tcW w:w="860" w:type="dxa"/>
            <w:vAlign w:val="bottom"/>
          </w:tcPr>
          <w:p>
            <w:pPr>
              <w:jc w:val="right"/>
              <w:ind w:right="453"/>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CRLX101</w:t>
            </w:r>
          </w:p>
        </w:tc>
        <w:tc>
          <w:tcPr>
            <w:tcW w:w="150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56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3,342</w:t>
            </w:r>
          </w:p>
        </w:tc>
        <w:tc>
          <w:tcPr>
            <w:tcW w:w="22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2,449</w:t>
            </w:r>
          </w:p>
        </w:tc>
        <w:tc>
          <w:tcPr>
            <w:tcW w:w="2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CRLX301</w:t>
            </w:r>
          </w:p>
        </w:tc>
        <w:tc>
          <w:tcPr>
            <w:tcW w:w="1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Dynamic Tumor Targeting platform</w:t>
            </w:r>
          </w:p>
        </w:tc>
        <w:tc>
          <w:tcPr>
            <w:tcW w:w="15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0"/>
        </w:trPr>
        <w:tc>
          <w:tcPr>
            <w:tcW w:w="44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Overhead</w:t>
            </w:r>
          </w:p>
        </w:tc>
        <w:tc>
          <w:tcPr>
            <w:tcW w:w="150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2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 expense</w:t>
            </w:r>
          </w:p>
        </w:tc>
        <w:tc>
          <w:tcPr>
            <w:tcW w:w="150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6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5,021</w:t>
            </w:r>
          </w:p>
        </w:tc>
        <w:tc>
          <w:tcPr>
            <w:tcW w:w="22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1,495</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3,526</w:t>
            </w:r>
          </w:p>
        </w:tc>
        <w:tc>
          <w:tcPr>
            <w:tcW w:w="2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6"/>
          <w:szCs w:val="16"/>
          <w:color w:val="auto"/>
        </w:rPr>
        <w:t>* Not meaningful</w:t>
      </w:r>
    </w:p>
    <w:p>
      <w:pPr>
        <w:spacing w:after="0" w:line="257" w:lineRule="exact"/>
        <w:rPr>
          <w:sz w:val="20"/>
          <w:szCs w:val="20"/>
          <w:color w:val="auto"/>
        </w:rPr>
      </w:pPr>
    </w:p>
    <w:p>
      <w:pPr>
        <w:ind w:right="100" w:firstLine="518"/>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2015, CRLX101 program expenses increased by $2.4 million to $3.3 million compared to $0.9 million for the three months ended March 31, 2014. The increase in CRLX101 program expense was primarily attributable to costs associated with our ongoing RCC Trial, which was initiated in mid-2014, together with costs associated with ISTs. Clinical trial expenses increased $1.5 million reflecting an increase in CRO fees, investigator fees and costs associated with clinical sites and laboratories. Salary and benefits expenses increased $0.5 million to support the CRLX101 development program and the clinical trials. Chemistry, manufacturing, and controls, or CMC, costs increased $0.4 million reflecting increased activity to support current and future clinical development.</w:t>
      </w:r>
    </w:p>
    <w:p>
      <w:pPr>
        <w:spacing w:after="0" w:line="188"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2015, CRLX301 program expenses increased $0.7 million to $0.9 million compared to $0.2 million for the three months ended March 31, 2014. The increase in CRLX301 program expense was primarily due to costs associated with the Phase 1 clinical trial that we initiated in December 2014. CRLX301 clinical trial expenses increased by $0.2 million for the three months ended March 31, 2015 compared to the prior year primarily due to CRO and laboratory costs. Salary and benefits expenses increased $0.3 million to support the CRLX101 development program and the clinical trials. CMC and development expenses increased $0.2 million reflecting increased activity to support current and future clinical development.</w:t>
      </w:r>
    </w:p>
    <w:p>
      <w:pPr>
        <w:spacing w:after="0" w:line="184" w:lineRule="exact"/>
        <w:rPr>
          <w:sz w:val="20"/>
          <w:szCs w:val="20"/>
          <w:color w:val="auto"/>
        </w:rPr>
      </w:pPr>
    </w:p>
    <w:p>
      <w:pPr>
        <w:jc w:val="both"/>
        <w:ind w:right="220" w:firstLine="518"/>
        <w:spacing w:after="0" w:line="266" w:lineRule="auto"/>
        <w:rPr>
          <w:sz w:val="20"/>
          <w:szCs w:val="20"/>
          <w:color w:val="auto"/>
        </w:rPr>
      </w:pPr>
      <w:r>
        <w:rPr>
          <w:rFonts w:ascii="Times New Roman" w:cs="Times New Roman" w:eastAsia="Times New Roman" w:hAnsi="Times New Roman"/>
          <w:sz w:val="18"/>
          <w:szCs w:val="18"/>
          <w:color w:val="auto"/>
        </w:rPr>
        <w:t>Expenses associated with our Dynamic Tumor Targeting platform and overhead increased $0.4 million, or 81%, to $0.8 million for the three months ended March 31, 2015 compared to $0.4 million for the three months ended March 31, 2014. The increase is primarily due to increased headcount in new discovery research and increased facility costs.</w:t>
      </w:r>
    </w:p>
    <w:p>
      <w:pPr>
        <w:spacing w:after="0" w:line="172"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w:t>
      </w:r>
      <w:r>
        <w:rPr>
          <w:rFonts w:ascii="Times New Roman" w:cs="Times New Roman" w:eastAsia="Times New Roman" w:hAnsi="Times New Roman"/>
          <w:sz w:val="18"/>
          <w:szCs w:val="18"/>
          <w:color w:val="auto"/>
        </w:rPr>
        <w:t>General and administrative expense for the three months ended March 31, 2015 was $2.7 million compared to $1.5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for the three months ended March 31, 2014, an increase of $1.2 million, or 78%. The increase in general and administrative costs is attributable to the growth in our corporate infrastructure to support a larger company and the costs of being a public company. Salaries and benefits, including stock-based compensation, increased $0.5 million for the three months ended March 31, 2015, reflecting increases in finance and accounting, legal and corporate communications. Costs of being a public company increased $0.4 million for the three months ended March 31, 2015 over comparable costs in the same period in the prior year including board of director fees, insurance for directors and officers, audit and tax fees, and corporate communication and printer fees. Professional and recruiting fees increased $0.2 million for the period compared to the prior year, primarily due to increased recruiting and placement fees.</w:t>
      </w:r>
    </w:p>
    <w:p>
      <w:pPr>
        <w:spacing w:after="0" w:line="185"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(expense), net. </w:t>
      </w:r>
      <w:r>
        <w:rPr>
          <w:rFonts w:ascii="Times New Roman" w:cs="Times New Roman" w:eastAsia="Times New Roman" w:hAnsi="Times New Roman"/>
          <w:sz w:val="18"/>
          <w:szCs w:val="18"/>
          <w:color w:val="auto"/>
        </w:rPr>
        <w:t>Other expense, net, for the three months ended March 31, 2015 was other expense, net, of $0.7 million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income, net, of $44,000 for the three months ended March 31, 2014, an increase in other expense, net, of $0.8 million. Interest expense was $0.7 million and $0.5 million for the three months ended March 31, 2015 and 2014, respectively. For the three months ended March 31, 2015, interest expense included $0.5 million associated with the Hercules Loan Agreement, including $0.1 million for the amortization of debt discount and deferred financing costs, and $0.2 million for the write off of debt discount and deferred financing costs associated with the repayment of the Lighthouse Loan Agreement. Interest expense for the three months ended March 31, 2014 included $0.2 million for our convertible notes and $0.1 million for interest and $0.2 million for the amortization of debt discount and deferred financing costs associated with the Lighthouse Loan Agreement. Other income (expense), net, for the three months ended 2014 included a $0.5 million adjustment to the fair value of our outstanding preferred stock warrant liability recorded as other income.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From our incorporation through March 31, 2015, we raised an aggregate of $186.4 million to fund our operations, of which $84.2 million was from the sale of preferred stock, $59.9 million was from the IPO, $17.3 million was from the sale of convertible promissory notes, $25.0 million was from borrowings under loan and security agreements and $1.0 million from the private placement of our common stock to Hercules. As of March 31, 2015, we had cash and cash equivalents of approximately $56.3 million.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332"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227" w:lineRule="exact"/>
        <w:rPr>
          <w:sz w:val="20"/>
          <w:szCs w:val="20"/>
          <w:color w:val="auto"/>
        </w:rPr>
      </w:pPr>
    </w:p>
    <w:p>
      <w:pPr>
        <w:ind w:right="100"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Recent Financing Activity. </w:t>
      </w:r>
      <w:r>
        <w:rPr>
          <w:rFonts w:ascii="Times New Roman" w:cs="Times New Roman" w:eastAsia="Times New Roman" w:hAnsi="Times New Roman"/>
          <w:sz w:val="18"/>
          <w:szCs w:val="18"/>
          <w:color w:val="auto"/>
        </w:rPr>
        <w:t>On January 8, 2015, we entered into the Hercules Loan Agreement and borrowed $15.0 million from Hercules. We used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portion of those proceeds to repay our outstanding indebtedness under the Lighthouse Loan Agreement.</w:t>
      </w:r>
    </w:p>
    <w:p>
      <w:pPr>
        <w:spacing w:after="0" w:line="160"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The Hercules Loan Agreement provides for up to three separate tranches of borrowings, the first of which was funded in the amount of $15.0 million on January 8, 2015. We may draw the second tranche of up to $5.0 million, subject to the satisfaction of customary funding conditions, on or prior to December 15, 2015, provided that we meet certain clinical milestones specified in the Hercules Loan Agreement. We may draw the third tranche of up to $6.0 million at no less than $3.0 million per draw and subject to the satisfaction of customary funding conditions, on or after September 30, 2015 but before December 15, 2015, provided that between January 8, 2015 and December 15, 2015, we have received net cash proceeds of at least $40.0 million from our issuance and sale of equity securities and/or upfront cash payments from one or more strategic corporate partnerships.</w:t>
      </w:r>
    </w:p>
    <w:p>
      <w:pPr>
        <w:spacing w:after="0" w:line="188"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Our indebtedness under the Hercules Loan Agreement will mature on July 1, 2018. Each advance under the Hercules Loan Agreement accrues interest at a floating per annum rate equal to the greater of (i) 7.30% or (ii) the sum of 7.30% plus the prime rate minus 5.75%. The Hercules Loan Agreement provides for interest-only payments on a monthly basis until December 31, 2015. The interest only period may be extended at our option for a three month period if we attain certain clinical milestones specified in the Hercules Loan Agreement, and for an additional three month period if we attain certain clinical milestones and receive net cash proceeds of at least $30.0 million from the issuance and sale of our equity securities and/or upfront cash payments from one or more strategic corporate partnerships. Thereafter, payments will be payable monthly in equal installments of principal and interest to fully amortize the outstanding principal over the remaining term of the loan, subject to recalculation upon a change in the prime rate. We may prepay the indebtedness under the Hercules Loan Agreement in whole or in part upon seven business days’ prior written notice to Hercules. Any such prepayment is subject to a prepayment charge of (i) 3.0% if such prepayment occurs on or before January 8, 2016, (ii) 2.0% if such prepayment occurs after January 8, 2016, but on or before January 8, 2017, and (iii) 1.0% if such prepayment occurs after January 8, 2017. Amounts outstanding during an event of default are payable upon Hercules’ demand and shall accrue interest at an additional rate of 5.0% per annum of the past due amount outstanding. At the end of the loan term (whether at maturity, by prepayment in full or otherwise), we shall make a final payment to Hercules in the amount of 6.7% of the aggregate original principal amount advanced by Hercules.</w:t>
      </w:r>
    </w:p>
    <w:p>
      <w:pPr>
        <w:spacing w:after="0" w:line="189"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The Hercules Loan Agreement is secured by substantially all of our assets other than our intellectual property. We have also granted Hercules a negative pledge with respect to our intellectual property, which, among other things, prohibits us from selling, transferring, assigning, mortgaging, pledging, leasing, granting a security interest in or otherwise encumbering our intellectual property. The Hercules Loan Agreement includes restrictive covenants that may restrict our ability to obtain further debt or equity financing.</w:t>
      </w:r>
    </w:p>
    <w:p>
      <w:pPr>
        <w:spacing w:after="0" w:line="178" w:lineRule="exact"/>
        <w:rPr>
          <w:sz w:val="20"/>
          <w:szCs w:val="20"/>
          <w:color w:val="auto"/>
        </w:rPr>
      </w:pPr>
    </w:p>
    <w:p>
      <w:pPr>
        <w:ind w:firstLine="51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Lighthouse Loan Agreement. </w:t>
      </w:r>
      <w:r>
        <w:rPr>
          <w:rFonts w:ascii="Times New Roman" w:cs="Times New Roman" w:eastAsia="Times New Roman" w:hAnsi="Times New Roman"/>
          <w:sz w:val="18"/>
          <w:szCs w:val="18"/>
          <w:color w:val="auto"/>
        </w:rPr>
        <w:t>In 2011, we entered into the Lighthouse Loan Agreement which permitted us to borrow up to an aggregate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$10.0 million. We borrowed $5.0 million in March 2012 and an additional $5.0 million in August 2012. Interest accrued under the Lighthouse Loan Agreement at an annual rate of 8.25%. As of December 31, 2014, there was $3.3 million in aggregate principal amount outstanding under the Lighthouse Loan Agreement. We repaid in full our outstanding indebtedness under the Lighthouse Loan Agreement and terminated the agreement on January 8, 2015. There were no prepayment charges associated with the early repayment of the loan.</w:t>
      </w:r>
    </w:p>
    <w:p>
      <w:pPr>
        <w:spacing w:after="0" w:line="180"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Convertible Notes. </w:t>
      </w:r>
      <w:r>
        <w:rPr>
          <w:rFonts w:ascii="Times New Roman" w:cs="Times New Roman" w:eastAsia="Times New Roman" w:hAnsi="Times New Roman"/>
          <w:sz w:val="18"/>
          <w:szCs w:val="18"/>
          <w:color w:val="auto"/>
        </w:rPr>
        <w:t>In 2014, we issued and sold convertible promissory notes, or our 2014 Convertible Notes, in an aggregate principal amount of $8.5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to certain of our stockholders and one additional purchaser. The 2014 Convertible Notes accrued interest at an annual rate of 7%. In connection with the completion of our IPO, all principal and accrued interest under our 2014 Convertible Notes converted into an aggregate of 1,582,931 shares of our common stock, at 77.5% of the IPO price, or $5.43 per share.</w:t>
      </w:r>
    </w:p>
    <w:p>
      <w:pPr>
        <w:spacing w:after="0" w:line="182"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In 2013, we issued and sold convertible promissory notes, or our 2013 Convertible Notes, in an aggregate principal amount of $8.8 million to certain of our stockholders. Our 2013 Convertible Notes accrued interest at an annual rate of 7%. In connection with the completion of our IPO, all principal and accrued interest under our 2013 Convertible Notes converted into an aggregate of 1,319,302 shares of our common stock, at the IPO price of $7.00 per share.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 of Operations and Future Funding Requirements</w:t>
      </w:r>
    </w:p>
    <w:p>
      <w:pPr>
        <w:spacing w:after="0" w:line="229" w:lineRule="exact"/>
        <w:rPr>
          <w:sz w:val="20"/>
          <w:szCs w:val="20"/>
          <w:color w:val="auto"/>
        </w:rPr>
      </w:pPr>
    </w:p>
    <w:p>
      <w:pPr>
        <w:jc w:val="both"/>
        <w:ind w:right="80" w:firstLine="518"/>
        <w:spacing w:after="0" w:line="282" w:lineRule="auto"/>
        <w:rPr>
          <w:sz w:val="20"/>
          <w:szCs w:val="20"/>
          <w:color w:val="auto"/>
        </w:rPr>
      </w:pPr>
      <w:r>
        <w:rPr>
          <w:rFonts w:ascii="Times New Roman" w:cs="Times New Roman" w:eastAsia="Times New Roman" w:hAnsi="Times New Roman"/>
          <w:sz w:val="18"/>
          <w:szCs w:val="18"/>
          <w:color w:val="auto"/>
        </w:rPr>
        <w:t>Our primary uses of capital are, and we expect will continue to be, compensation and related expenses, third-party clinical research and development services, contract manufacturing services, laboratory and related supplies, clinical trial costs, legal and other regulatory expenses and general overhead costs.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00"/>
          </w:cols>
          <w:pgMar w:left="240" w:top="441" w:right="259" w:bottom="1440" w:gutter="0" w:footer="0" w:header="0"/>
        </w:sectPr>
      </w:pPr>
    </w:p>
    <w:bookmarkStart w:id="18" w:name="page19"/>
    <w:bookmarkEnd w:id="18"/>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We believe that our cash and cash equivalents as of March 31, 2015, together with the net proceeds we received from our Secondary Offering, will enable us to fund our operating expenses, debt service and capital expenditure requirements into 2017. We have based this estimate on assumptions that may prove to be wrong, and we could use our capital resources sooner than we currently expect. Our future capital requirements will depend on many factors, including:</w:t>
      </w:r>
    </w:p>
    <w:p>
      <w:pPr>
        <w:spacing w:after="0" w:line="72" w:lineRule="exact"/>
        <w:rPr>
          <w:sz w:val="20"/>
          <w:szCs w:val="20"/>
          <w:color w:val="auto"/>
        </w:rPr>
      </w:pPr>
    </w:p>
    <w:p>
      <w:pPr>
        <w:ind w:left="900" w:hanging="374"/>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the product candidates we pursue;</w:t>
      </w:r>
    </w:p>
    <w:p>
      <w:pPr>
        <w:spacing w:after="0" w:line="117" w:lineRule="exact"/>
        <w:rPr>
          <w:rFonts w:ascii="Times New Roman" w:cs="Times New Roman" w:eastAsia="Times New Roman" w:hAnsi="Times New Roman"/>
          <w:sz w:val="18"/>
          <w:szCs w:val="18"/>
          <w:color w:val="auto"/>
        </w:rPr>
      </w:pPr>
    </w:p>
    <w:p>
      <w:pPr>
        <w:ind w:left="900" w:hanging="374"/>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timing, results and costs of researching and developing our product candidates, and conducting preclinical and clinical trials;</w:t>
      </w:r>
    </w:p>
    <w:p>
      <w:pPr>
        <w:spacing w:after="0" w:line="117" w:lineRule="exact"/>
        <w:rPr>
          <w:rFonts w:ascii="Times New Roman" w:cs="Times New Roman" w:eastAsia="Times New Roman" w:hAnsi="Times New Roman"/>
          <w:sz w:val="18"/>
          <w:szCs w:val="18"/>
          <w:color w:val="auto"/>
        </w:rPr>
      </w:pPr>
    </w:p>
    <w:p>
      <w:pPr>
        <w:ind w:left="900" w:hanging="374"/>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900" w:right="420" w:hanging="374"/>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future commercialization activities, including product manufacturing, marketing, sales and distribution, for any of our product candidates for which we receive marketing approval;</w:t>
      </w:r>
    </w:p>
    <w:p>
      <w:pPr>
        <w:spacing w:after="0" w:line="53" w:lineRule="exact"/>
        <w:rPr>
          <w:rFonts w:ascii="Times New Roman" w:cs="Times New Roman" w:eastAsia="Times New Roman" w:hAnsi="Times New Roman"/>
          <w:sz w:val="18"/>
          <w:szCs w:val="18"/>
          <w:color w:val="auto"/>
        </w:rPr>
      </w:pPr>
    </w:p>
    <w:p>
      <w:pPr>
        <w:ind w:left="900" w:hanging="374"/>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any product candidates for which we receive marketing approval;</w:t>
      </w:r>
    </w:p>
    <w:p>
      <w:pPr>
        <w:spacing w:after="0" w:line="117" w:lineRule="exact"/>
        <w:rPr>
          <w:rFonts w:ascii="Times New Roman" w:cs="Times New Roman" w:eastAsia="Times New Roman" w:hAnsi="Times New Roman"/>
          <w:sz w:val="18"/>
          <w:szCs w:val="18"/>
          <w:color w:val="auto"/>
        </w:rPr>
      </w:pPr>
    </w:p>
    <w:p>
      <w:pPr>
        <w:ind w:left="900" w:hanging="374"/>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partnerships, licensing or other arrangements and the financial terms of such agreements;</w:t>
      </w:r>
    </w:p>
    <w:p>
      <w:pPr>
        <w:spacing w:after="0" w:line="117" w:lineRule="exact"/>
        <w:rPr>
          <w:rFonts w:ascii="Times New Roman" w:cs="Times New Roman" w:eastAsia="Times New Roman" w:hAnsi="Times New Roman"/>
          <w:sz w:val="18"/>
          <w:szCs w:val="18"/>
          <w:color w:val="auto"/>
        </w:rPr>
      </w:pPr>
    </w:p>
    <w:p>
      <w:pPr>
        <w:ind w:left="900" w:hanging="374"/>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costs and timing of the manufacture, supply and distribution of our drug candidates for preclinical and clinical trials;</w:t>
      </w:r>
    </w:p>
    <w:p>
      <w:pPr>
        <w:spacing w:after="0" w:line="117" w:lineRule="exact"/>
        <w:rPr>
          <w:rFonts w:ascii="Times New Roman" w:cs="Times New Roman" w:eastAsia="Times New Roman" w:hAnsi="Times New Roman"/>
          <w:sz w:val="18"/>
          <w:szCs w:val="18"/>
          <w:color w:val="auto"/>
        </w:rPr>
      </w:pPr>
    </w:p>
    <w:p>
      <w:pPr>
        <w:ind w:left="900" w:right="560" w:hanging="374"/>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pacing w:after="0" w:line="53" w:lineRule="exact"/>
        <w:rPr>
          <w:rFonts w:ascii="Times New Roman" w:cs="Times New Roman" w:eastAsia="Times New Roman" w:hAnsi="Times New Roman"/>
          <w:sz w:val="18"/>
          <w:szCs w:val="18"/>
          <w:color w:val="auto"/>
        </w:rPr>
      </w:pPr>
    </w:p>
    <w:p>
      <w:pPr>
        <w:ind w:left="900" w:hanging="374"/>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medicines and technology;</w:t>
      </w:r>
    </w:p>
    <w:p>
      <w:pPr>
        <w:spacing w:after="0" w:line="117" w:lineRule="exact"/>
        <w:rPr>
          <w:rFonts w:ascii="Times New Roman" w:cs="Times New Roman" w:eastAsia="Times New Roman" w:hAnsi="Times New Roman"/>
          <w:sz w:val="18"/>
          <w:szCs w:val="18"/>
          <w:color w:val="auto"/>
        </w:rPr>
      </w:pPr>
    </w:p>
    <w:p>
      <w:pPr>
        <w:ind w:left="900" w:hanging="374"/>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and</w:t>
      </w:r>
    </w:p>
    <w:p>
      <w:pPr>
        <w:spacing w:after="0" w:line="117" w:lineRule="exact"/>
        <w:rPr>
          <w:rFonts w:ascii="Times New Roman" w:cs="Times New Roman" w:eastAsia="Times New Roman" w:hAnsi="Times New Roman"/>
          <w:sz w:val="18"/>
          <w:szCs w:val="18"/>
          <w:color w:val="auto"/>
        </w:rPr>
      </w:pPr>
    </w:p>
    <w:p>
      <w:pPr>
        <w:ind w:left="900" w:hanging="374"/>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25"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Until such time, if ever, as we can generate substantial product revenues, we expect to finance our cash needs through a combination of equity offerings, debt financings and revenue from collaboration arrangements. To the extent that we raise additional capital through the future sale of equity or debt, the ownership interest of our stockholders will be diluted, and the terms of these securities may include liquidation or other preferences that adversely affect the rights of our existing common stockholders. If we raise additional funds through collaboration arrangements in the future, we may have to relinquish valuable rights to our technologies, future revenue streams or drug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drug candidates that we would otherwise prefer to develop and market ourselves.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primary sources and uses of cash for each period set forth below (in thousands):</w:t>
      </w:r>
    </w:p>
    <w:p>
      <w:pPr>
        <w:spacing w:after="0" w:line="232" w:lineRule="exact"/>
        <w:rPr>
          <w:sz w:val="20"/>
          <w:szCs w:val="20"/>
          <w:color w:val="auto"/>
        </w:rPr>
      </w:pPr>
    </w:p>
    <w:p>
      <w:pPr>
        <w:jc w:val="center"/>
        <w:ind w:left="78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8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55"/>
        </w:trPr>
        <w:tc>
          <w:tcPr>
            <w:tcW w:w="5480" w:type="dxa"/>
            <w:vAlign w:val="bottom"/>
            <w:tcBorders>
              <w:bottom w:val="single" w:sz="8" w:color="CFF0FC"/>
            </w:tcBorders>
          </w:tcPr>
          <w:p>
            <w:pPr>
              <w:spacing w:after="0"/>
              <w:rPr>
                <w:sz w:val="13"/>
                <w:szCs w:val="13"/>
                <w:color w:val="auto"/>
              </w:rPr>
            </w:pPr>
          </w:p>
        </w:tc>
        <w:tc>
          <w:tcPr>
            <w:tcW w:w="2500" w:type="dxa"/>
            <w:vAlign w:val="bottom"/>
            <w:tcBorders>
              <w:bottom w:val="single" w:sz="8" w:color="CFF0FC"/>
            </w:tcBorders>
          </w:tcPr>
          <w:p>
            <w:pPr>
              <w:spacing w:after="0"/>
              <w:rPr>
                <w:sz w:val="13"/>
                <w:szCs w:val="13"/>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56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4"/>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FF0FC"/>
            </w:tcBorders>
          </w:tcPr>
          <w:p>
            <w:pPr>
              <w:spacing w:after="0"/>
              <w:rPr>
                <w:sz w:val="13"/>
                <w:szCs w:val="13"/>
                <w:color w:val="auto"/>
              </w:rPr>
            </w:pPr>
          </w:p>
        </w:tc>
      </w:tr>
      <w:tr>
        <w:trPr>
          <w:trHeight w:val="223"/>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5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(7,941)</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120" w:type="dxa"/>
            <w:vAlign w:val="bottom"/>
            <w:shd w:val="clear" w:color="auto" w:fill="CFF0FC"/>
          </w:tcPr>
          <w:p>
            <w:pPr>
              <w:spacing w:after="0"/>
              <w:rPr>
                <w:sz w:val="19"/>
                <w:szCs w:val="19"/>
                <w:color w:val="auto"/>
              </w:rPr>
            </w:pPr>
          </w:p>
        </w:tc>
      </w:tr>
      <w:tr>
        <w:trPr>
          <w:trHeight w:val="230"/>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50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13,112</w:t>
            </w:r>
          </w:p>
        </w:tc>
        <w:tc>
          <w:tcPr>
            <w:tcW w:w="2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6,650</w:t>
            </w:r>
          </w:p>
        </w:tc>
        <w:tc>
          <w:tcPr>
            <w:tcW w:w="120" w:type="dxa"/>
            <w:vAlign w:val="bottom"/>
            <w:shd w:val="clear" w:color="auto" w:fill="CFF0FC"/>
          </w:tcPr>
          <w:p>
            <w:pPr>
              <w:spacing w:after="0"/>
              <w:rPr>
                <w:sz w:val="19"/>
                <w:szCs w:val="19"/>
                <w:color w:val="auto"/>
              </w:rPr>
            </w:pPr>
          </w:p>
        </w:tc>
      </w:tr>
      <w:tr>
        <w:trPr>
          <w:trHeight w:val="223"/>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500" w:type="dxa"/>
            <w:vAlign w:val="bottom"/>
          </w:tcPr>
          <w:p>
            <w:pPr>
              <w:spacing w:after="0"/>
              <w:rPr>
                <w:sz w:val="19"/>
                <w:szCs w:val="19"/>
                <w:color w:val="auto"/>
              </w:rPr>
            </w:pPr>
          </w:p>
        </w:tc>
        <w:tc>
          <w:tcPr>
            <w:tcW w:w="98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5,142</w:t>
            </w:r>
          </w:p>
        </w:tc>
        <w:tc>
          <w:tcPr>
            <w:tcW w:w="2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120" w:type="dxa"/>
            <w:vAlign w:val="bottom"/>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net use of cash in each period resulted primarily from our net losses adjusted for non-cash charges and changes in components of working capital.</w:t>
      </w:r>
    </w:p>
    <w:p>
      <w:pPr>
        <w:spacing w:after="0" w:line="225" w:lineRule="exact"/>
        <w:rPr>
          <w:sz w:val="20"/>
          <w:szCs w:val="20"/>
          <w:color w:val="auto"/>
        </w:rPr>
      </w:pPr>
    </w:p>
    <w:p>
      <w:pPr>
        <w:ind w:right="340" w:firstLine="518"/>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was $7.9 million for the three months ended March 31, 2015 compared with $3.7 million for the three months ended March 31, 2014, an increase of $4.3 million. The increase in net cash used in operating activities resulted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337"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primarily from an increase in operating expenses of $4.7 million partially offset by an increase in stock compensation expenses of $0.3 million.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229" w:lineRule="exact"/>
        <w:rPr>
          <w:sz w:val="20"/>
          <w:szCs w:val="20"/>
          <w:color w:val="auto"/>
        </w:rPr>
      </w:pPr>
    </w:p>
    <w:p>
      <w:pPr>
        <w:ind w:right="160" w:firstLine="518"/>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$29,000 for the three months ended March 31, 2015 compared to $4,000 for the three months ended March 31, 2014. The increase in net cash used in investing activities of $25,000 was the primarily due to purchases of equipment during the three months ended March 31, 2015, compared to similar purchases, net of proceeds from the sale of property and equipment of $10,000, in the three months ended March 31, 2014.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229"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Net cash provided by financing activities was $13.1 million during the three months ended March 31, 2015 compared with $6.7 million during the three months ended March 31, 2014. For the three months ended March 31, 2015, we received gross proceeds of $15.0 million from our initial borrowing under the Hercules Loan Agreement compared to raising $8.5 million through the sale of convertible promissory notes for the three months ended March 31, 2014. We repaid in full our indebtedness under the Lighthouse Loan Agreement in the amount of $3.9 million for the three months ended March 31, 2015 compared to payments under the Lighthouse Loan Agreement in the amount of $0.8 million for the three months ended March 31, 2014. We received $1.0 million of proceeds from the sale of our common stock in a private placement to Hercules and we received $1.4 million of proceeds from the exercise of common stock options for the three months ended March 31, 2015. We paid $1.1 million of deferred financing costs related to the IPO and the convertible note issuance for the three months ended March 31, 2014.</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Contingent Liabilities</w:t>
      </w:r>
    </w:p>
    <w:p>
      <w:pPr>
        <w:spacing w:after="0" w:line="229" w:lineRule="exact"/>
        <w:rPr>
          <w:sz w:val="20"/>
          <w:szCs w:val="20"/>
          <w:color w:val="auto"/>
        </w:rPr>
      </w:pPr>
    </w:p>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On January 8, 2015 we borrowed $15.0 million under the Hercules Loan Agreement and used a portion of those proceeds to repay our total outstanding indebtedness of $3.6 million under the Lighthouse Loan Agreement, which has been terminated. Borrowings under the Hercules Loan Agreement bear interest at 7.3%. The Hercules Loan Agreement provides for interest only payments until December 31, 2015, subject to potential extension in accordance with the terms of the Hercules Loan Agreement. Thereafter, amortization payments will be payable in equal monthly installments of principal and interest to fully amortize the outstanding principal over the remaining term of the loan, with a one-time final payment of 6.3% of the original principal amount of $15.0 million due on the maturity date of July 1, 2018.</w:t>
      </w:r>
    </w:p>
    <w:p>
      <w:pPr>
        <w:spacing w:after="0" w:line="188" w:lineRule="exact"/>
        <w:rPr>
          <w:sz w:val="20"/>
          <w:szCs w:val="20"/>
          <w:color w:val="auto"/>
        </w:rPr>
      </w:pPr>
    </w:p>
    <w:p>
      <w:pPr>
        <w:ind w:right="340" w:firstLine="518"/>
        <w:spacing w:after="0" w:line="282" w:lineRule="auto"/>
        <w:rPr>
          <w:sz w:val="20"/>
          <w:szCs w:val="20"/>
          <w:color w:val="auto"/>
        </w:rPr>
      </w:pPr>
      <w:r>
        <w:rPr>
          <w:rFonts w:ascii="Times New Roman" w:cs="Times New Roman" w:eastAsia="Times New Roman" w:hAnsi="Times New Roman"/>
          <w:sz w:val="18"/>
          <w:szCs w:val="18"/>
          <w:color w:val="auto"/>
        </w:rPr>
        <w:t>As of March 31, 2015, there were no material changes, outside of the ordinary course of business, in our outstanding contractual obligations from those disclosed in our Annual Report on Form 10-K for the fiscal year ended December 31, 2014, other than as described in the preceding paragraph.</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under applicable SEC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In April 2015 Financial Accounting Standards Board issued Accounting Standards Update, or ASU, 2015-03, “Interest – Imputation of Interest”, or ASU 2015-03. To simplify presentation of debt issuance costs, ASU 2015-03 requires that debt issuance costs related to a recognized debt liability be presented in the balance sheet as a direct deduction from the carrying amount of that debt liability, consistent with debt discounts. ASU 2015-03 is effective for annual and interim reporting periods beginning January 1, 2016 and is not expected to have a material impact on the Company’s consolidated financial statements.</w:t>
      </w:r>
    </w:p>
    <w:p>
      <w:pPr>
        <w:spacing w:after="0" w:line="369"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Quantitative and Qualitative Disclosures About Market Risk.</w:t>
      </w:r>
    </w:p>
    <w:p>
      <w:pPr>
        <w:spacing w:after="0" w:line="121"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As of March 31, 2015, we had cash and cash equivalents of approximately $56.3 million, consisting primarily of investments in money market funds and certificates of deposit. Our primary exposure to market risk is interest rate sensitivity, which is affected by changes in the general level of United States interest rates, particularly because our investments are in cash and cash equivalents. Due to the short-term duration of our investment portfolio and the low risk profile of our investments, an immediate 10% change in interest rates would not have a material effect on the fair market value of our investment portfolio.</w:t>
      </w:r>
    </w:p>
    <w:p>
      <w:pPr>
        <w:spacing w:after="0" w:line="4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60"/>
          </w:cols>
          <w:pgMar w:left="240" w:top="337" w:right="299" w:bottom="1440" w:gutter="0" w:footer="0" w:header="0"/>
        </w:sectPr>
      </w:pPr>
    </w:p>
    <w:bookmarkStart w:id="20" w:name="page21"/>
    <w:bookmarkEnd w:id="20"/>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121"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We have established disclosure controls and procedures designed to ensure that information required to be disclosed in the reports that we file or submit under the Securities Exchange Act of 1934, as amended, or the Exchange Act, is recorded, processed, summarized and reported within the time periods specified in the SEC’s rules and forms and is accumulated and communicated to management, including the principal executive officer and principal financial officer, to allow timely decisions regarding required disclosure.</w:t>
      </w:r>
    </w:p>
    <w:p>
      <w:pPr>
        <w:spacing w:after="0" w:line="180"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 on Form 10-Q. Management recognizes that any disclosure controls and procedures, no matter how well designed and operated, can provide only reasonable assurance of achieving their objectives. Our disclosure controls and procedures have been designed to provide reasonable assurance of achieving their objectives. Based on such evaluation, our principal executive officer and principal financial officer concluded that our disclosure controls and procedures were effective at the reasonable assurance level as of March 31, 2015.</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180" w:firstLine="518"/>
        <w:spacing w:after="0" w:line="282"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(as defined in Rules 13a-15(f) and 15d-15(f) under the Exchange Act) occurred during the three months ended March 31, 2015,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380"/>
          </w:cols>
          <w:pgMar w:left="240" w:top="117" w:right="27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Our business is subject to numerous risks. The following important factors, among others, could cause our actual results to differ materially from those expressed in forward-looking statements made by us or on our behalf in this Quarterly Report on Form 10-Q and other filings with the SEC, press releases, communications with investors and oral statements. Actual future results may differ materially from those anticipated in our forward-looking statements. We undertake no obligation to update any forward-looking statements, whether as a result of new information, future events or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225" w:lineRule="exact"/>
        <w:rPr>
          <w:sz w:val="20"/>
          <w:szCs w:val="20"/>
          <w:color w:val="auto"/>
        </w:rPr>
      </w:pPr>
    </w:p>
    <w:p>
      <w:pPr>
        <w:ind w:right="30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If we are unable to raise capital when needed, we could be forced to delay, reduce or eliminate our product development programs or commercialization efforts.</w:t>
      </w:r>
    </w:p>
    <w:p>
      <w:pPr>
        <w:spacing w:after="0" w:line="159" w:lineRule="exact"/>
        <w:rPr>
          <w:sz w:val="20"/>
          <w:szCs w:val="20"/>
          <w:color w:val="auto"/>
        </w:rPr>
      </w:pPr>
    </w:p>
    <w:p>
      <w:pPr>
        <w:ind w:right="100" w:firstLine="518"/>
        <w:spacing w:after="0" w:line="254" w:lineRule="auto"/>
        <w:rPr>
          <w:sz w:val="20"/>
          <w:szCs w:val="20"/>
          <w:color w:val="auto"/>
        </w:rPr>
      </w:pPr>
      <w:r>
        <w:rPr>
          <w:rFonts w:ascii="Times New Roman" w:cs="Times New Roman" w:eastAsia="Times New Roman" w:hAnsi="Times New Roman"/>
          <w:sz w:val="18"/>
          <w:szCs w:val="18"/>
          <w:color w:val="auto"/>
        </w:rPr>
        <w:t>We expect our expenses to increase in connection with our ongoing activities, particularly as we advance the clinical development of CRLX101 and CRLX301 and continue research and development and initiate additional clinical trials of, and seek regulatory approval for, these and other future product candidates. In addition, if we obtain regulatory approval for any of our product candidates, we expect to incur significant commercialization expenses related to product manufacturing, marketing, sales and distribution. In particular, the costs that may be required for the manufacture of any product candidate that receives marketing approval may be substantial, and manufacturing our nanoparticle-drug conjugates, or NDCs, for commercial sale will require expensive and specialized facilities, processes and materials. Furthermore, relative to previous years when we operated as a private company, we expect to incur significant additional costs associated with operating as a public company. Accordingly, we will need to obtain substantial additional funding in connection with our continuing operations. If we are unable to raise capital when needed or on attractive terms, we could be forced to delay, reduce or eliminate our research and development programs or any future commercialization efforts.</w:t>
      </w:r>
    </w:p>
    <w:p>
      <w:pPr>
        <w:spacing w:after="0" w:line="189"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We plan to use our current cash and cash equivalents to fund our ongoing research and development efforts. We will be required to expend significant funds in order to advance development of CRLX101, CRLX301 and our other potential product candidates. Our existing cash and cash equivalents will not be sufficient to fund all of the efforts that we plan to undertake, such as additional randomized trials of CRLX101 or CRLX301. Accordingly, we will be required to obtain further funding through public or private equity offerings, debt financings, collaborations or licensing arrangements or other sources. Adequate and additional funding may not be available to us on acceptable terms or at all.</w:t>
      </w:r>
    </w:p>
    <w:p>
      <w:pPr>
        <w:spacing w:after="0" w:line="184" w:lineRule="exact"/>
        <w:rPr>
          <w:sz w:val="20"/>
          <w:szCs w:val="20"/>
          <w:color w:val="auto"/>
        </w:rPr>
      </w:pPr>
    </w:p>
    <w:p>
      <w:pPr>
        <w:ind w:right="180" w:firstLine="518"/>
        <w:spacing w:after="0" w:line="261" w:lineRule="auto"/>
        <w:rPr>
          <w:sz w:val="20"/>
          <w:szCs w:val="20"/>
          <w:color w:val="auto"/>
        </w:rPr>
      </w:pPr>
      <w:r>
        <w:rPr>
          <w:rFonts w:ascii="Times New Roman" w:cs="Times New Roman" w:eastAsia="Times New Roman" w:hAnsi="Times New Roman"/>
          <w:sz w:val="18"/>
          <w:szCs w:val="18"/>
          <w:color w:val="auto"/>
        </w:rPr>
        <w:t>On January 8, 2015, we entered into a loan and security agreement, which we refer to as the Hercules Loan Agreement, with Hercules Technology Growth Capital, Inc., or Hercules, and drew the first tranche of $15.0 million under the Hercules Loan Agreement. Although the Hercules Loan Agreement provides for two additional tranches in an aggregate amount of up to $11.0 million that we may borrow if we meet certain clinical and financing milestones, we may fail to meet these conditions and be unable to obtain this funding.</w:t>
      </w:r>
    </w:p>
    <w:p>
      <w:pPr>
        <w:spacing w:after="0" w:line="180"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If we elect to obtain any additional debt financing, our ability to do so may be limited by covenants we have made under the Hercules Loan Agreement and our pledge to Hercules of substantially all of our assets, other than our intellectual property, as collateral. We have also granted Hercules a negative pledge with respect to our intellectual property, which, among other things, prohibits us from selling, transferring, assigning, mortgaging, pledging, leasing, granting a security interest in or otherwise encumbering our intellectual property. This negative pledge could further limit our ability to obtain additional debt financing. Our failure to raise capital as and when needed would have a negative impact on our financial condition and our ability to pursue our business strategy.</w:t>
      </w:r>
    </w:p>
    <w:p>
      <w:pPr>
        <w:spacing w:after="0" w:line="188" w:lineRule="exact"/>
        <w:rPr>
          <w:sz w:val="20"/>
          <w:szCs w:val="20"/>
          <w:color w:val="auto"/>
        </w:rPr>
      </w:pPr>
    </w:p>
    <w:p>
      <w:pPr>
        <w:ind w:right="360" w:firstLine="518"/>
        <w:spacing w:after="0" w:line="261" w:lineRule="auto"/>
        <w:rPr>
          <w:sz w:val="20"/>
          <w:szCs w:val="20"/>
          <w:color w:val="auto"/>
        </w:rPr>
      </w:pPr>
      <w:r>
        <w:rPr>
          <w:rFonts w:ascii="Times New Roman" w:cs="Times New Roman" w:eastAsia="Times New Roman" w:hAnsi="Times New Roman"/>
          <w:sz w:val="18"/>
          <w:szCs w:val="18"/>
          <w:color w:val="auto"/>
        </w:rPr>
        <w:t>On April 10, 2015 we closed an underwritten public offering, or the Secondary Offering, of 6,716,000 shares of common stock, including 876,000 shares sold pursuant to the full exercise of the underwriters' option to purchase additional shares, at a public offering price of $6.00 per share. The gross proceeds to us from the Secondary Offering were approximately $40.3 million, before deducting underwriting discounts and commissions and offering expenses payable by us.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17" w:right="239" w:bottom="1440" w:gutter="0" w:footer="0" w:header="0"/>
        </w:sectPr>
      </w:pPr>
    </w:p>
    <w:bookmarkStart w:id="22" w:name="page23"/>
    <w:bookmarkEnd w:id="22"/>
    <w:p>
      <w:pPr>
        <w:ind w:firstLine="518"/>
        <w:spacing w:after="0" w:line="256" w:lineRule="auto"/>
        <w:rPr>
          <w:sz w:val="20"/>
          <w:szCs w:val="20"/>
          <w:color w:val="auto"/>
        </w:rPr>
      </w:pPr>
      <w:r>
        <w:rPr>
          <w:rFonts w:ascii="Times New Roman" w:cs="Times New Roman" w:eastAsia="Times New Roman" w:hAnsi="Times New Roman"/>
          <w:sz w:val="18"/>
          <w:szCs w:val="18"/>
          <w:color w:val="auto"/>
        </w:rPr>
        <w:t>We believe that our cash and cash equivalents as of March 31, 2015 which include the $15.0 million in proceeds we borrowed from Hercules under the first tranche of the Hercules Loan Agreement and the $1.0 million in proceeds we received from the sale of our common stock to Hercules in a private placement transaction that was completed in connection with the Hercules Loan Agreement, as well as the $40.3 million in gross proceeds we received from the Secondary Offering, will enable us to fund our operating expenses, debt service and capital expenditure requirements into 2017. We have based this estimate on assumptions that may prove to be wrong, and we could use our capital resources sooner than we currently expect. Our future capital requirements will depend on many factors, including:</w:t>
      </w:r>
    </w:p>
    <w:p>
      <w:pPr>
        <w:ind w:left="820" w:hanging="294"/>
        <w:spacing w:after="0" w:line="226" w:lineRule="auto"/>
        <w:tabs>
          <w:tab w:leader="none" w:pos="820" w:val="left"/>
        </w:tabs>
        <w:numPr>
          <w:ilvl w:val="0"/>
          <w:numId w:val="1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number and development requirements of the product candidates we pursue;</w:t>
      </w:r>
    </w:p>
    <w:p>
      <w:pPr>
        <w:spacing w:after="0" w:line="142" w:lineRule="exact"/>
        <w:rPr>
          <w:rFonts w:ascii="Times New Roman" w:cs="Times New Roman" w:eastAsia="Times New Roman" w:hAnsi="Times New Roman"/>
          <w:sz w:val="29"/>
          <w:szCs w:val="29"/>
          <w:color w:val="auto"/>
          <w:vertAlign w:val="superscript"/>
        </w:rPr>
      </w:pPr>
    </w:p>
    <w:p>
      <w:pPr>
        <w:ind w:left="820" w:hanging="294"/>
        <w:spacing w:after="0" w:line="185" w:lineRule="auto"/>
        <w:tabs>
          <w:tab w:leader="none" w:pos="820" w:val="left"/>
        </w:tabs>
        <w:numPr>
          <w:ilvl w:val="0"/>
          <w:numId w:val="1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the scope, progress, timing, results and costs of researching and developing our product candidates, and conducting preclinical and clinical trials;</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1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the costs, timing and outcome of regulatory review of our product candidates;</w:t>
      </w:r>
    </w:p>
    <w:p>
      <w:pPr>
        <w:spacing w:after="0" w:line="143" w:lineRule="exact"/>
        <w:rPr>
          <w:rFonts w:ascii="Times New Roman" w:cs="Times New Roman" w:eastAsia="Times New Roman" w:hAnsi="Times New Roman"/>
          <w:sz w:val="25"/>
          <w:szCs w:val="25"/>
          <w:color w:val="auto"/>
          <w:vertAlign w:val="superscript"/>
        </w:rPr>
      </w:pPr>
    </w:p>
    <w:p>
      <w:pPr>
        <w:ind w:left="820" w:right="460" w:hanging="294"/>
        <w:spacing w:after="0" w:line="194" w:lineRule="auto"/>
        <w:tabs>
          <w:tab w:leader="none" w:pos="820" w:val="left"/>
        </w:tabs>
        <w:numPr>
          <w:ilvl w:val="0"/>
          <w:numId w:val="1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cost and timing of future commercialization activities, including product manufacturing, marketing, sales and distribution, for any of our product candidates for which we receive marketing approval;</w:t>
      </w:r>
    </w:p>
    <w:p>
      <w:pPr>
        <w:spacing w:after="0" w:line="33" w:lineRule="exact"/>
        <w:rPr>
          <w:rFonts w:ascii="Times New Roman" w:cs="Times New Roman" w:eastAsia="Times New Roman" w:hAnsi="Times New Roman"/>
          <w:sz w:val="29"/>
          <w:szCs w:val="29"/>
          <w:color w:val="auto"/>
          <w:vertAlign w:val="superscript"/>
        </w:rPr>
      </w:pPr>
    </w:p>
    <w:p>
      <w:pPr>
        <w:ind w:left="820" w:hanging="294"/>
        <w:spacing w:after="0"/>
        <w:tabs>
          <w:tab w:leader="none" w:pos="820" w:val="left"/>
        </w:tabs>
        <w:numPr>
          <w:ilvl w:val="0"/>
          <w:numId w:val="1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revenue, if any, received from commercial sales of any product candidates for which we receive marketing approval;</w:t>
      </w:r>
    </w:p>
    <w:p>
      <w:pPr>
        <w:spacing w:after="0" w:line="141" w:lineRule="exact"/>
        <w:rPr>
          <w:rFonts w:ascii="Times New Roman" w:cs="Times New Roman" w:eastAsia="Times New Roman" w:hAnsi="Times New Roman"/>
          <w:sz w:val="29"/>
          <w:szCs w:val="29"/>
          <w:color w:val="auto"/>
          <w:vertAlign w:val="superscript"/>
        </w:rPr>
      </w:pPr>
    </w:p>
    <w:p>
      <w:pPr>
        <w:ind w:left="820" w:hanging="294"/>
        <w:spacing w:after="0" w:line="185" w:lineRule="auto"/>
        <w:tabs>
          <w:tab w:leader="none" w:pos="820" w:val="left"/>
        </w:tabs>
        <w:numPr>
          <w:ilvl w:val="0"/>
          <w:numId w:val="1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our ability to establish and maintain strategic partnerships, licensing or other arrangements and the financial terms of such agreements;</w:t>
      </w:r>
    </w:p>
    <w:p>
      <w:pPr>
        <w:spacing w:after="0" w:line="143" w:lineRule="exact"/>
        <w:rPr>
          <w:rFonts w:ascii="Times New Roman" w:cs="Times New Roman" w:eastAsia="Times New Roman" w:hAnsi="Times New Roman"/>
          <w:sz w:val="25"/>
          <w:szCs w:val="25"/>
          <w:color w:val="auto"/>
          <w:vertAlign w:val="superscript"/>
        </w:rPr>
      </w:pPr>
    </w:p>
    <w:p>
      <w:pPr>
        <w:ind w:left="820" w:right="600" w:hanging="294"/>
        <w:spacing w:after="0" w:line="194" w:lineRule="auto"/>
        <w:tabs>
          <w:tab w:leader="none" w:pos="820" w:val="left"/>
        </w:tabs>
        <w:numPr>
          <w:ilvl w:val="0"/>
          <w:numId w:val="1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pacing w:after="0" w:line="33" w:lineRule="exact"/>
        <w:rPr>
          <w:rFonts w:ascii="Times New Roman" w:cs="Times New Roman" w:eastAsia="Times New Roman" w:hAnsi="Times New Roman"/>
          <w:sz w:val="29"/>
          <w:szCs w:val="29"/>
          <w:color w:val="auto"/>
          <w:vertAlign w:val="superscript"/>
        </w:rPr>
      </w:pPr>
    </w:p>
    <w:p>
      <w:pPr>
        <w:ind w:left="820" w:hanging="294"/>
        <w:spacing w:after="0"/>
        <w:tabs>
          <w:tab w:leader="none" w:pos="820" w:val="left"/>
        </w:tabs>
        <w:numPr>
          <w:ilvl w:val="0"/>
          <w:numId w:val="1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extent to which we acquire or in-license other medicines and technology;</w:t>
      </w:r>
    </w:p>
    <w:p>
      <w:pPr>
        <w:spacing w:after="0" w:line="141" w:lineRule="exact"/>
        <w:rPr>
          <w:rFonts w:ascii="Times New Roman" w:cs="Times New Roman" w:eastAsia="Times New Roman" w:hAnsi="Times New Roman"/>
          <w:sz w:val="29"/>
          <w:szCs w:val="29"/>
          <w:color w:val="auto"/>
          <w:vertAlign w:val="superscript"/>
        </w:rPr>
      </w:pPr>
    </w:p>
    <w:p>
      <w:pPr>
        <w:ind w:left="820" w:hanging="294"/>
        <w:spacing w:after="0" w:line="185" w:lineRule="auto"/>
        <w:tabs>
          <w:tab w:leader="none" w:pos="820" w:val="left"/>
        </w:tabs>
        <w:numPr>
          <w:ilvl w:val="0"/>
          <w:numId w:val="1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our headcount growth and associated costs; and</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1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the costs of operating as a public company.</w:t>
      </w:r>
    </w:p>
    <w:p>
      <w:pPr>
        <w:spacing w:after="0" w:line="199"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Our commercial revenues, if any, will be derived from sales of products that we do not expect to be commercially available for several years, if at all. Accordingly, we will need to continue to rely on additional financing to achieve our business objectives. Adequate additional financing may not be available to us on acceptable terms, or at all.</w:t>
      </w:r>
    </w:p>
    <w:p>
      <w:pPr>
        <w:spacing w:after="0" w:line="180" w:lineRule="exact"/>
        <w:rPr>
          <w:sz w:val="20"/>
          <w:szCs w:val="20"/>
          <w:color w:val="auto"/>
        </w:rPr>
      </w:pPr>
    </w:p>
    <w:p>
      <w:pPr>
        <w:ind w:right="48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technologies or product candidates.</w:t>
      </w:r>
    </w:p>
    <w:p>
      <w:pPr>
        <w:spacing w:after="0" w:line="15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public or private equity offerings, debt financings and/or license and development agreements with collaboration partners. In addition, we may seek additional capital due to favorable market conditions or strategic considerations, even if we believe we have sufficient funds for our current or future operating plans. To the extent that we raise additional capital through the sale of equity or convertible debt securities, the ownership interest of our stockholders may be materially diluted, and the terms of such securities could include liquidation or other preferences that adversely affect the rights of our existing stockholders. Debt financing and preferred equity financing, if available, may involve agreements that include restrictive covenants that limit our ability to take specified actions, such as incurring additional debt, making capital expenditures or declaring dividends. In addition, additional debt financing would result in increased fixed payment obligations.</w:t>
      </w:r>
    </w:p>
    <w:p>
      <w:pPr>
        <w:spacing w:after="0" w:line="185"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If we raise funds through collaborations, strategic partnerships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existing and any future indebtedness could adversely affect our ability to operate our business.</w:t>
      </w:r>
    </w:p>
    <w:p>
      <w:pPr>
        <w:spacing w:after="0" w:line="229" w:lineRule="exact"/>
        <w:rPr>
          <w:sz w:val="20"/>
          <w:szCs w:val="20"/>
          <w:color w:val="auto"/>
        </w:rPr>
      </w:pPr>
    </w:p>
    <w:p>
      <w:pPr>
        <w:ind w:right="200" w:firstLine="518"/>
        <w:spacing w:after="0" w:line="282" w:lineRule="auto"/>
        <w:rPr>
          <w:sz w:val="20"/>
          <w:szCs w:val="20"/>
          <w:color w:val="auto"/>
        </w:rPr>
      </w:pPr>
      <w:r>
        <w:rPr>
          <w:rFonts w:ascii="Times New Roman" w:cs="Times New Roman" w:eastAsia="Times New Roman" w:hAnsi="Times New Roman"/>
          <w:sz w:val="18"/>
          <w:szCs w:val="18"/>
          <w:color w:val="auto"/>
        </w:rPr>
        <w:t>On January 8, 2015, we entered into the Hercules Loan Agreement and drew the first tranche of $15.0 million. We used $3.6 million of the proceeds from our draw under the Hercules Loan Agreement to repay in full our outstanding indebtedness under our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337" w:right="259" w:bottom="1440" w:gutter="0" w:footer="0" w:header="0"/>
        </w:sectPr>
      </w:pPr>
    </w:p>
    <w:bookmarkStart w:id="23" w:name="page24"/>
    <w:bookmarkEnd w:id="23"/>
    <w:p>
      <w:pPr>
        <w:ind w:right="920"/>
        <w:spacing w:after="0" w:line="282" w:lineRule="auto"/>
        <w:rPr>
          <w:sz w:val="20"/>
          <w:szCs w:val="20"/>
          <w:color w:val="auto"/>
        </w:rPr>
      </w:pPr>
      <w:r>
        <w:rPr>
          <w:rFonts w:ascii="Times New Roman" w:cs="Times New Roman" w:eastAsia="Times New Roman" w:hAnsi="Times New Roman"/>
          <w:sz w:val="18"/>
          <w:szCs w:val="18"/>
          <w:color w:val="auto"/>
        </w:rPr>
        <w:t>loan and security agreement with Lighthouse Capital Partner VI, L.P. As of March 31, 2015, we had approximately $16.1 million in outstanding indebtedness under the Hercules Loan Agreement.</w:t>
      </w:r>
    </w:p>
    <w:p>
      <w:pPr>
        <w:spacing w:after="0" w:line="162" w:lineRule="exact"/>
        <w:rPr>
          <w:sz w:val="20"/>
          <w:szCs w:val="20"/>
          <w:color w:val="auto"/>
        </w:rPr>
      </w:pPr>
    </w:p>
    <w:p>
      <w:pPr>
        <w:ind w:right="740" w:firstLine="518"/>
        <w:spacing w:after="0" w:line="282" w:lineRule="auto"/>
        <w:rPr>
          <w:sz w:val="20"/>
          <w:szCs w:val="20"/>
          <w:color w:val="auto"/>
        </w:rPr>
      </w:pPr>
      <w:r>
        <w:rPr>
          <w:rFonts w:ascii="Times New Roman" w:cs="Times New Roman" w:eastAsia="Times New Roman" w:hAnsi="Times New Roman"/>
          <w:sz w:val="18"/>
          <w:szCs w:val="18"/>
          <w:color w:val="auto"/>
        </w:rPr>
        <w:t>Our outstanding indebtedness combined with current and future financial obligations and contractual commitments, including any additional indebtedness beyond our borrowings from Hercules, could have significant adverse consequences, including:</w:t>
      </w:r>
    </w:p>
    <w:p>
      <w:pPr>
        <w:spacing w:after="0" w:line="54" w:lineRule="exact"/>
        <w:rPr>
          <w:sz w:val="20"/>
          <w:szCs w:val="20"/>
          <w:color w:val="auto"/>
        </w:rPr>
      </w:pPr>
    </w:p>
    <w:p>
      <w:pPr>
        <w:ind w:left="820" w:right="20" w:hanging="294"/>
        <w:spacing w:after="0" w:line="200" w:lineRule="auto"/>
        <w:tabs>
          <w:tab w:leader="none" w:pos="820" w:val="left"/>
        </w:tabs>
        <w:numPr>
          <w:ilvl w:val="0"/>
          <w:numId w:val="1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requiring us to dedicate a portion of our cash resources to the payment of interest and principal, and prepayment and repayment fees and penalties, thereby reducing money available to fund working capital, capital expenditures, product development and other general corporate purposes;</w:t>
      </w:r>
    </w:p>
    <w:p>
      <w:pPr>
        <w:spacing w:after="0" w:line="31" w:lineRule="exact"/>
        <w:rPr>
          <w:rFonts w:ascii="Times New Roman" w:cs="Times New Roman" w:eastAsia="Times New Roman" w:hAnsi="Times New Roman"/>
          <w:sz w:val="29"/>
          <w:szCs w:val="29"/>
          <w:color w:val="auto"/>
          <w:vertAlign w:val="superscript"/>
        </w:rPr>
      </w:pPr>
    </w:p>
    <w:p>
      <w:pPr>
        <w:ind w:left="820" w:hanging="294"/>
        <w:spacing w:after="0"/>
        <w:tabs>
          <w:tab w:leader="none" w:pos="820" w:val="left"/>
        </w:tabs>
        <w:numPr>
          <w:ilvl w:val="0"/>
          <w:numId w:val="1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increasing our vulnerability to adverse changes in general economic, industry and market conditions;</w:t>
      </w:r>
    </w:p>
    <w:p>
      <w:pPr>
        <w:spacing w:after="0" w:line="141" w:lineRule="exact"/>
        <w:rPr>
          <w:rFonts w:ascii="Times New Roman" w:cs="Times New Roman" w:eastAsia="Times New Roman" w:hAnsi="Times New Roman"/>
          <w:sz w:val="29"/>
          <w:szCs w:val="29"/>
          <w:color w:val="auto"/>
          <w:vertAlign w:val="superscript"/>
        </w:rPr>
      </w:pPr>
    </w:p>
    <w:p>
      <w:pPr>
        <w:ind w:left="820" w:hanging="294"/>
        <w:spacing w:after="0" w:line="185" w:lineRule="auto"/>
        <w:tabs>
          <w:tab w:leader="none" w:pos="820" w:val="left"/>
        </w:tabs>
        <w:numPr>
          <w:ilvl w:val="0"/>
          <w:numId w:val="1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subjecting us to restrictive covenants that may reduce our ability to take certain corporate actions or obtain further debt or equity financing;</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1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limiting our flexibility in planning for, or reacting to, changes in our business and the industry in which we compete; and</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1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placing us at a competitive disadvantage compared to our competitors that have less debt or better debt servicing options.</w:t>
      </w:r>
    </w:p>
    <w:p>
      <w:pPr>
        <w:spacing w:after="0" w:line="199"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We intend to satisfy our current and future debt service obligations with our existing cash and cash equivalents. Nevertheless, we may not have sufficient funds, and may be unable to arrange for additional financing, to pay the amounts due under our existing debt. Failure to make payments or comply with other covenants under our existing debt instruments could result in an event of default and acceleration of amounts due. If an event of default occurs and Hercules accelerates the amounts due, we may not be able to make accelerated payments, and Hercules could seek to enforce security interests in the collateral securing such indebtedness, which includes substantially all of our assets other than our intellectual property.</w:t>
      </w:r>
    </w:p>
    <w:p>
      <w:pPr>
        <w:spacing w:after="0" w:line="288" w:lineRule="exact"/>
        <w:rPr>
          <w:sz w:val="20"/>
          <w:szCs w:val="20"/>
          <w:color w:val="auto"/>
        </w:rPr>
      </w:pPr>
    </w:p>
    <w:p>
      <w:pPr>
        <w:ind w:right="16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incorporation. We expect to incur losses over the next several years and may never achieve or maintain profitability.</w:t>
      </w:r>
    </w:p>
    <w:p>
      <w:pPr>
        <w:spacing w:after="0" w:line="15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Since incorporation, we have incurred significant operating losses. As of March 31, 2015, we had an accumulated deficit of $130.2 million. We do not know whether or when we will become profitable. We have not generated any revenues to date from product sales and have financed our operations primarily through the public offering of our common stock, private placements of our preferred stock, convertible debt financings and secured debt financings. We have not completed development of any product candidate and have devoted substantially all of our financial resources and efforts to research and development, including preclinical studies and clinical trials. We expect to continue to incur significant expenses and operating losses over the next several years. Our net losses may fluctuate significantly from quarter to quarter and year to year. Net losses and negative cash flows have had, and will continue to have, an adverse effect on our stockholders deficit and working capital. We anticipate that our expenses will increase substantially if and as we:</w:t>
      </w:r>
    </w:p>
    <w:p>
      <w:pPr>
        <w:spacing w:after="0" w:line="81" w:lineRule="exact"/>
        <w:rPr>
          <w:sz w:val="20"/>
          <w:szCs w:val="20"/>
          <w:color w:val="auto"/>
        </w:rPr>
      </w:pPr>
    </w:p>
    <w:p>
      <w:pPr>
        <w:ind w:left="820" w:right="560" w:hanging="294"/>
        <w:spacing w:after="0" w:line="200" w:lineRule="auto"/>
        <w:tabs>
          <w:tab w:leader="none" w:pos="820" w:val="left"/>
        </w:tabs>
        <w:numPr>
          <w:ilvl w:val="0"/>
          <w:numId w:val="1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initiate and continue company-sponsored clinical trials of CRLX101, our most advanced product candidate, including single-arm trials and randomized trials;</w:t>
      </w:r>
    </w:p>
    <w:p>
      <w:pPr>
        <w:spacing w:after="0" w:line="31" w:lineRule="exact"/>
        <w:rPr>
          <w:rFonts w:ascii="Times New Roman" w:cs="Times New Roman" w:eastAsia="Times New Roman" w:hAnsi="Times New Roman"/>
          <w:sz w:val="29"/>
          <w:szCs w:val="29"/>
          <w:color w:val="auto"/>
          <w:vertAlign w:val="superscript"/>
        </w:rPr>
      </w:pPr>
    </w:p>
    <w:p>
      <w:pPr>
        <w:ind w:left="820" w:hanging="294"/>
        <w:spacing w:after="0"/>
        <w:tabs>
          <w:tab w:leader="none" w:pos="820" w:val="left"/>
        </w:tabs>
        <w:numPr>
          <w:ilvl w:val="0"/>
          <w:numId w:val="1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support ongoing and any new investigator-sponsored clinical trials, or ISTs, of CRLX101;</w:t>
      </w:r>
    </w:p>
    <w:p>
      <w:pPr>
        <w:spacing w:after="0" w:line="141" w:lineRule="exact"/>
        <w:rPr>
          <w:rFonts w:ascii="Times New Roman" w:cs="Times New Roman" w:eastAsia="Times New Roman" w:hAnsi="Times New Roman"/>
          <w:sz w:val="29"/>
          <w:szCs w:val="29"/>
          <w:color w:val="auto"/>
          <w:vertAlign w:val="superscript"/>
        </w:rPr>
      </w:pPr>
    </w:p>
    <w:p>
      <w:pPr>
        <w:ind w:left="820" w:hanging="294"/>
        <w:spacing w:after="0" w:line="185" w:lineRule="auto"/>
        <w:tabs>
          <w:tab w:leader="none" w:pos="820" w:val="left"/>
        </w:tabs>
        <w:numPr>
          <w:ilvl w:val="0"/>
          <w:numId w:val="1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continue our Phase 1 clinical trial of CRLX301, our second most advanced product candidate;</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1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continue our research and preclinical development of additional product candidates utilizing our Dynamic Tumor Targeting Platform;</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1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seek regulatory approvals for any product candidates that successfully complete clinical trials;</w:t>
      </w:r>
    </w:p>
    <w:p>
      <w:pPr>
        <w:spacing w:after="0" w:line="143" w:lineRule="exact"/>
        <w:rPr>
          <w:rFonts w:ascii="Times New Roman" w:cs="Times New Roman" w:eastAsia="Times New Roman" w:hAnsi="Times New Roman"/>
          <w:sz w:val="25"/>
          <w:szCs w:val="25"/>
          <w:color w:val="auto"/>
          <w:vertAlign w:val="superscript"/>
        </w:rPr>
      </w:pPr>
    </w:p>
    <w:p>
      <w:pPr>
        <w:ind w:left="820" w:right="280" w:hanging="294"/>
        <w:spacing w:after="0" w:line="194" w:lineRule="auto"/>
        <w:tabs>
          <w:tab w:leader="none" w:pos="820" w:val="left"/>
        </w:tabs>
        <w:numPr>
          <w:ilvl w:val="0"/>
          <w:numId w:val="1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in the future, establish a sales, marketing and distribution infrastructure in the United States and scale up external manufacturing capabilities to commercialize any products for which we may obtain regulatory approval;</w:t>
      </w:r>
    </w:p>
    <w:p>
      <w:pPr>
        <w:spacing w:after="0" w:line="33" w:lineRule="exact"/>
        <w:rPr>
          <w:rFonts w:ascii="Times New Roman" w:cs="Times New Roman" w:eastAsia="Times New Roman" w:hAnsi="Times New Roman"/>
          <w:sz w:val="29"/>
          <w:szCs w:val="29"/>
          <w:color w:val="auto"/>
          <w:vertAlign w:val="superscript"/>
        </w:rPr>
      </w:pPr>
    </w:p>
    <w:p>
      <w:pPr>
        <w:ind w:left="820" w:hanging="294"/>
        <w:spacing w:after="0"/>
        <w:tabs>
          <w:tab w:leader="none" w:pos="820" w:val="left"/>
        </w:tabs>
        <w:numPr>
          <w:ilvl w:val="0"/>
          <w:numId w:val="1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maintain, expand and protect our intellectual property portfolio;</w:t>
      </w:r>
    </w:p>
    <w:p>
      <w:pPr>
        <w:spacing w:after="0" w:line="141" w:lineRule="exact"/>
        <w:rPr>
          <w:rFonts w:ascii="Times New Roman" w:cs="Times New Roman" w:eastAsia="Times New Roman" w:hAnsi="Times New Roman"/>
          <w:sz w:val="29"/>
          <w:szCs w:val="29"/>
          <w:color w:val="auto"/>
          <w:vertAlign w:val="superscript"/>
        </w:rPr>
      </w:pPr>
    </w:p>
    <w:p>
      <w:pPr>
        <w:ind w:left="820" w:hanging="294"/>
        <w:spacing w:after="0" w:line="185" w:lineRule="auto"/>
        <w:tabs>
          <w:tab w:leader="none" w:pos="820" w:val="left"/>
        </w:tabs>
        <w:numPr>
          <w:ilvl w:val="0"/>
          <w:numId w:val="1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add equipment and physical infrastructure to support our research and development; and</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1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hire additional personnel.</w:t>
      </w:r>
    </w:p>
    <w:p>
      <w:pPr>
        <w:spacing w:after="0" w:line="199" w:lineRule="exact"/>
        <w:rPr>
          <w:sz w:val="20"/>
          <w:szCs w:val="20"/>
          <w:color w:val="auto"/>
        </w:rPr>
      </w:pPr>
    </w:p>
    <w:p>
      <w:pPr>
        <w:jc w:val="both"/>
        <w:ind w:right="120" w:firstLine="518"/>
        <w:spacing w:after="0" w:line="261"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and eventually commercializing products that generate significant revenue. We do not expect to generate significant revenue unless and until we are able to obtain marketing approval for, and successfully commercialize, one or more of our product candidates. This will require us to be successful in a range of challenging activities, including completing preclinical testing and clinical trials of our product candidates, discovering additional product</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337" w:right="259" w:bottom="1440" w:gutter="0" w:footer="0" w:header="0"/>
        </w:sectPr>
      </w:pPr>
    </w:p>
    <w:bookmarkStart w:id="24" w:name="page25"/>
    <w:bookmarkEnd w:id="24"/>
    <w:p>
      <w:pPr>
        <w:ind w:right="80"/>
        <w:spacing w:after="0" w:line="261" w:lineRule="auto"/>
        <w:rPr>
          <w:sz w:val="20"/>
          <w:szCs w:val="20"/>
          <w:color w:val="auto"/>
        </w:rPr>
      </w:pPr>
      <w:r>
        <w:rPr>
          <w:rFonts w:ascii="Times New Roman" w:cs="Times New Roman" w:eastAsia="Times New Roman" w:hAnsi="Times New Roman"/>
          <w:sz w:val="18"/>
          <w:szCs w:val="18"/>
          <w:color w:val="auto"/>
        </w:rPr>
        <w:t>candidates, obtaining regulatory approval for these product candidates, manufacturing, marketing and selling any products for which we may obtain regulatory approval, satisfying any post-marketing requirements and obtaining reimbursement for our products from private insurance or government payors. We are only in the preliminary stages of most of these activities and have not yet commenced other of these activities. We may never succeed in these activities and, even if we do, may never generate revenues that are significant enough to achieve profitability.</w:t>
      </w:r>
    </w:p>
    <w:p>
      <w:pPr>
        <w:spacing w:after="0" w:line="180"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development, we are unable to accurately predict the timing or amount of increased expenses or when, or if, we will be able to achieve profitability. If we are required by the United States Food and Drug Administration, or FDA, or the European Medicines Agency, or EMA, to perform studies in addition to those currently expected, or if there are any delays in completing our clinical trials or the development of any of our product candidates, our expenses could increase.</w:t>
      </w:r>
    </w:p>
    <w:p>
      <w:pPr>
        <w:spacing w:after="0" w:line="180" w:lineRule="exact"/>
        <w:rPr>
          <w:sz w:val="20"/>
          <w:szCs w:val="20"/>
          <w:color w:val="auto"/>
        </w:rPr>
      </w:pPr>
    </w:p>
    <w:p>
      <w:pPr>
        <w:ind w:right="180" w:firstLine="518"/>
        <w:spacing w:after="0" w:line="261" w:lineRule="auto"/>
        <w:rPr>
          <w:sz w:val="20"/>
          <w:szCs w:val="20"/>
          <w:color w:val="auto"/>
        </w:rPr>
      </w:pPr>
      <w:r>
        <w:rPr>
          <w:rFonts w:ascii="Times New Roman" w:cs="Times New Roman" w:eastAsia="Times New Roman" w:hAnsi="Times New Roman"/>
          <w:sz w:val="18"/>
          <w:szCs w:val="18"/>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cause our stockholders to lose all or part of their investment.</w:t>
      </w:r>
    </w:p>
    <w:p>
      <w:pPr>
        <w:spacing w:after="0" w:line="180"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Given our planned expenditures for the next several years, including, without limitation, expenditures in connection with our clinical trials of CRLX101 and CRLX301, our independent registered public accounting firm may conclude that there is substantial doubt regarding our ability to continue as a going concern.</w:t>
      </w:r>
    </w:p>
    <w:p>
      <w:pPr>
        <w:spacing w:after="0" w:line="172" w:lineRule="exact"/>
        <w:rPr>
          <w:sz w:val="20"/>
          <w:szCs w:val="20"/>
          <w:color w:val="auto"/>
        </w:rPr>
      </w:pPr>
    </w:p>
    <w:p>
      <w:pPr>
        <w:ind w:right="56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no history of commercializing pharmaceutical products, which may make it difficult to evaluate the prospects for our future viability.</w:t>
      </w:r>
    </w:p>
    <w:p>
      <w:pPr>
        <w:spacing w:after="0" w:line="159"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Our operations to date have been limited to organizing and staffing our company, developing and securing our technology, raising capital and undertaking preclinical studies and clinical trials of our product candidates. We have not yet demonstrated the ability to successfully complete development of any product candidates, obtain marketing approvals, manufacture a commercial scale product, or arrange for a third party to do so on our behalf, or conduct sales and marketing activities necessary for successful product commercialization. Consequently, any predictions about our future success or viability may not be as accurate as they could be if we had a longer operating history or a history of successfully developing and commercializing pharmaceutical products.</w:t>
      </w:r>
    </w:p>
    <w:p>
      <w:pPr>
        <w:spacing w:after="0" w:line="184"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Assuming we obtain marketing approval for any of our product candidates, we will need to transition from a company with a research and development focus to a company capable of supporting commercial activities. We may encounter unforeseen expenses, difficulties, complications and delays and may not be successful in such a transition.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Development and Commercialization of Our Product Candidates</w:t>
      </w:r>
    </w:p>
    <w:p>
      <w:pPr>
        <w:spacing w:after="0" w:line="225" w:lineRule="exact"/>
        <w:rPr>
          <w:sz w:val="20"/>
          <w:szCs w:val="20"/>
          <w:color w:val="auto"/>
        </w:rPr>
      </w:pPr>
    </w:p>
    <w:p>
      <w:pPr>
        <w:ind w:right="22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approach to the discovery and development of product candidates based on our Dynamic Tumor Targeting Platform is unproven, and we do not know whether we will be able to develop any products of commercial value.</w:t>
      </w:r>
    </w:p>
    <w:p>
      <w:pPr>
        <w:spacing w:after="0" w:line="159"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We are focused on applying our proprietary Dynamic Tumor Targeting Platform to develop drugs that address serious unmet medical needs. We believe that our Dynamic Tumor Targeting Platform has the potential to create drugs that may have significant utility in several cancer indications, particularly in combination with other cancer drugs and with radiotherapy. While the results of preclinical studies and early-stage clinical trials have suggested that certain of our product candidates may have such utility, we have not yet succeeded and may not succeed in demonstrating efficacy and safety for any of our product candidates in later stage clinical trials or in obtaining marketing approval thereafter. For example, we have not yet advanced a compound beyond Phase 2 clinical development. Moreover, the only compound for which we have completed a Phase 2 clinical trial, CRLX101 for the potential treatment of patients with advanced non-small cell lung cancer, or NSCLC, who had progressed through one or two prior regimens of chemotherapy, failed to meet its primary endpoint of improvement in overall survival.</w:t>
      </w:r>
    </w:p>
    <w:p>
      <w:pPr>
        <w:spacing w:after="0" w:line="185"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In addition, we have never had a product candidate receive approval or clearance from the FDA or a non-U.S. regulatory authority. While the FDA has approved nanoparticles such as Doxil® (doxorubicin hydrochloride liposome injection) and Abraxane® (nab-paclitaxel), to our knowledge, the FDA has not yet approved a polymeric nanoparticle such as our NDCs, which are a new way of targeting tumors. The regulatory review process for novel product candidates, such as ours, can be more expensive and take longer than for product candidates based on more well-known or extensively studied technologies due to regulatory authorities’ lack of experience with them. As a result, we may be required to conduct additional studies and/or trials beyond those we anticipate and it may take us longer to develop and/or obtain regulatory approval for our existing and any future product candidates than we expect.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337" w:right="239" w:bottom="1440" w:gutter="0" w:footer="0" w:header="0"/>
        </w:sectPr>
      </w:pPr>
    </w:p>
    <w:bookmarkStart w:id="25" w:name="page26"/>
    <w:bookmarkEnd w:id="25"/>
    <w:p>
      <w:pPr>
        <w:jc w:val="both"/>
        <w:ind w:right="140"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particularly dependent on the success of our product candidate, CRLX101, and our ability to develop, obtain marketing approval for and successfully commercialize CRLX101. If we are unable to develop, obtain marketing approval for or successfully commercialize CRLX101, either alone or through a collaboration, or experience significant delays in doing so, our business could be materially harmed.</w:t>
      </w:r>
    </w:p>
    <w:p>
      <w:pPr>
        <w:spacing w:after="0" w:line="175"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We currently have no products approved for sale and have invested a significant portion of our efforts and financial resources in the development of CRLX101 for the treatment of patients with inadequately treated forms of cancer. Our prospects are substantially dependent on our ability to develop, obtain marketing approval for and successfully commercialize CRLX101. The success of CRLX101 will depend, among other things, on our ability to successfully complete clinical trials of CRLX101. The clinical trial process is uncertain, and failure of one or more clinical trials can occur at any stage of testing. For example, in 2011, we initiated an open-label, randomized Phase 2 clinical trial of CRLX101 as monotherapy in patients with advanced NSCLC who had progressed through one or two prior regimens of chemotherapy. In this Phase 2 clinical trial, CRLX101 failed to meet its primary endpoint of improvement in overall survival of the CRLX101-treated group as compared to the control arm of the study, which was best supportive care.</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addition to the successful completion of clinical trials, the success of CRLX101 will also depend on several other factors, including the following:</w:t>
      </w:r>
    </w:p>
    <w:p>
      <w:pPr>
        <w:spacing w:after="0" w:line="18" w:lineRule="exact"/>
        <w:rPr>
          <w:sz w:val="20"/>
          <w:szCs w:val="20"/>
          <w:color w:val="auto"/>
        </w:rPr>
      </w:pPr>
    </w:p>
    <w:p>
      <w:pPr>
        <w:ind w:left="820" w:hanging="294"/>
        <w:spacing w:after="0"/>
        <w:tabs>
          <w:tab w:leader="none" w:pos="820" w:val="left"/>
        </w:tabs>
        <w:numPr>
          <w:ilvl w:val="0"/>
          <w:numId w:val="2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receipt of marketing approvals from the FDA or other applicable regulatory authorities;</w:t>
      </w:r>
    </w:p>
    <w:p>
      <w:pPr>
        <w:spacing w:after="0" w:line="141" w:lineRule="exact"/>
        <w:rPr>
          <w:rFonts w:ascii="Times New Roman" w:cs="Times New Roman" w:eastAsia="Times New Roman" w:hAnsi="Times New Roman"/>
          <w:sz w:val="29"/>
          <w:szCs w:val="29"/>
          <w:color w:val="auto"/>
          <w:vertAlign w:val="superscript"/>
        </w:rPr>
      </w:pPr>
    </w:p>
    <w:p>
      <w:pPr>
        <w:ind w:left="820" w:hanging="294"/>
        <w:spacing w:after="0" w:line="185" w:lineRule="auto"/>
        <w:tabs>
          <w:tab w:leader="none" w:pos="820" w:val="left"/>
        </w:tabs>
        <w:numPr>
          <w:ilvl w:val="0"/>
          <w:numId w:val="2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the performance of our future collaborators for CRLX101, if any;</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2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the extent of any required post-marketing approval commitments to applicable regulatory authorities;</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2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establishment of supply arrangements with third party raw materials suppliers and manufacturers;</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2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establishment of arrangements with third party manufacturers to obtain finished drug products that are appropriately packaged for sale;</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2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obtaining and maintaining patent, trade secret protection and regulatory exclusivity, both in the United States and internationally;</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2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protection of our rights in our intellectual property portfolio;</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2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launch of commercial sales if and when approved;</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2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a continued acceptable safety profile of CRLX101 following any marketing approval;</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2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commercial acceptance, if and when approved, by patients, the medical community and third party payors;</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2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establishing and maintaining pricing sufficient to realize a meaningful return on our investment; and</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2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competition with other therapies.</w:t>
      </w:r>
    </w:p>
    <w:p>
      <w:pPr>
        <w:spacing w:after="0" w:line="199" w:lineRule="exact"/>
        <w:rPr>
          <w:sz w:val="20"/>
          <w:szCs w:val="20"/>
          <w:color w:val="auto"/>
        </w:rPr>
      </w:pPr>
    </w:p>
    <w:p>
      <w:pPr>
        <w:ind w:right="80" w:firstLine="518"/>
        <w:spacing w:after="0" w:line="282" w:lineRule="auto"/>
        <w:rPr>
          <w:sz w:val="20"/>
          <w:szCs w:val="20"/>
          <w:color w:val="auto"/>
        </w:rPr>
      </w:pPr>
      <w:r>
        <w:rPr>
          <w:rFonts w:ascii="Times New Roman" w:cs="Times New Roman" w:eastAsia="Times New Roman" w:hAnsi="Times New Roman"/>
          <w:sz w:val="18"/>
          <w:szCs w:val="18"/>
          <w:color w:val="auto"/>
        </w:rPr>
        <w:t>If we are unable to develop, receive marketing approval for, or successfully commercialize CRLX101, or experience delays as a result of any of these factors or otherwise, our business could be materially harmed.</w:t>
      </w:r>
    </w:p>
    <w:p>
      <w:pPr>
        <w:spacing w:after="0" w:line="158" w:lineRule="exact"/>
        <w:rPr>
          <w:sz w:val="20"/>
          <w:szCs w:val="20"/>
          <w:color w:val="auto"/>
        </w:rPr>
      </w:pPr>
    </w:p>
    <w:p>
      <w:pPr>
        <w:ind w:right="78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we may not achieve our clinical development on our anticipated timeline, or at all, and our receipt of necessary regulatory approvals could be delayed or prevented.</w:t>
      </w:r>
    </w:p>
    <w:p>
      <w:pPr>
        <w:spacing w:after="0" w:line="159"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for CRLX101 or any of our other product candidates if we are unable to locate and enroll a sufficient number of eligible patients to participate in clinical trials. Patient enrollment is a significant factor in the timing of clinical trials, and is affected by many factors, including:</w:t>
      </w:r>
    </w:p>
    <w:p>
      <w:pPr>
        <w:ind w:left="820" w:hanging="294"/>
        <w:spacing w:after="0" w:line="217" w:lineRule="auto"/>
        <w:tabs>
          <w:tab w:leader="none" w:pos="820" w:val="left"/>
        </w:tabs>
        <w:numPr>
          <w:ilvl w:val="0"/>
          <w:numId w:val="2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size and nature of the patient population;</w:t>
      </w:r>
    </w:p>
    <w:p>
      <w:pPr>
        <w:spacing w:after="0" w:line="142" w:lineRule="exact"/>
        <w:rPr>
          <w:rFonts w:ascii="Times New Roman" w:cs="Times New Roman" w:eastAsia="Times New Roman" w:hAnsi="Times New Roman"/>
          <w:sz w:val="29"/>
          <w:szCs w:val="29"/>
          <w:color w:val="auto"/>
          <w:vertAlign w:val="superscript"/>
        </w:rPr>
      </w:pPr>
    </w:p>
    <w:p>
      <w:pPr>
        <w:ind w:left="820" w:hanging="294"/>
        <w:spacing w:after="0" w:line="185" w:lineRule="auto"/>
        <w:tabs>
          <w:tab w:leader="none" w:pos="820" w:val="left"/>
        </w:tabs>
        <w:numPr>
          <w:ilvl w:val="0"/>
          <w:numId w:val="2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the severity of the disease under investigation;</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2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unexpected or serious adverse events that occur in the trials;</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2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the proximity of patients to sites;</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2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the eligibility criteria for the trial;</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2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the design of the trial;</w:t>
      </w: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380"/>
          </w:cols>
          <w:pgMar w:left="240" w:top="333" w:right="279" w:bottom="1440" w:gutter="0" w:footer="0" w:header="0"/>
        </w:sectPr>
      </w:pPr>
    </w:p>
    <w:bookmarkStart w:id="26" w:name="page27"/>
    <w:bookmarkEnd w:id="26"/>
    <w:p>
      <w:pPr>
        <w:ind w:left="820" w:hanging="294"/>
        <w:spacing w:after="0"/>
        <w:tabs>
          <w:tab w:leader="none" w:pos="820" w:val="left"/>
        </w:tabs>
        <w:numPr>
          <w:ilvl w:val="0"/>
          <w:numId w:val="2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efforts to facilitate timely enrollment;</w:t>
      </w:r>
    </w:p>
    <w:p>
      <w:pPr>
        <w:spacing w:after="0" w:line="131" w:lineRule="exact"/>
        <w:rPr>
          <w:rFonts w:ascii="Times New Roman" w:cs="Times New Roman" w:eastAsia="Times New Roman" w:hAnsi="Times New Roman"/>
          <w:sz w:val="29"/>
          <w:szCs w:val="29"/>
          <w:color w:val="auto"/>
          <w:vertAlign w:val="superscript"/>
        </w:rPr>
      </w:pPr>
    </w:p>
    <w:p>
      <w:pPr>
        <w:ind w:left="820" w:hanging="294"/>
        <w:spacing w:after="0" w:line="186" w:lineRule="auto"/>
        <w:tabs>
          <w:tab w:leader="none" w:pos="820" w:val="left"/>
        </w:tabs>
        <w:numPr>
          <w:ilvl w:val="0"/>
          <w:numId w:val="2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investigators’ engagement with, or enthusiasm about, the trial;</w:t>
      </w:r>
    </w:p>
    <w:p>
      <w:pPr>
        <w:spacing w:after="0" w:line="143" w:lineRule="exact"/>
        <w:rPr>
          <w:rFonts w:ascii="Times New Roman" w:cs="Times New Roman" w:eastAsia="Times New Roman" w:hAnsi="Times New Roman"/>
          <w:sz w:val="26"/>
          <w:szCs w:val="26"/>
          <w:color w:val="auto"/>
          <w:vertAlign w:val="superscript"/>
        </w:rPr>
      </w:pPr>
    </w:p>
    <w:p>
      <w:pPr>
        <w:ind w:left="820" w:hanging="294"/>
        <w:spacing w:after="0" w:line="185" w:lineRule="auto"/>
        <w:tabs>
          <w:tab w:leader="none" w:pos="820" w:val="left"/>
        </w:tabs>
        <w:numPr>
          <w:ilvl w:val="0"/>
          <w:numId w:val="2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complexity of initiating or expanding trials with sites outside of the United States;</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2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competing trials; and</w:t>
      </w:r>
    </w:p>
    <w:p>
      <w:pPr>
        <w:spacing w:after="0" w:line="143" w:lineRule="exact"/>
        <w:rPr>
          <w:rFonts w:ascii="Times New Roman" w:cs="Times New Roman" w:eastAsia="Times New Roman" w:hAnsi="Times New Roman"/>
          <w:sz w:val="25"/>
          <w:szCs w:val="25"/>
          <w:color w:val="auto"/>
          <w:vertAlign w:val="superscript"/>
        </w:rPr>
      </w:pPr>
    </w:p>
    <w:p>
      <w:pPr>
        <w:ind w:left="820" w:right="440" w:hanging="294"/>
        <w:spacing w:after="0" w:line="194" w:lineRule="auto"/>
        <w:tabs>
          <w:tab w:leader="none" w:pos="820" w:val="left"/>
        </w:tabs>
        <w:numPr>
          <w:ilvl w:val="0"/>
          <w:numId w:val="2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clinicians’ and patients’ perceptions as to the potential advantages and risks of the drug being studied in relation to other available therapies, including any new drugs that may be approved for the indications we are investigating.</w:t>
      </w:r>
    </w:p>
    <w:p>
      <w:pPr>
        <w:spacing w:after="0" w:line="200" w:lineRule="exact"/>
        <w:rPr>
          <w:sz w:val="20"/>
          <w:szCs w:val="20"/>
          <w:color w:val="auto"/>
        </w:rPr>
      </w:pPr>
    </w:p>
    <w:p>
      <w:pPr>
        <w:jc w:val="both"/>
        <w:ind w:right="160" w:firstLine="518"/>
        <w:spacing w:after="0" w:line="266" w:lineRule="auto"/>
        <w:rPr>
          <w:sz w:val="20"/>
          <w:szCs w:val="20"/>
          <w:color w:val="auto"/>
        </w:rPr>
      </w:pPr>
      <w:r>
        <w:rPr>
          <w:rFonts w:ascii="Times New Roman" w:cs="Times New Roman" w:eastAsia="Times New Roman" w:hAnsi="Times New Roman"/>
          <w:sz w:val="18"/>
          <w:szCs w:val="18"/>
          <w:color w:val="auto"/>
        </w:rPr>
        <w:t>For example, with respect to our company-sponsored trial of CRLX101 in combination with Avastin (bevacizumab) in patients with 3rd and 4th line relapsed renal cell carcinoma, or the RCC Trial, which we initiated in August 2014, site accrual was slower than expected, so we are adding additional sites with the goal of completing enrollment according to plan; however, we may not be able to achieve this goal.</w:t>
      </w:r>
    </w:p>
    <w:p>
      <w:pPr>
        <w:spacing w:after="0" w:line="176"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our clinical trials could result in significant delays or may require us to abandon one or more clinical trials altogether. Enrollment delays in our clinical trials may result in increased development costs for our product candidates, delay or halt the development of and approval processes for our product candidates and jeopardize our ability to achieve our clinical development timeline and goals, including the dates by which we will commence, complete and receive results from clinical trials. Enrollment delays may also delay or jeopardize our ability to commence sales and generate revenues from our product candidates. Any of the foregoing could cause the value of our company to decline and limit our ability to obtain additional financing, if needed.</w:t>
      </w:r>
    </w:p>
    <w:p>
      <w:pPr>
        <w:spacing w:after="0" w:line="184" w:lineRule="exact"/>
        <w:rPr>
          <w:sz w:val="20"/>
          <w:szCs w:val="20"/>
          <w:color w:val="auto"/>
        </w:rPr>
      </w:pPr>
    </w:p>
    <w:p>
      <w:pPr>
        <w:ind w:right="20" w:firstLine="51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are currently pursuing the clinical development of CRLX101 in combinations with Avastin in relapsed renal cell carcinoma and relapsed ovarian cancer and with capecitabine and radiotherapy in neoadjuvant rectal cancer and may focus on additional combinations in the future. If the FDA revokes its approval of, or if safety, efficacy, manufacturing or supply issues arise with, Avastin, capecitabine, or any other therapeutic that we use in combination with CRLX101 in the future, we may be unable to market CRLX101 or may experience significant regulatory delays or supply shortages, and our business could be materially harmed.</w:t>
      </w:r>
    </w:p>
    <w:p>
      <w:pPr>
        <w:spacing w:after="0" w:line="184"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There are ongoing ISTs evaluating CRLX101 (1) in combination with Avastin in patients with renal cell carcinoma, or RCC, that has relapsed, (2) in combination with Avastin in patients with relapsed ovarian cancer and (3) in combination with capecitabine and radiotherapy in patients with neoadjuvant rectal cancer. We have also commenced the RCC Trial, which is a company-sponsored trial, and we expect to commence additional company-sponsored trials of CRLX101 in the future. Avastin is currently approved to treat various cancers, and the combination of capecitabine and radiotherapy is currently the standard of care in neoadjuvant rectal cancer in the United States. However, we did not develop or obtain regulatory approval for, and we do not manufacture or sell, Avastin or capecitabine. We may also seek to develop our product candidates in combination with other therapeutics in the future.</w:t>
      </w:r>
    </w:p>
    <w:p>
      <w:pPr>
        <w:spacing w:after="0" w:line="188"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If the FDA revokes its approval of either Avastin or capecitabine, we will not be able to market CRLX101 in combination with such revoked therapeutic. If safety or efficacy issues arise with Avastin or capecitabine or any other therapeutics that we seek to combine with our product candidates in the future, we may experience significant regulatory delays, and the FDA may require us to redesign or terminate the applicable clinical trials. Moreover, if Avastin or capecitabine were to receive regulatory approval in combination with a different therapeutic in any indication for which we are pursuing approval, such approval could impact the feasibility and design of any subsequent clinical trials that we may seek to conduct evaluating CRLX101 in combination with Avastin or capecitabine, as applicable. If capecitabine and radiotherapy is replaced as the standard of care for treatment of neoadjuvant rectal cancer, the results, if any, of the ongoing IST or our planned company-sponsored clinical trial in neoadjuvant rectal cancer may be less meaningful, and the FDA may require us to conduct additional clinical trials of CRLX101 prior to any regulatory approval in this indication. In addition, if manufacturing, cost or other issues result in a supply shortage of Avastin, capecitabine or any other combination therapeutics, we may not be able to complete clinical development of CRLX101 on our current timeline or at all.</w:t>
      </w:r>
    </w:p>
    <w:p>
      <w:pPr>
        <w:spacing w:after="0" w:line="186"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Even if CRLX101 were to receive regulatory approval and be commercialized for use in combination with Avastin or capecitabine or another therapeutic, we would continue to be subject to the risk that the FDA could revoke its approval of Avastin or capecitabine, that safety, efficacy, manufacturing, cost or supply issues could arise with one of these therapeutic agents, or that capecitabine and radiotherapy may be replaced as the standard of care in patients with neoadjuvant rectal cancer. This could result in CRLX101 being removed from the market or being less successful commercially.</w:t>
      </w:r>
    </w:p>
    <w:p>
      <w:pPr>
        <w:spacing w:after="0" w:line="180"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On November 19, 2014, the FDA approved Genentech, Inc.’s supplemental Biologics License Application for Avastin plus chemotherapy for the treatment of women with recurrent platinum-resistant ovarian cancer. This approval may alter the regulatory and commercial landscape of ovarian cancer drug development. We are commencing start-up activities for a Company-sponsored Phase 1b trial with the GOG Foundation, Inc. in which we will evaluate the combination of CRLX101 with weekly paclitaxel in patients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80"/>
          </w:cols>
          <w:pgMar w:left="240" w:top="22" w:right="279" w:bottom="1440" w:gutter="0" w:footer="0" w:header="0"/>
        </w:sectPr>
      </w:pPr>
    </w:p>
    <w:bookmarkStart w:id="27" w:name="page28"/>
    <w:bookmarkEnd w:id="27"/>
    <w:p>
      <w:pPr>
        <w:ind w:right="140"/>
        <w:spacing w:after="0" w:line="266" w:lineRule="auto"/>
        <w:rPr>
          <w:sz w:val="20"/>
          <w:szCs w:val="20"/>
          <w:color w:val="auto"/>
        </w:rPr>
      </w:pPr>
      <w:r>
        <w:rPr>
          <w:rFonts w:ascii="Times New Roman" w:cs="Times New Roman" w:eastAsia="Times New Roman" w:hAnsi="Times New Roman"/>
          <w:sz w:val="18"/>
          <w:szCs w:val="18"/>
          <w:color w:val="auto"/>
        </w:rPr>
        <w:t>with relapsed ovarian cancer. Based on the data generated by that trial, we will further evaluate the regulatory requirements and the commercial opportunity for CRLX101 in relapsed ovarian cancer. It is possible that we will determine that the threshold for regulatory approval is too high or that the commercial opportunity is too narrow and, for either reason, we might abandon our efforts to develop CRLX101 in relapsed ovarian cancer.</w:t>
      </w:r>
    </w:p>
    <w:p>
      <w:pPr>
        <w:spacing w:after="0" w:line="172" w:lineRule="exact"/>
        <w:rPr>
          <w:sz w:val="20"/>
          <w:szCs w:val="20"/>
          <w:color w:val="auto"/>
        </w:rPr>
      </w:pPr>
    </w:p>
    <w:p>
      <w:pPr>
        <w:ind w:right="58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hypothesis regarding the role of HIF in cancer cells proves incorrect, it may adversely affect our ability to commercialize and market CRLX101.</w:t>
      </w:r>
    </w:p>
    <w:p>
      <w:pPr>
        <w:spacing w:after="0" w:line="159"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We believe that the anti-cancer activity shown by CRLX101 in preclinical tumor models is due in part to its inhibition of HIF, and we have prioritized the clinical development of CRLX101, among other criteria, on HIF-driven tumor types. We have shown preclinically that CRLX101 inhibits both HIF-1α and HIF-2α. While HIF-1α has become a target of increasing interest in cancer research and recent research suggests that HIF-1α is a master regulator for many cancer cell survival pathways, the science underlying HIF-1α is based on recent discoveries and not fully understood. Moreover, the exact role of HIF-2α is less well described and understood. If our hypothesis with respect to the role of HIF in cancer cells proves incorrect, CRLX101 may not have the same level of therapeutic benefit as it might otherwise have, and in that case we may be unable to receive marketing approval for, or successfully commercialize, CRLX101, and our business could be materially harmed.</w:t>
      </w:r>
    </w:p>
    <w:p>
      <w:pPr>
        <w:spacing w:after="0" w:line="185" w:lineRule="exact"/>
        <w:rPr>
          <w:sz w:val="20"/>
          <w:szCs w:val="20"/>
          <w:color w:val="auto"/>
        </w:rPr>
      </w:pPr>
    </w:p>
    <w:p>
      <w:pPr>
        <w:ind w:right="46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159" w:lineRule="exact"/>
        <w:rPr>
          <w:sz w:val="20"/>
          <w:szCs w:val="20"/>
          <w:color w:val="auto"/>
        </w:rPr>
      </w:pPr>
    </w:p>
    <w:p>
      <w:pPr>
        <w:ind w:right="60" w:firstLine="518"/>
        <w:spacing w:after="0" w:line="252" w:lineRule="auto"/>
        <w:rPr>
          <w:sz w:val="20"/>
          <w:szCs w:val="20"/>
          <w:color w:val="auto"/>
        </w:rPr>
      </w:pPr>
      <w:r>
        <w:rPr>
          <w:rFonts w:ascii="Times New Roman" w:cs="Times New Roman" w:eastAsia="Times New Roman" w:hAnsi="Times New Roman"/>
          <w:sz w:val="18"/>
          <w:szCs w:val="18"/>
          <w:color w:val="auto"/>
        </w:rPr>
        <w:t>Two of our product candidates are in clinical development, all of our other potential product candidates are in preclinical development, and the risk of failure of all of our product candidates is high. It is impossible to predict when or if any of our product candidates will prove effective or safe in humans or will receive regulatory approval. Before obtaining marketing approval from regulatory authorities for the sale of any product candidate, we must complete preclinical development and then conduct extensive clinical trials to demonstrate the safety and efficacy of our product candidates in humans. Clinical testing is expensive, difficult to design and implement, can take many years to complete and is uncertain as to outcome. A failure of one or more clinical trials can occur at any stage of testing. The clinical development of our product candidates is susceptible to the risk of failure inherent at any stage of drug development, including failure to demonstrate efficacy in a clinical trial or across a broad population of patients, the occurrence of severe or medically or commercially unacceptable adverse events, failure to comply with protocols or applicable regulatory requirements and determination by the FDA or any comparable non-U.S. regulatory authority that a drug product is not approvable. It is possible that even if one or more of our product candidates has a beneficial effect, that effect will not be detected during clinical evaluation as a result of one or more of a variety of factors, including the size, duration, design, measurements, conduct or analysis of our clinical trials. Conversely, as a result of the same factors, our clinical trials may indicate an apparent positive effect of a product candidate that is greater than the actual positive effect, if any. Similarly, in our clinical trials, we may fail to detect toxicity of or intolerability caused by our product candidates, or mistakenly believe that our product candidates are toxic or not well tolerated when that is not in fact the case.</w:t>
      </w:r>
    </w:p>
    <w:p>
      <w:pPr>
        <w:spacing w:after="0" w:line="199"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The outcome of preclinical studies and early clinical trials may not be predictive of the success of later clinical trials, and interim results of a clinical trial do not necessarily predict final results. For example, although a Phase 1/2a clinical trial of CRLX101 supported advancement of CRLX101 as monotherapy into Phase 2 clinical trials for patients with advanced NSCLC who had progressed through one or two prior regimens of chemotherapy, CRLX101 failed to meet its primary endpoint of improvement in overall survival of patients in this indication. Many companies in the pharmaceutical and biotechnology industries have suffered significant setbacks in late-stage clinical trials after achieving positive results in earlier development, and we cannot be certain that we will not face additional setbacks. Moreover, there are currently multiple open-label ISTs of CRLX101 ongoing, including: a Phase 1b/2 open-label IST of CRLX101 in combination with Avastin in patients with relapsed RCC; a two-part Phase 2 open-label IST in patients with relapsed ovarian cancer, consisting of a single-arm trial of CRLX101 as monotherapy and a single-arm combination trial of CRLX101 and Avastin; and a Phase 1b/2 open-label IST of CRLX101 in combination with chemoradiotherapy in patients with neoadjuvant rectal cancer. Interim investigator-reported data from subsets of the total patient populations in certain of these ISTs have been reported. These ISTs are still in progress and final results are not yet available. The preliminary results reported from the ISTs have in some cases been observed in only a small number of patients and may not be achieved by other patients on these or other clinical trials. There can be no assurance that company-sponsored trials will confirm the data seen in the ISTs.</w:t>
      </w:r>
    </w:p>
    <w:p>
      <w:pPr>
        <w:spacing w:after="0" w:line="191" w:lineRule="exact"/>
        <w:rPr>
          <w:sz w:val="20"/>
          <w:szCs w:val="20"/>
          <w:color w:val="auto"/>
        </w:rPr>
      </w:pPr>
    </w:p>
    <w:p>
      <w:pPr>
        <w:ind w:firstLine="518"/>
        <w:spacing w:after="0" w:line="256" w:lineRule="auto"/>
        <w:rPr>
          <w:sz w:val="20"/>
          <w:szCs w:val="20"/>
          <w:color w:val="auto"/>
        </w:rPr>
      </w:pPr>
      <w:r>
        <w:rPr>
          <w:rFonts w:ascii="Times New Roman" w:cs="Times New Roman" w:eastAsia="Times New Roman" w:hAnsi="Times New Roman"/>
          <w:sz w:val="18"/>
          <w:szCs w:val="18"/>
          <w:color w:val="auto"/>
        </w:rPr>
        <w:t>The design of a clinical trial can determine whether its results will support approval of a product, and flaws in the design of a clinical trial may not become apparent until the clinical trial is well advanced or completed. We have limited experience in designing clinical trials and may be unable to design and execute a clinical trial to support marketing approval. For example, we believe that sphincter preservation is a clinically meaningful endpoint for the treatment of neoadjuvant rectal cancer, but there can be no assurance that the FDA will agree. In addition, preclinical and clinical data are often susceptible to varying interpretations and analyses. Many companies that believed their product candidates performed satisfactorily in preclinical studies and clinical trials have nonetheless failed to obtain marketing approval for the product candidates. Even if we believe that the results of clinical trials for our product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337" w:right="239" w:bottom="1440" w:gutter="0" w:footer="0" w:header="0"/>
        </w:sectPr>
      </w:pPr>
    </w:p>
    <w:bookmarkStart w:id="28" w:name="page29"/>
    <w:bookmarkEnd w:id="28"/>
    <w:p>
      <w:pPr>
        <w:ind w:right="240"/>
        <w:spacing w:after="0" w:line="282" w:lineRule="auto"/>
        <w:rPr>
          <w:sz w:val="20"/>
          <w:szCs w:val="20"/>
          <w:color w:val="auto"/>
        </w:rPr>
      </w:pPr>
      <w:r>
        <w:rPr>
          <w:rFonts w:ascii="Times New Roman" w:cs="Times New Roman" w:eastAsia="Times New Roman" w:hAnsi="Times New Roman"/>
          <w:sz w:val="18"/>
          <w:szCs w:val="18"/>
          <w:color w:val="auto"/>
        </w:rPr>
        <w:t>candidates warrant marketing approval, the FDA or comparable non-U.S. regulatory authorities may disagree and may not grant marketing approval of our product candidates.</w:t>
      </w:r>
    </w:p>
    <w:p>
      <w:pPr>
        <w:spacing w:after="0" w:line="162"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variability in the quality of clinical supply batches and the rate of dropout among clinical trial participants. Any Phase 2, Phase 3 or other clinical trials that we may conduct may not demonstrate the efficacy and safety necessary to obtain regulatory approval to market our product candidates.</w:t>
      </w:r>
    </w:p>
    <w:p>
      <w:pPr>
        <w:spacing w:after="0" w:line="180" w:lineRule="exact"/>
        <w:rPr>
          <w:sz w:val="20"/>
          <w:szCs w:val="20"/>
          <w:color w:val="auto"/>
        </w:rPr>
      </w:pPr>
    </w:p>
    <w:p>
      <w:pPr>
        <w:ind w:right="24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any of a number of possible unforeseen events in connection with clinical trials of our product candidates, potential marketing approval or commercialization of our product candidates could be delayed or prevented.</w:t>
      </w:r>
    </w:p>
    <w:p>
      <w:pPr>
        <w:spacing w:after="0" w:line="159" w:lineRule="exact"/>
        <w:rPr>
          <w:sz w:val="20"/>
          <w:szCs w:val="20"/>
          <w:color w:val="auto"/>
        </w:rPr>
      </w:pPr>
    </w:p>
    <w:p>
      <w:pPr>
        <w:ind w:right="120" w:firstLine="518"/>
        <w:spacing w:after="0" w:line="282" w:lineRule="auto"/>
        <w:rPr>
          <w:sz w:val="20"/>
          <w:szCs w:val="20"/>
          <w:color w:val="auto"/>
        </w:rPr>
      </w:pPr>
      <w:r>
        <w:rPr>
          <w:rFonts w:ascii="Times New Roman" w:cs="Times New Roman" w:eastAsia="Times New Roman" w:hAnsi="Times New Roman"/>
          <w:sz w:val="18"/>
          <w:szCs w:val="18"/>
          <w:color w:val="auto"/>
        </w:rPr>
        <w:t>We may experience numerous unforeseen events during, or as a result of, clinical trials that could delay or prevent marketing approval of our product candidates, including:</w:t>
      </w:r>
    </w:p>
    <w:p>
      <w:pPr>
        <w:spacing w:after="0" w:line="54" w:lineRule="exact"/>
        <w:rPr>
          <w:sz w:val="20"/>
          <w:szCs w:val="20"/>
          <w:color w:val="auto"/>
        </w:rPr>
      </w:pPr>
    </w:p>
    <w:p>
      <w:pPr>
        <w:ind w:left="820" w:right="260" w:hanging="294"/>
        <w:spacing w:after="0" w:line="208" w:lineRule="auto"/>
        <w:tabs>
          <w:tab w:leader="none" w:pos="820" w:val="left"/>
        </w:tabs>
        <w:numPr>
          <w:ilvl w:val="0"/>
          <w:numId w:val="2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clinical trials of our product candidates may produce unfavorable or inconclusive results, such as with our Phase 2 clinical trial of CRLX101 as monotherapy for patients with advanced non-small cell lung cancer who had progressed through one or two prior regimens of chemotherapy;</w:t>
      </w:r>
    </w:p>
    <w:p>
      <w:pPr>
        <w:spacing w:after="0" w:line="33" w:lineRule="exact"/>
        <w:rPr>
          <w:rFonts w:ascii="Times New Roman" w:cs="Times New Roman" w:eastAsia="Times New Roman" w:hAnsi="Times New Roman"/>
          <w:sz w:val="28"/>
          <w:szCs w:val="28"/>
          <w:color w:val="auto"/>
          <w:vertAlign w:val="superscript"/>
        </w:rPr>
      </w:pPr>
    </w:p>
    <w:p>
      <w:pPr>
        <w:ind w:left="820" w:hanging="294"/>
        <w:spacing w:after="0"/>
        <w:tabs>
          <w:tab w:leader="none" w:pos="820" w:val="left"/>
        </w:tabs>
        <w:numPr>
          <w:ilvl w:val="0"/>
          <w:numId w:val="2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we may decide, or regulators may require us, to conduct additional clinical trials or abandon product development programs;</w:t>
      </w:r>
    </w:p>
    <w:p>
      <w:pPr>
        <w:spacing w:after="0" w:line="141" w:lineRule="exact"/>
        <w:rPr>
          <w:rFonts w:ascii="Times New Roman" w:cs="Times New Roman" w:eastAsia="Times New Roman" w:hAnsi="Times New Roman"/>
          <w:sz w:val="29"/>
          <w:szCs w:val="29"/>
          <w:color w:val="auto"/>
          <w:vertAlign w:val="superscript"/>
        </w:rPr>
      </w:pPr>
    </w:p>
    <w:p>
      <w:pPr>
        <w:ind w:left="820" w:right="240" w:hanging="294"/>
        <w:spacing w:after="0" w:line="194" w:lineRule="auto"/>
        <w:tabs>
          <w:tab w:leader="none" w:pos="820" w:val="left"/>
        </w:tabs>
        <w:numPr>
          <w:ilvl w:val="0"/>
          <w:numId w:val="2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number of patients required for clinical trials of our product candidates may be larger than we anticipate, patient enrollment in these clinical trials may be slower than we anticipate or participants may drop out of these clinical trials at a higher rate than we anticipate;</w:t>
      </w:r>
    </w:p>
    <w:p>
      <w:pPr>
        <w:spacing w:after="0" w:line="132" w:lineRule="exact"/>
        <w:rPr>
          <w:rFonts w:ascii="Times New Roman" w:cs="Times New Roman" w:eastAsia="Times New Roman" w:hAnsi="Times New Roman"/>
          <w:sz w:val="29"/>
          <w:szCs w:val="29"/>
          <w:color w:val="auto"/>
          <w:vertAlign w:val="superscript"/>
        </w:rPr>
      </w:pPr>
    </w:p>
    <w:p>
      <w:pPr>
        <w:ind w:left="820" w:hanging="294"/>
        <w:spacing w:after="0" w:line="200" w:lineRule="auto"/>
        <w:tabs>
          <w:tab w:leader="none" w:pos="820" w:val="left"/>
        </w:tabs>
        <w:numPr>
          <w:ilvl w:val="0"/>
          <w:numId w:val="2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our third party contractors, including those manufacturing our product candidates or components or ingredients thereof or conducting clinical trials on our behalf, may fail to comply with regulatory requirements or meet their contractual obligations to us in a timely manner or at all;</w:t>
      </w:r>
    </w:p>
    <w:p>
      <w:pPr>
        <w:spacing w:after="0" w:line="130" w:lineRule="exact"/>
        <w:rPr>
          <w:rFonts w:ascii="Times New Roman" w:cs="Times New Roman" w:eastAsia="Times New Roman" w:hAnsi="Times New Roman"/>
          <w:sz w:val="29"/>
          <w:szCs w:val="29"/>
          <w:color w:val="auto"/>
          <w:vertAlign w:val="superscript"/>
        </w:rPr>
      </w:pPr>
    </w:p>
    <w:p>
      <w:pPr>
        <w:ind w:left="820" w:right="520" w:hanging="294"/>
        <w:spacing w:after="0" w:line="200" w:lineRule="auto"/>
        <w:tabs>
          <w:tab w:leader="none" w:pos="820" w:val="left"/>
        </w:tabs>
        <w:numPr>
          <w:ilvl w:val="0"/>
          <w:numId w:val="2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regulators or institutional review boards may not authorize us or our investigators to commence a clinical trial or conduct a clinical trial at a prospective trial site;</w:t>
      </w:r>
    </w:p>
    <w:p>
      <w:pPr>
        <w:spacing w:after="0" w:line="31" w:lineRule="exact"/>
        <w:rPr>
          <w:rFonts w:ascii="Times New Roman" w:cs="Times New Roman" w:eastAsia="Times New Roman" w:hAnsi="Times New Roman"/>
          <w:sz w:val="29"/>
          <w:szCs w:val="29"/>
          <w:color w:val="auto"/>
          <w:vertAlign w:val="superscript"/>
        </w:rPr>
      </w:pPr>
    </w:p>
    <w:p>
      <w:pPr>
        <w:ind w:left="820" w:hanging="294"/>
        <w:spacing w:after="0"/>
        <w:tabs>
          <w:tab w:leader="none" w:pos="820" w:val="left"/>
        </w:tabs>
        <w:numPr>
          <w:ilvl w:val="0"/>
          <w:numId w:val="2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investigators may deviate from the trial protocol, fail to conduct the trial in accordance with regulatory requirements or misreport study data;</w:t>
      </w:r>
    </w:p>
    <w:p>
      <w:pPr>
        <w:spacing w:after="0" w:line="141" w:lineRule="exact"/>
        <w:rPr>
          <w:rFonts w:ascii="Times New Roman" w:cs="Times New Roman" w:eastAsia="Times New Roman" w:hAnsi="Times New Roman"/>
          <w:sz w:val="29"/>
          <w:szCs w:val="29"/>
          <w:color w:val="auto"/>
          <w:vertAlign w:val="superscript"/>
        </w:rPr>
      </w:pPr>
    </w:p>
    <w:p>
      <w:pPr>
        <w:ind w:left="820" w:right="240" w:hanging="294"/>
        <w:spacing w:after="0" w:line="194" w:lineRule="auto"/>
        <w:tabs>
          <w:tab w:leader="none" w:pos="820" w:val="left"/>
        </w:tabs>
        <w:numPr>
          <w:ilvl w:val="0"/>
          <w:numId w:val="2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we may experience delays in reaching or fail to reach agreement on acceptable clinical trial contracts or clinical trial protocols with prospective trial sites;</w:t>
      </w:r>
    </w:p>
    <w:p>
      <w:pPr>
        <w:spacing w:after="0" w:line="132" w:lineRule="exact"/>
        <w:rPr>
          <w:rFonts w:ascii="Times New Roman" w:cs="Times New Roman" w:eastAsia="Times New Roman" w:hAnsi="Times New Roman"/>
          <w:sz w:val="29"/>
          <w:szCs w:val="29"/>
          <w:color w:val="auto"/>
          <w:vertAlign w:val="superscript"/>
        </w:rPr>
      </w:pPr>
    </w:p>
    <w:p>
      <w:pPr>
        <w:ind w:left="820" w:right="420" w:hanging="294"/>
        <w:spacing w:after="0" w:line="200" w:lineRule="auto"/>
        <w:tabs>
          <w:tab w:leader="none" w:pos="820" w:val="left"/>
        </w:tabs>
        <w:numPr>
          <w:ilvl w:val="0"/>
          <w:numId w:val="2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prospective clinical trial sites may be unwilling to participate in one or more of our combination clinical trials due to a perceived difficulty in obtaining reimbursement from managed care plans, government, or other third party payors;</w:t>
      </w:r>
    </w:p>
    <w:p>
      <w:pPr>
        <w:spacing w:after="0" w:line="130" w:lineRule="exact"/>
        <w:rPr>
          <w:rFonts w:ascii="Times New Roman" w:cs="Times New Roman" w:eastAsia="Times New Roman" w:hAnsi="Times New Roman"/>
          <w:sz w:val="29"/>
          <w:szCs w:val="29"/>
          <w:color w:val="auto"/>
          <w:vertAlign w:val="superscript"/>
        </w:rPr>
      </w:pPr>
    </w:p>
    <w:p>
      <w:pPr>
        <w:ind w:left="820" w:right="20" w:hanging="294"/>
        <w:spacing w:after="0" w:line="214" w:lineRule="auto"/>
        <w:tabs>
          <w:tab w:leader="none" w:pos="820" w:val="left"/>
        </w:tabs>
        <w:numPr>
          <w:ilvl w:val="0"/>
          <w:numId w:val="2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patients who enroll in a clinical trial, or the investigators enrolling such patients, may misrepresent the patients’ eligibility to participate in the trial or may otherwise not comply with the clinical trial protocol, resulting in the need to drop the patients from the clinical trial, increase the needed enrollment size for the clinical trial or extend the clinical trial’s duration;</w:t>
      </w:r>
    </w:p>
    <w:p>
      <w:pPr>
        <w:spacing w:after="0" w:line="31" w:lineRule="exact"/>
        <w:rPr>
          <w:rFonts w:ascii="Times New Roman" w:cs="Times New Roman" w:eastAsia="Times New Roman" w:hAnsi="Times New Roman"/>
          <w:sz w:val="29"/>
          <w:szCs w:val="29"/>
          <w:color w:val="auto"/>
          <w:vertAlign w:val="superscript"/>
        </w:rPr>
      </w:pPr>
    </w:p>
    <w:p>
      <w:pPr>
        <w:ind w:left="820" w:hanging="294"/>
        <w:spacing w:after="0"/>
        <w:tabs>
          <w:tab w:leader="none" w:pos="820" w:val="left"/>
        </w:tabs>
        <w:numPr>
          <w:ilvl w:val="0"/>
          <w:numId w:val="2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for any given trial we may find it necessary to open more clinical trial sites than originally planned;</w:t>
      </w:r>
    </w:p>
    <w:p>
      <w:pPr>
        <w:spacing w:after="0" w:line="141" w:lineRule="exact"/>
        <w:rPr>
          <w:rFonts w:ascii="Times New Roman" w:cs="Times New Roman" w:eastAsia="Times New Roman" w:hAnsi="Times New Roman"/>
          <w:sz w:val="29"/>
          <w:szCs w:val="29"/>
          <w:color w:val="auto"/>
          <w:vertAlign w:val="superscript"/>
        </w:rPr>
      </w:pPr>
    </w:p>
    <w:p>
      <w:pPr>
        <w:ind w:left="820" w:hanging="294"/>
        <w:spacing w:after="0" w:line="194" w:lineRule="auto"/>
        <w:tabs>
          <w:tab w:leader="none" w:pos="820" w:val="left"/>
        </w:tabs>
        <w:numPr>
          <w:ilvl w:val="0"/>
          <w:numId w:val="2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we may have to suspend or terminate clinical trials of our product candidates for various reasons, including a finding that the participants are being exposed to unacceptable health risks, unexpected or serious adverse events or other unexpected characteristics of a product candidate;</w:t>
      </w:r>
    </w:p>
    <w:p>
      <w:pPr>
        <w:spacing w:after="0" w:line="132" w:lineRule="exact"/>
        <w:rPr>
          <w:rFonts w:ascii="Times New Roman" w:cs="Times New Roman" w:eastAsia="Times New Roman" w:hAnsi="Times New Roman"/>
          <w:sz w:val="29"/>
          <w:szCs w:val="29"/>
          <w:color w:val="auto"/>
          <w:vertAlign w:val="superscript"/>
        </w:rPr>
      </w:pPr>
    </w:p>
    <w:p>
      <w:pPr>
        <w:ind w:left="820" w:right="20" w:hanging="294"/>
        <w:spacing w:after="0" w:line="221" w:lineRule="auto"/>
        <w:tabs>
          <w:tab w:leader="none" w:pos="820" w:val="left"/>
        </w:tabs>
        <w:numPr>
          <w:ilvl w:val="0"/>
          <w:numId w:val="2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regulators or institutional review boards may require that we or our investigators suspend or terminate clinical research for various reasons, including noncompliance with regulatory requirements or their respective standards of conduct, a finding that the participants are being exposed to unacceptable health risks, unexpected or serious adverse events or other unexpected characteristics of the product candidate or other therapeutic agents used in our clinical trials or findings of undesirable effects caused by a chemically or mechanistically similar drug or drug candidate;</w:t>
      </w:r>
    </w:p>
    <w:p>
      <w:pPr>
        <w:spacing w:after="0" w:line="34" w:lineRule="exact"/>
        <w:rPr>
          <w:rFonts w:ascii="Times New Roman" w:cs="Times New Roman" w:eastAsia="Times New Roman" w:hAnsi="Times New Roman"/>
          <w:sz w:val="29"/>
          <w:szCs w:val="29"/>
          <w:color w:val="auto"/>
          <w:vertAlign w:val="superscript"/>
        </w:rPr>
      </w:pPr>
    </w:p>
    <w:p>
      <w:pPr>
        <w:ind w:left="820" w:hanging="294"/>
        <w:spacing w:after="0"/>
        <w:tabs>
          <w:tab w:leader="none" w:pos="820" w:val="left"/>
        </w:tabs>
        <w:numPr>
          <w:ilvl w:val="0"/>
          <w:numId w:val="2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FDA or comparable non-U.S. regulatory authorities may disagree with our clinical trial design or our interpretation of data from preclinical</w:t>
      </w:r>
    </w:p>
    <w:p>
      <w:pPr>
        <w:spacing w:after="0" w:line="2" w:lineRule="exact"/>
        <w:rPr>
          <w:sz w:val="20"/>
          <w:szCs w:val="20"/>
          <w:color w:val="auto"/>
        </w:rPr>
      </w:pPr>
    </w:p>
    <w:p>
      <w:pPr>
        <w:ind w:left="820" w:right="240"/>
        <w:spacing w:after="0" w:line="259" w:lineRule="auto"/>
        <w:rPr>
          <w:sz w:val="20"/>
          <w:szCs w:val="20"/>
          <w:color w:val="auto"/>
        </w:rPr>
      </w:pPr>
      <w:r>
        <w:rPr>
          <w:rFonts w:ascii="Times New Roman" w:cs="Times New Roman" w:eastAsia="Times New Roman" w:hAnsi="Times New Roman"/>
          <w:sz w:val="18"/>
          <w:szCs w:val="18"/>
          <w:color w:val="auto"/>
        </w:rPr>
        <w:t>studies and clinical trials, or may change the requirements for approval even after it has reviewed and commented on the design of our clinical trials;</w:t>
      </w:r>
    </w:p>
    <w:p>
      <w:pPr>
        <w:spacing w:after="0" w:line="114" w:lineRule="exact"/>
        <w:rPr>
          <w:sz w:val="20"/>
          <w:szCs w:val="20"/>
          <w:color w:val="auto"/>
        </w:rPr>
      </w:pPr>
    </w:p>
    <w:p>
      <w:pPr>
        <w:ind w:left="820" w:right="600" w:hanging="294"/>
        <w:spacing w:after="0" w:line="200" w:lineRule="auto"/>
        <w:tabs>
          <w:tab w:leader="none" w:pos="820" w:val="left"/>
        </w:tabs>
        <w:numPr>
          <w:ilvl w:val="0"/>
          <w:numId w:val="2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FDA or comparable non-U.S. regulatory authorities may fail to approve or subsequently find fault with the manufacturing processes or facilities of third party manufacturers with which we enter into agreements for clinical and commercial supplies;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337" w:right="259" w:bottom="1440" w:gutter="0" w:footer="0" w:header="0"/>
        </w:sectPr>
      </w:pPr>
    </w:p>
    <w:bookmarkStart w:id="29" w:name="page30"/>
    <w:bookmarkEnd w:id="29"/>
    <w:p>
      <w:pPr>
        <w:ind w:left="820" w:right="360" w:hanging="294"/>
        <w:spacing w:after="0" w:line="200" w:lineRule="auto"/>
        <w:tabs>
          <w:tab w:leader="none" w:pos="820" w:val="left"/>
        </w:tabs>
        <w:numPr>
          <w:ilvl w:val="0"/>
          <w:numId w:val="2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supply or quality of raw materials or manufactured product candidates or other materials necessary to conduct clinical trials of our product candidates may be insufficient, inadequate or not available at an acceptable cost, or we may experience interruptions in supply; and</w:t>
      </w:r>
    </w:p>
    <w:p>
      <w:pPr>
        <w:spacing w:after="0" w:line="130" w:lineRule="exact"/>
        <w:rPr>
          <w:rFonts w:ascii="Times New Roman" w:cs="Times New Roman" w:eastAsia="Times New Roman" w:hAnsi="Times New Roman"/>
          <w:sz w:val="29"/>
          <w:szCs w:val="29"/>
          <w:color w:val="auto"/>
          <w:vertAlign w:val="superscript"/>
        </w:rPr>
      </w:pPr>
    </w:p>
    <w:p>
      <w:pPr>
        <w:ind w:left="820" w:right="60" w:hanging="294"/>
        <w:spacing w:after="0" w:line="200" w:lineRule="auto"/>
        <w:tabs>
          <w:tab w:leader="none" w:pos="820" w:val="left"/>
        </w:tabs>
        <w:numPr>
          <w:ilvl w:val="0"/>
          <w:numId w:val="2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approval policies or regulations of the FDA or comparable non-U.S. regulatory authorities may significantly change in a manner rendering our clinical data insufficient to obtain marketing approval.</w:t>
      </w:r>
    </w:p>
    <w:p>
      <w:pPr>
        <w:spacing w:after="0" w:line="198" w:lineRule="exact"/>
        <w:rPr>
          <w:sz w:val="20"/>
          <w:szCs w:val="20"/>
          <w:color w:val="auto"/>
        </w:rPr>
      </w:pPr>
    </w:p>
    <w:p>
      <w:pPr>
        <w:ind w:firstLine="518"/>
        <w:spacing w:after="0" w:line="274" w:lineRule="auto"/>
        <w:rPr>
          <w:sz w:val="20"/>
          <w:szCs w:val="20"/>
          <w:color w:val="auto"/>
        </w:rPr>
      </w:pPr>
      <w:r>
        <w:rPr>
          <w:rFonts w:ascii="Times New Roman" w:cs="Times New Roman" w:eastAsia="Times New Roman" w:hAnsi="Times New Roman"/>
          <w:sz w:val="17"/>
          <w:szCs w:val="17"/>
          <w:color w:val="auto"/>
        </w:rPr>
        <w:t>Product development costs for us will increase if we experience delays in testing or pursuing marketing approvals and we may be required to obtain additional funds to complete clinical trials and prepare for possible commercialization of our product candidates. We do not know whether any preclinical tests or clinical trials will begin as planned, will need to be restructured or will be completed on schedule, or at all. Significant preclinical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 In addition, many of the factors that cause, or lead to, clinical trial delays may ultimately lead to the denial of marketing approval of any of our product candidates.</w:t>
      </w:r>
    </w:p>
    <w:p>
      <w:pPr>
        <w:spacing w:after="0" w:line="170" w:lineRule="exact"/>
        <w:rPr>
          <w:sz w:val="20"/>
          <w:szCs w:val="20"/>
          <w:color w:val="auto"/>
        </w:rPr>
      </w:pPr>
    </w:p>
    <w:p>
      <w:pPr>
        <w:ind w:right="14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conducted and intend to conduct additional clinical trials for certain of our product candidates at sites outside the United States, and the FDA may not accept data from trials conducted in such locations.</w:t>
      </w:r>
    </w:p>
    <w:p>
      <w:pPr>
        <w:spacing w:after="0" w:line="159" w:lineRule="exact"/>
        <w:rPr>
          <w:sz w:val="20"/>
          <w:szCs w:val="20"/>
          <w:color w:val="auto"/>
        </w:rPr>
      </w:pPr>
    </w:p>
    <w:p>
      <w:pPr>
        <w:ind w:right="20" w:firstLine="518"/>
        <w:spacing w:after="0" w:line="258" w:lineRule="auto"/>
        <w:rPr>
          <w:sz w:val="20"/>
          <w:szCs w:val="20"/>
          <w:color w:val="auto"/>
        </w:rPr>
      </w:pPr>
      <w:r>
        <w:rPr>
          <w:rFonts w:ascii="Times New Roman" w:cs="Times New Roman" w:eastAsia="Times New Roman" w:hAnsi="Times New Roman"/>
          <w:sz w:val="18"/>
          <w:szCs w:val="18"/>
          <w:color w:val="auto"/>
        </w:rPr>
        <w:t>We have conducted, currently are conducting and intend in the future to conduct, clinical trials outside the United States. Opening trial sites outside of the United States may involve additional regulatory, administrative and financial burdens, including compliance with foreign and local requirements relating to regulatory submission and clinical trial practices. For example, in late 2014, we commenced in Australia the Phase 1 portion of a Phase 1/2a clinical trial of CRLX301 in patients with advanced solid tumor malignancies. In addition, we have expanded the RCC Trial to South Korea where we expect to have five additional clinical sites open before the end of the second quarter of 2015.</w:t>
      </w:r>
    </w:p>
    <w:p>
      <w:pPr>
        <w:spacing w:after="0" w:line="184" w:lineRule="exact"/>
        <w:rPr>
          <w:sz w:val="20"/>
          <w:szCs w:val="20"/>
          <w:color w:val="auto"/>
        </w:rPr>
      </w:pPr>
    </w:p>
    <w:p>
      <w:pPr>
        <w:ind w:right="20" w:firstLine="518"/>
        <w:spacing w:after="0" w:line="253" w:lineRule="auto"/>
        <w:rPr>
          <w:sz w:val="20"/>
          <w:szCs w:val="20"/>
          <w:color w:val="auto"/>
        </w:rPr>
      </w:pPr>
      <w:r>
        <w:rPr>
          <w:rFonts w:ascii="Times New Roman" w:cs="Times New Roman" w:eastAsia="Times New Roman" w:hAnsi="Times New Roman"/>
          <w:sz w:val="18"/>
          <w:szCs w:val="18"/>
          <w:color w:val="auto"/>
        </w:rPr>
        <w:t>Although the FDA may accept data from clinical trials conducted outside the United States, acceptance of this data is subject to certain conditions imposed by the FDA. For example, the clinical trial must be well designed and conducted and performed by qualified investigators in accordance with good clinical practices, including review and approval by an independent ethics committee and informed consent from trial patients. The trial population must also adequately represent the U.S. population, and the data must be applicable to the U.S. population and U.S. medical practice in ways that the FDA deems clinically meaningful. Generally, the patient population for any clinical trials conducted outside of the United States must be representative of the population for which we intend to seek approval in the United States. In addition, while these clinical trials are subject to the applicable local laws, FDA acceptance of the data will be dependent upon its determination that the trials also complied with all applicable U.S. laws and regulations. Since we currently do not have an active IND in the United States for CRLX301, unless we are able to obtain an active IND, we would be unable to conduct clinical trials in the United States. There can be no assurance that the FDA will accept data from trials conducted outside of the United States and no assurance that we will be successful in obtaining an IND for CRLX301. If the FDA does not accept the data from our Phase 1/2a clinical trial of CRLX301 in Australia, for example, or any other trial that we conduct outside the United States, it would likely result in the need for additional clinical trials, which would be costly and time-consuming and delay or permanently halt our development of CRLX101, CRLX301 or any future product candidates.</w:t>
      </w:r>
    </w:p>
    <w:p>
      <w:pPr>
        <w:spacing w:after="0" w:line="191" w:lineRule="exact"/>
        <w:rPr>
          <w:sz w:val="20"/>
          <w:szCs w:val="20"/>
          <w:color w:val="auto"/>
        </w:rPr>
      </w:pPr>
    </w:p>
    <w:p>
      <w:pPr>
        <w:ind w:right="340" w:firstLine="518"/>
        <w:spacing w:after="0" w:line="282" w:lineRule="auto"/>
        <w:rPr>
          <w:sz w:val="20"/>
          <w:szCs w:val="20"/>
          <w:color w:val="auto"/>
        </w:rPr>
      </w:pPr>
      <w:r>
        <w:rPr>
          <w:rFonts w:ascii="Times New Roman" w:cs="Times New Roman" w:eastAsia="Times New Roman" w:hAnsi="Times New Roman"/>
          <w:sz w:val="18"/>
          <w:szCs w:val="18"/>
          <w:color w:val="auto"/>
        </w:rPr>
        <w:t>In addition, the conduct of clinical trials outside the United States could have a significant impact on us. Risks inherent in conducting international clinical trials include:</w:t>
      </w:r>
    </w:p>
    <w:p>
      <w:pPr>
        <w:ind w:left="820" w:hanging="294"/>
        <w:spacing w:after="0" w:line="207" w:lineRule="auto"/>
        <w:tabs>
          <w:tab w:leader="none" w:pos="820" w:val="left"/>
        </w:tabs>
        <w:numPr>
          <w:ilvl w:val="0"/>
          <w:numId w:val="2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foreign regulatory requirements that could burden or limit our ability to conduct our clinical trials;</w:t>
      </w:r>
    </w:p>
    <w:p>
      <w:pPr>
        <w:spacing w:after="0" w:line="142" w:lineRule="exact"/>
        <w:rPr>
          <w:rFonts w:ascii="Times New Roman" w:cs="Times New Roman" w:eastAsia="Times New Roman" w:hAnsi="Times New Roman"/>
          <w:sz w:val="29"/>
          <w:szCs w:val="29"/>
          <w:color w:val="auto"/>
          <w:vertAlign w:val="superscript"/>
        </w:rPr>
      </w:pPr>
    </w:p>
    <w:p>
      <w:pPr>
        <w:ind w:left="820" w:hanging="294"/>
        <w:spacing w:after="0" w:line="185" w:lineRule="auto"/>
        <w:tabs>
          <w:tab w:leader="none" w:pos="820" w:val="left"/>
        </w:tabs>
        <w:numPr>
          <w:ilvl w:val="0"/>
          <w:numId w:val="2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administrative burdens of conducting clinical trials under multiple foreign regulatory schema;</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2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foreign exchange fluctuations;</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2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manufacturing, customs, shipment and storage requirements;</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2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cultural differences in medical practice and clinical research; and</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2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diminished protection of intellectual property in some countries.</w:t>
      </w:r>
    </w:p>
    <w:p>
      <w:pPr>
        <w:spacing w:after="0" w:line="195" w:lineRule="exact"/>
        <w:rPr>
          <w:sz w:val="20"/>
          <w:szCs w:val="20"/>
          <w:color w:val="auto"/>
        </w:rPr>
      </w:pPr>
    </w:p>
    <w:p>
      <w:pPr>
        <w:ind w:right="20"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clinical trials of our product candidates fail to demonstrate safety and efficacy to the satisfaction of the FDA and comparable non-U.S. regulators, we may incur additional costs or experience delays in completing, or ultimately be unable to complete, the development and commercialization of these product candidates.</w:t>
      </w:r>
    </w:p>
    <w:p>
      <w:pPr>
        <w:spacing w:after="0" w:line="175" w:lineRule="exact"/>
        <w:rPr>
          <w:sz w:val="20"/>
          <w:szCs w:val="20"/>
          <w:color w:val="auto"/>
        </w:rPr>
      </w:pPr>
    </w:p>
    <w:p>
      <w:pPr>
        <w:ind w:right="60" w:firstLine="518"/>
        <w:spacing w:after="0" w:line="282" w:lineRule="auto"/>
        <w:rPr>
          <w:sz w:val="20"/>
          <w:szCs w:val="20"/>
          <w:color w:val="auto"/>
        </w:rPr>
      </w:pPr>
      <w:r>
        <w:rPr>
          <w:rFonts w:ascii="Times New Roman" w:cs="Times New Roman" w:eastAsia="Times New Roman" w:hAnsi="Times New Roman"/>
          <w:sz w:val="18"/>
          <w:szCs w:val="18"/>
          <w:color w:val="auto"/>
        </w:rPr>
        <w:t>We are not permitted to commercialize, market, promote or sell any product candidate in the United States without obtaining marketing approval from the FDA. Comparable non-U.S. regulatory authorities, such as the EMA, impose similar restrictions. We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21" w:right="239" w:bottom="1440" w:gutter="0" w:footer="0" w:header="0"/>
        </w:sectPr>
      </w:pPr>
    </w:p>
    <w:bookmarkStart w:id="30" w:name="page31"/>
    <w:bookmarkEnd w:id="30"/>
    <w:p>
      <w:pPr>
        <w:ind w:right="460"/>
        <w:spacing w:after="0" w:line="282" w:lineRule="auto"/>
        <w:rPr>
          <w:sz w:val="20"/>
          <w:szCs w:val="20"/>
          <w:color w:val="auto"/>
        </w:rPr>
      </w:pPr>
      <w:r>
        <w:rPr>
          <w:rFonts w:ascii="Times New Roman" w:cs="Times New Roman" w:eastAsia="Times New Roman" w:hAnsi="Times New Roman"/>
          <w:sz w:val="18"/>
          <w:szCs w:val="18"/>
          <w:color w:val="auto"/>
        </w:rPr>
        <w:t>may never receive such approvals. We must complete extensive preclinical development and clinical trials to demonstrate the safety and efficacy of our product candidates in humans before we will be able to obtain these approvals.</w:t>
      </w:r>
    </w:p>
    <w:p>
      <w:pPr>
        <w:spacing w:after="0" w:line="162" w:lineRule="exact"/>
        <w:rPr>
          <w:sz w:val="20"/>
          <w:szCs w:val="20"/>
          <w:color w:val="auto"/>
        </w:rPr>
      </w:pPr>
    </w:p>
    <w:p>
      <w:pPr>
        <w:jc w:val="both"/>
        <w:ind w:right="180" w:firstLine="518"/>
        <w:spacing w:after="0" w:line="266" w:lineRule="auto"/>
        <w:rPr>
          <w:sz w:val="20"/>
          <w:szCs w:val="20"/>
          <w:color w:val="auto"/>
        </w:rPr>
      </w:pPr>
      <w:r>
        <w:rPr>
          <w:rFonts w:ascii="Times New Roman" w:cs="Times New Roman" w:eastAsia="Times New Roman" w:hAnsi="Times New Roman"/>
          <w:sz w:val="18"/>
          <w:szCs w:val="18"/>
          <w:color w:val="auto"/>
        </w:rPr>
        <w:t>Clinical testing is expensive, difficult to design and implement, can take many years to complete and is inherently uncertain as to outcome. We have not previously submitted a new drug application, or an NDA, to the FDA or similar drug approval filings to comparable non-U.S. regulatory authorities for any of our product candidates.</w:t>
      </w:r>
    </w:p>
    <w:p>
      <w:pPr>
        <w:spacing w:after="0" w:line="176"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Any inability to successfully complete preclinical and clinical development could result in additional costs to us and impair our ability to generate revenues from product sales, regulatory and commercialization milestones and royalties. In addition, if (1) we are required to conduct additional clinical trials or other testing of our product candidates beyond the trials and testing that we contemplate, (2) we are unable to successfully complete clinical trials of our product candidates or other testing, (3) the results of these trials or tests are unfavorable, uncertain or are only modestly favorable, or (4) there are unacceptable safety concerns associated with our product candidates, we, in addition to incurring additional costs, may:</w:t>
      </w:r>
    </w:p>
    <w:p>
      <w:pPr>
        <w:spacing w:after="0" w:line="17" w:lineRule="exact"/>
        <w:rPr>
          <w:sz w:val="20"/>
          <w:szCs w:val="20"/>
          <w:color w:val="auto"/>
        </w:rPr>
      </w:pPr>
    </w:p>
    <w:p>
      <w:pPr>
        <w:ind w:left="820" w:hanging="294"/>
        <w:spacing w:after="0"/>
        <w:tabs>
          <w:tab w:leader="none" w:pos="820" w:val="left"/>
        </w:tabs>
        <w:numPr>
          <w:ilvl w:val="0"/>
          <w:numId w:val="2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be delayed in obtaining marketing approval for our product candidates;</w:t>
      </w:r>
    </w:p>
    <w:p>
      <w:pPr>
        <w:spacing w:after="0" w:line="141" w:lineRule="exact"/>
        <w:rPr>
          <w:rFonts w:ascii="Times New Roman" w:cs="Times New Roman" w:eastAsia="Times New Roman" w:hAnsi="Times New Roman"/>
          <w:sz w:val="29"/>
          <w:szCs w:val="29"/>
          <w:color w:val="auto"/>
          <w:vertAlign w:val="superscript"/>
        </w:rPr>
      </w:pPr>
    </w:p>
    <w:p>
      <w:pPr>
        <w:ind w:left="820" w:hanging="294"/>
        <w:spacing w:after="0" w:line="185" w:lineRule="auto"/>
        <w:tabs>
          <w:tab w:leader="none" w:pos="820" w:val="left"/>
        </w:tabs>
        <w:numPr>
          <w:ilvl w:val="0"/>
          <w:numId w:val="2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not obtain marketing approval at all;</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2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obtain approval for indications or patient populations that are not as broad as we intended or desired;</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2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obtain approval with labeling that includes significant use or distribution restrictions or significant safety warnings, including boxed warnings;</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2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be subject to additional post-marketing testing or other requirements; or</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2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be required to remove the product from the market after obtaining marketing approval.</w:t>
      </w:r>
    </w:p>
    <w:p>
      <w:pPr>
        <w:spacing w:after="0" w:line="1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 fast track designation by the FDA may not actually lead to a faster development or regulatory review or approval process.</w:t>
      </w:r>
    </w:p>
    <w:p>
      <w:pPr>
        <w:spacing w:after="0" w:line="22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On April 27, 2015, we were notified that we received fast track designation for the treatment of metastatic RCC following progression through two or three prior lines of therapy. We may seek fast track designation for other indications or other product candidates. If a drug is intended for the treatment of a serious or life-threatening condition and the drug demonstrates the potential to address unmet medical needs for this condition, the drug sponsor may apply for FDA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185" w:lineRule="exact"/>
        <w:rPr>
          <w:sz w:val="20"/>
          <w:szCs w:val="20"/>
          <w:color w:val="auto"/>
        </w:rPr>
      </w:pPr>
    </w:p>
    <w:p>
      <w:pPr>
        <w:ind w:right="4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breakthrough therapy designation by the FDA for our product candidates may not lead to a faster development or regulatory review or approval process, and it does not increase the likelihood that our product candidates will receive marketing approval.</w:t>
      </w:r>
    </w:p>
    <w:p>
      <w:pPr>
        <w:spacing w:after="0" w:line="159" w:lineRule="exact"/>
        <w:rPr>
          <w:sz w:val="20"/>
          <w:szCs w:val="20"/>
          <w:color w:val="auto"/>
        </w:rPr>
      </w:pPr>
    </w:p>
    <w:p>
      <w:pPr>
        <w:ind w:right="120" w:firstLine="518"/>
        <w:spacing w:after="0" w:line="256" w:lineRule="auto"/>
        <w:rPr>
          <w:sz w:val="20"/>
          <w:szCs w:val="20"/>
          <w:color w:val="auto"/>
        </w:rPr>
      </w:pPr>
      <w:r>
        <w:rPr>
          <w:rFonts w:ascii="Times New Roman" w:cs="Times New Roman" w:eastAsia="Times New Roman" w:hAnsi="Times New Roman"/>
          <w:sz w:val="18"/>
          <w:szCs w:val="18"/>
          <w:color w:val="auto"/>
        </w:rPr>
        <w:t>We may seek a breakthrough therapy designation for some of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and biologics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w:t>
      </w:r>
    </w:p>
    <w:p>
      <w:pPr>
        <w:spacing w:after="0" w:line="188" w:lineRule="exact"/>
        <w:rPr>
          <w:sz w:val="20"/>
          <w:szCs w:val="20"/>
          <w:color w:val="auto"/>
        </w:rPr>
      </w:pPr>
    </w:p>
    <w:p>
      <w:pPr>
        <w:ind w:right="180" w:firstLine="518"/>
        <w:spacing w:after="0" w:line="256"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qualifies as a breakthrough therapy, the FDA may later decide that the product no longer meets the conditions for qualification or decide that the time period for FDA review or approval will not be shortened.</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80"/>
          </w:cols>
          <w:pgMar w:left="240" w:top="337" w:right="279" w:bottom="1440" w:gutter="0" w:footer="0" w:header="0"/>
        </w:sectPr>
      </w:pPr>
    </w:p>
    <w:bookmarkStart w:id="31" w:name="page32"/>
    <w:bookmarkEnd w:id="31"/>
    <w:p>
      <w:pPr>
        <w:jc w:val="both"/>
        <w:ind w:right="240"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request Priority Review for one or more of our product candidates at the time of the submission of the NDA to FDA. The FDA may not grant Priority Review for any of our product candidates. Moreover, even if the FDA designated Priority Review for one of our product candidates, that designation may not lead to a faster regulatory review or approval process and, in any event, would not assure FDA approval.</w:t>
      </w:r>
    </w:p>
    <w:p>
      <w:pPr>
        <w:spacing w:after="0" w:line="175"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A ten month standard NDA review clock will begin at the conclusion of the 60 calendar day filing review period that starts on the date of FDA receipt of the original submission. This results in a total of twelve months until the FDA is to take regulatory action. We may be eligible for Priority Review designation for our NDA submission if the FDA determines that our product candidate treats a serious condition and, if approved, would provide a significant improvement in safety or effectiveness. The six month Priority Review clock will begin at the conclusion of the 60 calendar day filing review period that starts on the date of FDA receipt of the original submission. Therefore, if granted Priority Review, the FDA has a total of eight months to take action on an application rather than the total of twelve months for a standard review from their receipt of the original submission. We may request Priority Review for CRLX101 if and when we submit an NDA for CRLX101. Our current clinical development timeline assumes CRLX101 will receive Priority Review. The FDA has broad discretion with respect to whether or not to grant Priority Review status to a product candidate, so even if we believe a particular product candidate is eligible for such designation or status, the FDA may decide not to grant it. Thus, while the FDA has granted Priority Review to other oncology product candidates, CRLX101 may not receive similar designation. Moreover, even if CRLX101 or one of our other product candidates is designated for Priority Review, such a designation does not necessarily mean a faster regulatory review process or necessarily confer any advantage with respect to approval compared to conventional FDA procedures. Receiving Priority Review from the FDA also does not guarantee approval within the eight-month review/approval cycle or thereafter.</w:t>
      </w:r>
    </w:p>
    <w:p>
      <w:pPr>
        <w:spacing w:after="0" w:line="185" w:lineRule="exact"/>
        <w:rPr>
          <w:sz w:val="20"/>
          <w:szCs w:val="20"/>
          <w:color w:val="auto"/>
        </w:rPr>
      </w:pPr>
    </w:p>
    <w:p>
      <w:pPr>
        <w:jc w:val="both"/>
        <w:ind w:right="100"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believe we may in some instances be able to secure approval from the FDA or comparable non-U.S. regulatory authorities to use accelerated registration pathways. If unable to obtain such approval, we may be required to conduct additional preclinical studies or clinical trials beyond those that we contemplate, which could increase the expense of obtaining, and delay the receipt of, necessary marketing approvals.</w:t>
      </w:r>
    </w:p>
    <w:p>
      <w:pPr>
        <w:spacing w:after="0" w:line="175" w:lineRule="exact"/>
        <w:rPr>
          <w:sz w:val="20"/>
          <w:szCs w:val="20"/>
          <w:color w:val="auto"/>
        </w:rPr>
      </w:pPr>
    </w:p>
    <w:p>
      <w:pPr>
        <w:ind w:right="80" w:firstLine="518"/>
        <w:spacing w:after="0" w:line="253" w:lineRule="auto"/>
        <w:rPr>
          <w:sz w:val="20"/>
          <w:szCs w:val="20"/>
          <w:color w:val="auto"/>
        </w:rPr>
      </w:pPr>
      <w:r>
        <w:rPr>
          <w:rFonts w:ascii="Times New Roman" w:cs="Times New Roman" w:eastAsia="Times New Roman" w:hAnsi="Times New Roman"/>
          <w:sz w:val="18"/>
          <w:szCs w:val="18"/>
          <w:color w:val="auto"/>
        </w:rPr>
        <w:t>We anticipate that we may seek an Accelerated Approval development pathway for certain of our product candidates and indications. Under the Accelerated Approval provisions in the Federal Food, Drug, and Cosmetic Act, or FDCA, and the FDA’s implementing regulations, the FDA may grant Accelerated Approval to a product designed to treat a serious or life-threatening condition that provides meaningful therapeutic benefit over available therapies upon a determination that the product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contingent on the sponsor’s agreement to conduct, in a diligent manner, additional post-approval confirmatory studies to verify and describe the drug’s clinical profile or risks and benefits for Traditional Approval. If such post-approval studies fail to confirm the drug’s clinical profile or risks and benefits, the FDA may withdraw its approval of the drug.</w:t>
      </w:r>
    </w:p>
    <w:p>
      <w:pPr>
        <w:spacing w:after="0" w:line="189" w:lineRule="exact"/>
        <w:rPr>
          <w:sz w:val="20"/>
          <w:szCs w:val="20"/>
          <w:color w:val="auto"/>
        </w:rPr>
      </w:pPr>
    </w:p>
    <w:p>
      <w:pPr>
        <w:ind w:right="80" w:firstLine="518"/>
        <w:spacing w:after="0" w:line="254" w:lineRule="auto"/>
        <w:rPr>
          <w:sz w:val="20"/>
          <w:szCs w:val="20"/>
          <w:color w:val="auto"/>
        </w:rPr>
      </w:pPr>
      <w:r>
        <w:rPr>
          <w:rFonts w:ascii="Times New Roman" w:cs="Times New Roman" w:eastAsia="Times New Roman" w:hAnsi="Times New Roman"/>
          <w:sz w:val="18"/>
          <w:szCs w:val="18"/>
          <w:color w:val="auto"/>
        </w:rPr>
        <w:t>If we choose to pursue Accelerated Approval, we intend to seek feedback from the FDA and will otherwise evaluate our ability to seek and receive such Accelerated Approval. There can be no assurance that the FDA will agree that our endpoint is an appropriate surrogate endpoint. There can also be no assurance that after our evaluation of the feedback and other factors we will decide to pursue or submit an NDA for Accelerated Approval or any other form of expedited development, review or approval. Similarly, there can be no assurance that after subsequent FDA feedback that we will continue to pursue or apply for Accelerated Approval or any other form of expedited development, review or approval, even if we initially decide to do so. Furthermore, if we decide to submit an application for Accelerated Approval, there can be no assurance that such submission or application will be accepted or that any expedited review or approval will be granted on a timely basis, or at all. The FDA or other non-U.S. authorities could also require us to conduct further studies prior to considering our application or granting approval of any type. Even if the FDA agreed that we could pursue an Accelerated Approval registration pathway, we might not be able to fulfill the FDA’s requirements with respect to chemistry, manufacturing and controls in a timely manner, which would cause delays, or approval might not be granted because our submission is deemed incomplete by the FDA.</w:t>
      </w:r>
    </w:p>
    <w:p>
      <w:pPr>
        <w:spacing w:after="0" w:line="186"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A failure to obtain Accelerated Approval or any other form of expedited development, review or approval for our product candidates would result in a longer time period to commercialization of such product candidate, could increase the cost of development of such product candidate and could harm our competitive position in the marketplace.</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380"/>
          </w:cols>
          <w:pgMar w:left="240" w:top="333" w:right="279" w:bottom="1440" w:gutter="0" w:footer="0" w:header="0"/>
        </w:sectPr>
      </w:pPr>
    </w:p>
    <w:bookmarkStart w:id="32" w:name="page33"/>
    <w:bookmarkEnd w:id="32"/>
    <w:p>
      <w:pPr>
        <w:ind w:right="120"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Serious adverse events of CRLX101 or any of our product candidates may be identified during clinical development. Further, other unexpected properties of our product candidates may be identified during manufacture or development. Such adverse events or unexpected properties could delay or prevent the continued development and/or marketing approval of any such product candidate.</w:t>
      </w:r>
    </w:p>
    <w:p>
      <w:pPr>
        <w:spacing w:after="0" w:line="175" w:lineRule="exact"/>
        <w:rPr>
          <w:sz w:val="20"/>
          <w:szCs w:val="20"/>
          <w:color w:val="auto"/>
        </w:rPr>
      </w:pPr>
    </w:p>
    <w:p>
      <w:pPr>
        <w:ind w:right="60" w:firstLine="518"/>
        <w:spacing w:after="0" w:line="254" w:lineRule="auto"/>
        <w:rPr>
          <w:sz w:val="20"/>
          <w:szCs w:val="20"/>
          <w:color w:val="auto"/>
        </w:rPr>
      </w:pPr>
      <w:r>
        <w:rPr>
          <w:rFonts w:ascii="Times New Roman" w:cs="Times New Roman" w:eastAsia="Times New Roman" w:hAnsi="Times New Roman"/>
          <w:sz w:val="18"/>
          <w:szCs w:val="18"/>
          <w:color w:val="auto"/>
        </w:rPr>
        <w:t>Serious adverse events caused by, or other unexpected properties of, our product candidates could cause us, an institutional review board or regulatory authorities to interrupt, delay or halt clinical trials of one or more of our product candidates and could result in a more restrictive label or the delay or denial of marketing approval by the FDA or comparable non-U.S. regulatory authorities. If any of our product candidates is associated with serious adverse events or other unexpected properties, we may need to abandon development or limit development of that product candidate to certain uses or subpopulations in which those undesirable characteristics would be expected to be less prevalent, less severe or more tolerable from a risk-benefit perspective. If we learn that the manufacture of our product candidates generates unexpected impurities or product degradants, these properties could contribute to serious adverse events and negatively impact our overall development cost and timelines as we address those properties. Many compounds that initially showed promise in clinical or earlier stage testing have later been found to cause serious or unexpected adverse events and negatively affect overall development costs and timelines, which may even prevent further development of the compound.</w:t>
      </w:r>
    </w:p>
    <w:p>
      <w:pPr>
        <w:spacing w:after="0" w:line="189"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Both camptothecin, the anti-cancer payload of CRLX101, and docetaxel, the anti-cancer payload of CRLX301, have been associated with toxicities. These toxicities led to discontinuation of the clinical development in the case of camptothecin and have led to dose adjustments, treatment discontinuation and extensive supportive care in the case of docetaxel. While we believe that our Dynamic Tumor Targeting Platform has the potential to improve the unfavorable adverse event profiles of both camptothecin and docetaxel, if this hypothesis is wrong and we experience unexpected or more severe toxicities in our ongoing clinical trials or in clinical trials we conduct in the future, whether due to the inclusion of camptothecin or docetaxel or another therapeutic as the anti-cancer payload in our NDCs or otherwise, we may not receive approval to market, or achieve commercial success with respect to, any of our product candidates, which could prevent us from ever generating revenues or achieving profitability. In addition, our Dynamic Tumor Targeting Platform may have other limitations with respect to targeting tumors and limiting exposure of normal tissue to our NDCs’ anti-cancer payload. For example, liver tissue has pore sizes that are generally larger than other normal tissue, and therefore, our NDCs and their anti-cancer payloads may preferentially concentrate in the liver.</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identify or discover additional potential product candidates.</w:t>
      </w:r>
    </w:p>
    <w:p>
      <w:pPr>
        <w:spacing w:after="0" w:line="229"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The development of new NDCs based on our Dynamic Tumor Targeting Platform is a key area of research for us. The drug discovery that we are conducting using our Dynamic Tumor Targeting Platform may not be successful in creating compounds that have commercial value or therapeutic utility. Our research programs may initially show promise in creating potential product candidates, yet fail to yield viable product candidates for clinical development for a number of reasons, including:</w:t>
      </w:r>
    </w:p>
    <w:p>
      <w:pPr>
        <w:ind w:left="820" w:hanging="294"/>
        <w:spacing w:after="0" w:line="220" w:lineRule="auto"/>
        <w:tabs>
          <w:tab w:leader="none" w:pos="820" w:val="left"/>
        </w:tabs>
        <w:numPr>
          <w:ilvl w:val="0"/>
          <w:numId w:val="2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newly designed NDCs may not demonstrate satisfactory efficacy or other benefits, either alone or in combination with other therapeutics; or</w:t>
      </w:r>
    </w:p>
    <w:p>
      <w:pPr>
        <w:spacing w:after="0" w:line="142" w:lineRule="exact"/>
        <w:rPr>
          <w:rFonts w:ascii="Times New Roman" w:cs="Times New Roman" w:eastAsia="Times New Roman" w:hAnsi="Times New Roman"/>
          <w:sz w:val="29"/>
          <w:szCs w:val="29"/>
          <w:color w:val="auto"/>
          <w:vertAlign w:val="superscript"/>
        </w:rPr>
      </w:pPr>
    </w:p>
    <w:p>
      <w:pPr>
        <w:ind w:left="820" w:right="140" w:hanging="294"/>
        <w:spacing w:after="0" w:line="194" w:lineRule="auto"/>
        <w:tabs>
          <w:tab w:leader="none" w:pos="820" w:val="left"/>
        </w:tabs>
        <w:numPr>
          <w:ilvl w:val="0"/>
          <w:numId w:val="2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potential product candidates may, on further study, be shown to have harmful toxicities or other characteristics that indicate that they are unlikely to be products that will receive marketing approval and achieve market acceptance.</w:t>
      </w:r>
    </w:p>
    <w:p>
      <w:pPr>
        <w:spacing w:after="0" w:line="200" w:lineRule="exact"/>
        <w:rPr>
          <w:sz w:val="20"/>
          <w:szCs w:val="20"/>
          <w:color w:val="auto"/>
        </w:rPr>
      </w:pPr>
    </w:p>
    <w:p>
      <w:pPr>
        <w:ind w:right="180" w:firstLine="518"/>
        <w:spacing w:after="0" w:line="258" w:lineRule="auto"/>
        <w:rPr>
          <w:sz w:val="20"/>
          <w:szCs w:val="20"/>
          <w:color w:val="auto"/>
        </w:rPr>
      </w:pPr>
      <w:r>
        <w:rPr>
          <w:rFonts w:ascii="Times New Roman" w:cs="Times New Roman" w:eastAsia="Times New Roman" w:hAnsi="Times New Roman"/>
          <w:sz w:val="18"/>
          <w:szCs w:val="18"/>
          <w:color w:val="auto"/>
        </w:rPr>
        <w:t>Our research programs to identify new product candidates will require substantial technical, financial and human resources. We may be unsuccessful in our efforts to identify new potential product candidates. In addition, we may focus our efforts and resources on one or more potential product candidates that ultimately prove to be unsuccessful. If we are unable to identify suitable additional compounds for preclinical and clinical development, our ability to develop product candidates and obtain product revenues in future periods could be compromised, which could result in significant harm to our financial position and adversely impact our stock price.</w:t>
      </w:r>
    </w:p>
    <w:p>
      <w:pPr>
        <w:spacing w:after="0" w:line="180" w:lineRule="exact"/>
        <w:rPr>
          <w:sz w:val="20"/>
          <w:szCs w:val="20"/>
          <w:color w:val="auto"/>
        </w:rPr>
      </w:pPr>
    </w:p>
    <w:p>
      <w:pPr>
        <w:jc w:val="both"/>
        <w:ind w:right="140"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one of our product candidates receives marketing approval, it may fail to achieve the degree of market acceptance by physicians, patients, third party payors and others in the medical community necessary for commercial success and the market opportunity for the product candidate may be smaller than we estimate.</w:t>
      </w:r>
    </w:p>
    <w:p>
      <w:pPr>
        <w:spacing w:after="0" w:line="175"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We have never commercialized a product. Even if CRLX101 or any of our other product candidates is approved by the appropriate regulatory authorities for marketing and sale, it may nonetheless fail to gain sufficient market acceptance by physicians, patients, third party payors and others in the medical community. For example, physicians are often reluctant to switch their patients from existing therapies even when new and potentially more effective or convenient treatments enter the market. Further, patients often acclimate to the therapy that they are currently taking and do not want to switch unless their physicians recommend switching products or they are required to switch therapies due to lack of reimbursement for existing therapies.</w:t>
      </w:r>
    </w:p>
    <w:p>
      <w:pPr>
        <w:spacing w:after="0" w:line="184" w:lineRule="exact"/>
        <w:rPr>
          <w:sz w:val="20"/>
          <w:szCs w:val="20"/>
          <w:color w:val="auto"/>
        </w:rPr>
      </w:pPr>
    </w:p>
    <w:p>
      <w:pPr>
        <w:ind w:right="160" w:firstLine="518"/>
        <w:spacing w:after="0" w:line="282" w:lineRule="auto"/>
        <w:rPr>
          <w:sz w:val="20"/>
          <w:szCs w:val="20"/>
          <w:color w:val="auto"/>
        </w:rPr>
      </w:pPr>
      <w:r>
        <w:rPr>
          <w:rFonts w:ascii="Times New Roman" w:cs="Times New Roman" w:eastAsia="Times New Roman" w:hAnsi="Times New Roman"/>
          <w:sz w:val="18"/>
          <w:szCs w:val="18"/>
          <w:color w:val="auto"/>
        </w:rPr>
        <w:t>Efforts to educate the medical community and third party payors on the benefits of our product candidates may require significant resources and may not be successful. If any of our product candidates is approved but does not achieve an adequate level of</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333" w:right="239" w:bottom="1440" w:gutter="0" w:footer="0" w:header="0"/>
        </w:sectPr>
      </w:pPr>
    </w:p>
    <w:bookmarkStart w:id="33" w:name="page34"/>
    <w:bookmarkEnd w:id="33"/>
    <w:p>
      <w:pPr>
        <w:ind w:right="240"/>
        <w:spacing w:after="0" w:line="282" w:lineRule="auto"/>
        <w:rPr>
          <w:sz w:val="20"/>
          <w:szCs w:val="20"/>
          <w:color w:val="auto"/>
        </w:rPr>
      </w:pPr>
      <w:r>
        <w:rPr>
          <w:rFonts w:ascii="Times New Roman" w:cs="Times New Roman" w:eastAsia="Times New Roman" w:hAnsi="Times New Roman"/>
          <w:sz w:val="18"/>
          <w:szCs w:val="18"/>
          <w:color w:val="auto"/>
        </w:rPr>
        <w:t>market acceptance, we may not generate significant revenues and may not become profitable. The degree of market acceptance of CRLX101 or any of our other product candidates, if approved for commercial sale, will depend on a number of factors, including:</w:t>
      </w:r>
    </w:p>
    <w:p>
      <w:pPr>
        <w:ind w:left="820" w:hanging="294"/>
        <w:spacing w:after="0" w:line="236" w:lineRule="auto"/>
        <w:tabs>
          <w:tab w:leader="none" w:pos="820" w:val="left"/>
        </w:tabs>
        <w:numPr>
          <w:ilvl w:val="0"/>
          <w:numId w:val="2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efficacy and safety of the product;</w:t>
      </w:r>
    </w:p>
    <w:p>
      <w:pPr>
        <w:spacing w:after="0" w:line="142" w:lineRule="exact"/>
        <w:rPr>
          <w:rFonts w:ascii="Times New Roman" w:cs="Times New Roman" w:eastAsia="Times New Roman" w:hAnsi="Times New Roman"/>
          <w:sz w:val="29"/>
          <w:szCs w:val="29"/>
          <w:color w:val="auto"/>
          <w:vertAlign w:val="superscript"/>
        </w:rPr>
      </w:pPr>
    </w:p>
    <w:p>
      <w:pPr>
        <w:ind w:left="820" w:hanging="294"/>
        <w:spacing w:after="0" w:line="185" w:lineRule="auto"/>
        <w:tabs>
          <w:tab w:leader="none" w:pos="820" w:val="left"/>
        </w:tabs>
        <w:numPr>
          <w:ilvl w:val="0"/>
          <w:numId w:val="2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the potential advantages of the product compared to alternative treatments;</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2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the prevalence and severity of any side effects;</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2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the clinical indications for which the product is approved;</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2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whether the product is designated under physician treatment guidelines as a first-line therapy or as a second- or third-line therapy;</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2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limitations or warnings, including distribution or use restrictions, contained in the product’s approved labeling;</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2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our ability to offer the product for sale at competitive prices;</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2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our ability to establish and maintain pricing sufficient to realize a meaningful return on our investment;</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2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the product’s convenience and ease of administration compared to alternative treatments;</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2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the willingness of the target patient population to try, and of physicians to prescribe, the product;</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2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the strength of sales, marketing and distribution support;</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2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the availability of alternative treatments already approved or approval of other new products for the same indications;</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2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changes in the standard of care for the targeted indications for the product;</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2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the timing of market introduction of our approved products as well as competitive products and other therapies;</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2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availability and amount of reimbursement from government payors, managed care plans and other third party payors;</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2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the strength and efficacy of our marketing and distribution efforts;</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2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adverse publicity about the product or favorable publicity about competitive products; and</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2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potential product liability claims.</w:t>
      </w:r>
    </w:p>
    <w:p>
      <w:pPr>
        <w:spacing w:after="0" w:line="199"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The potential market opportunities for our product candidates are difficult to estimate precisely. Our estimates of the potential market opportunities are predicated on many assumptions, including industry knowledge and publications, third party research reports and other surveys. While we believe that our internal assumptions are reasonable, these assumptions involve the exercise of significant judgment on the part of our management, are inherently uncertain and the reasonableness of these assumptions has not been assessed by an independent source. If any of the assumptions proves to be inaccurate, the actual markets for our product candidates could be smaller than our estimates of the potential market opportunities.</w:t>
      </w:r>
    </w:p>
    <w:p>
      <w:pPr>
        <w:spacing w:after="0" w:line="180" w:lineRule="exact"/>
        <w:rPr>
          <w:sz w:val="20"/>
          <w:szCs w:val="20"/>
          <w:color w:val="auto"/>
        </w:rPr>
      </w:pPr>
    </w:p>
    <w:p>
      <w:pPr>
        <w:ind w:right="58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of our product candidates receives marketing approval and we, or others, later discover that the drug is less effective than previously believed or causes undesirable side effects that were not previously identified, our ability to market the drug could be compromised.</w:t>
      </w:r>
    </w:p>
    <w:p>
      <w:pPr>
        <w:spacing w:after="0" w:line="159"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color w:val="auto"/>
        </w:rPr>
        <w:t>Clinical trials of our product candidates are conducted in carefully defined subsets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 If, following approval of a product candidate, we, or others, discover that the drug is less effective than previously believed or causes undesirable side effects that were not previously identified, any of the following adverse events could occur:</w:t>
      </w:r>
    </w:p>
    <w:p>
      <w:pPr>
        <w:spacing w:after="0" w:line="13" w:lineRule="exact"/>
        <w:rPr>
          <w:sz w:val="20"/>
          <w:szCs w:val="20"/>
          <w:color w:val="auto"/>
        </w:rPr>
      </w:pPr>
    </w:p>
    <w:p>
      <w:pPr>
        <w:ind w:left="820" w:hanging="294"/>
        <w:spacing w:after="0"/>
        <w:tabs>
          <w:tab w:leader="none" w:pos="820" w:val="left"/>
        </w:tabs>
        <w:numPr>
          <w:ilvl w:val="0"/>
          <w:numId w:val="3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regulatory authorities may withdraw their approval of the drug or seize the drug;</w:t>
      </w:r>
    </w:p>
    <w:p>
      <w:pPr>
        <w:spacing w:after="0" w:line="141" w:lineRule="exact"/>
        <w:rPr>
          <w:rFonts w:ascii="Times New Roman" w:cs="Times New Roman" w:eastAsia="Times New Roman" w:hAnsi="Times New Roman"/>
          <w:sz w:val="29"/>
          <w:szCs w:val="29"/>
          <w:color w:val="auto"/>
          <w:vertAlign w:val="superscript"/>
        </w:rPr>
      </w:pPr>
    </w:p>
    <w:p>
      <w:pPr>
        <w:ind w:left="820" w:hanging="294"/>
        <w:spacing w:after="0" w:line="185" w:lineRule="auto"/>
        <w:tabs>
          <w:tab w:leader="none" w:pos="820" w:val="left"/>
        </w:tabs>
        <w:numPr>
          <w:ilvl w:val="0"/>
          <w:numId w:val="3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we may be required to recall the drug or change the way the drug is administered;</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3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additional restrictions may be imposed on the marketing of, or the manufacturing processes for, the particular drug;</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3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we may be subject to fines, injunctions or the imposition of civil or criminal penalties;</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3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regulatory authorities may require the addition of labeling statements, such as a “black box” warning or a contraindication;</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380"/>
          </w:cols>
          <w:pgMar w:left="240" w:top="337" w:right="279" w:bottom="1440" w:gutter="0" w:footer="0" w:header="0"/>
        </w:sectPr>
      </w:pPr>
    </w:p>
    <w:bookmarkStart w:id="34" w:name="page35"/>
    <w:bookmarkEnd w:id="34"/>
    <w:p>
      <w:pPr>
        <w:ind w:left="820" w:hanging="294"/>
        <w:spacing w:after="0"/>
        <w:tabs>
          <w:tab w:leader="none" w:pos="820" w:val="left"/>
        </w:tabs>
        <w:numPr>
          <w:ilvl w:val="0"/>
          <w:numId w:val="3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we may be required to create a Medication Guide outlining the risks of the previously unidentified side effects for distribution to patients;</w:t>
      </w:r>
    </w:p>
    <w:p>
      <w:pPr>
        <w:spacing w:after="0" w:line="131" w:lineRule="exact"/>
        <w:rPr>
          <w:rFonts w:ascii="Times New Roman" w:cs="Times New Roman" w:eastAsia="Times New Roman" w:hAnsi="Times New Roman"/>
          <w:sz w:val="29"/>
          <w:szCs w:val="29"/>
          <w:color w:val="auto"/>
          <w:vertAlign w:val="superscript"/>
        </w:rPr>
      </w:pPr>
    </w:p>
    <w:p>
      <w:pPr>
        <w:ind w:left="820" w:hanging="294"/>
        <w:spacing w:after="0" w:line="186" w:lineRule="auto"/>
        <w:tabs>
          <w:tab w:leader="none" w:pos="820" w:val="left"/>
        </w:tabs>
        <w:numPr>
          <w:ilvl w:val="0"/>
          <w:numId w:val="3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we could be sued and held liable for harm caused to patients;</w:t>
      </w:r>
    </w:p>
    <w:p>
      <w:pPr>
        <w:spacing w:after="0" w:line="143" w:lineRule="exact"/>
        <w:rPr>
          <w:rFonts w:ascii="Times New Roman" w:cs="Times New Roman" w:eastAsia="Times New Roman" w:hAnsi="Times New Roman"/>
          <w:sz w:val="26"/>
          <w:szCs w:val="26"/>
          <w:color w:val="auto"/>
          <w:vertAlign w:val="superscript"/>
        </w:rPr>
      </w:pPr>
    </w:p>
    <w:p>
      <w:pPr>
        <w:ind w:left="820" w:hanging="294"/>
        <w:spacing w:after="0" w:line="185" w:lineRule="auto"/>
        <w:tabs>
          <w:tab w:leader="none" w:pos="820" w:val="left"/>
        </w:tabs>
        <w:numPr>
          <w:ilvl w:val="0"/>
          <w:numId w:val="3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the drug may become less competitive; and</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3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our reputation may suffer.</w:t>
      </w:r>
    </w:p>
    <w:p>
      <w:pPr>
        <w:spacing w:after="0" w:line="1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of these events could have a material and adverse effect on our operations and business and could adversely impact our stock price.</w:t>
      </w:r>
    </w:p>
    <w:p>
      <w:pPr>
        <w:spacing w:after="0" w:line="221" w:lineRule="exact"/>
        <w:rPr>
          <w:sz w:val="20"/>
          <w:szCs w:val="20"/>
          <w:color w:val="auto"/>
        </w:rPr>
      </w:pPr>
    </w:p>
    <w:p>
      <w:pPr>
        <w:ind w:right="60"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marketing and distribution capabilities or enter into acceptable sales, marketing and distribution arrangements with third parties, we may not be successful in commercializing any product candidates that we develop, if and when those product candidates are approved.</w:t>
      </w:r>
    </w:p>
    <w:p>
      <w:pPr>
        <w:spacing w:after="0" w:line="175" w:lineRule="exact"/>
        <w:rPr>
          <w:sz w:val="20"/>
          <w:szCs w:val="20"/>
          <w:color w:val="auto"/>
        </w:rPr>
      </w:pPr>
    </w:p>
    <w:p>
      <w:pPr>
        <w:ind w:firstLine="518"/>
        <w:spacing w:after="0" w:line="253" w:lineRule="auto"/>
        <w:rPr>
          <w:sz w:val="20"/>
          <w:szCs w:val="20"/>
          <w:color w:val="auto"/>
        </w:rPr>
      </w:pPr>
      <w:r>
        <w:rPr>
          <w:rFonts w:ascii="Times New Roman" w:cs="Times New Roman" w:eastAsia="Times New Roman" w:hAnsi="Times New Roman"/>
          <w:sz w:val="18"/>
          <w:szCs w:val="18"/>
          <w:color w:val="auto"/>
        </w:rPr>
        <w:t>We do not have a sales, marketing or distribution infrastructure and have limited experience in the sale, marketing or distribution of pharmaceutical products. To achieve commercial success for any approved product, we must either develop a sales and marketing organization or outsource these functions to third parties. If approved, we expect to commercialize our lead product candidates in the United States directly with a small and highly focused commercialization organization. The development of sales, marketing and distribution capabilities will require substantial resources, will be time-consuming and could delay any product launch. We expect that we will commence the development of these capabilities prior to receiving approval of any of our product candidates. If the commercial launch of a product candidate for which we recruit a sales force and establish marketing and distribution capabilities is delayed or does not occur for any reason, we could have prematurely or unnecessarily incurred these commercialization costs. Such a delay may be costly, and our investment could be lost if we cannot retain or reposition our sales and marketing personnel. In addition, we may not be able to hire or retain a sales force in the United States that is sufficient in size or has adequate expertise in the medical markets that we plan to target. If we are unable to establish or retain a sales force and marketing and distribution capabilities, our operating results may be adversely affected. If a potential partner has development or commercialization expertise that we believe is particularly relevant to one of our products, then we may seek to collaborate with that potential partner even if we believe we could otherwise develop and commercialize the product independently.</w:t>
      </w:r>
    </w:p>
    <w:p>
      <w:pPr>
        <w:spacing w:after="0" w:line="191"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We expect to seek one or more strategic partners for commercialization of our product candidates outside the United States. As a result of entering into arrangements with third parties to perform sales, marketing and distribution services, our product revenues or the profitability of these product revenues may be lower, perhaps substantially lower, than if we were to directly market and sell products in those markets. Furthermore, we may be unsuccessful in entering into the necessary arrangements with third parties or may be unable to do so on terms that are favorable to us. In addition, we may have little or no control over such third parties, and any of them may fail to devote the necessary resources and attention to sell and market our products effectively.</w:t>
      </w:r>
    </w:p>
    <w:p>
      <w:pPr>
        <w:spacing w:after="0" w:line="184" w:lineRule="exact"/>
        <w:rPr>
          <w:sz w:val="20"/>
          <w:szCs w:val="20"/>
          <w:color w:val="auto"/>
        </w:rPr>
      </w:pPr>
    </w:p>
    <w:p>
      <w:pPr>
        <w:ind w:right="880" w:firstLine="518"/>
        <w:spacing w:after="0" w:line="282" w:lineRule="auto"/>
        <w:rPr>
          <w:sz w:val="20"/>
          <w:szCs w:val="20"/>
          <w:color w:val="auto"/>
        </w:rPr>
      </w:pPr>
      <w:r>
        <w:rPr>
          <w:rFonts w:ascii="Times New Roman" w:cs="Times New Roman" w:eastAsia="Times New Roman" w:hAnsi="Times New Roman"/>
          <w:sz w:val="18"/>
          <w:szCs w:val="18"/>
          <w:color w:val="auto"/>
        </w:rPr>
        <w:t>If we do not establish sales and marketing capabilities, either on our own or in collaboration with third parties, we will not be successful in commercializing any of our product candidates that receive marketing approval.</w:t>
      </w:r>
    </w:p>
    <w:p>
      <w:pPr>
        <w:spacing w:after="0" w:line="158" w:lineRule="exact"/>
        <w:rPr>
          <w:sz w:val="20"/>
          <w:szCs w:val="20"/>
          <w:color w:val="auto"/>
        </w:rPr>
      </w:pPr>
    </w:p>
    <w:p>
      <w:pPr>
        <w:ind w:right="60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from other pharmaceutical and biotechnology companies and our operating results may suffer if we fail to compete effectively.</w:t>
      </w:r>
    </w:p>
    <w:p>
      <w:pPr>
        <w:spacing w:after="0" w:line="159"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The development and commercialization of new drug products is highly competitive. We expect that we will face significant competition from major pharmaceutical companies, specialty pharmaceutical companies and biotechnology companies worldwide with respect to CRLX101, CRLX301 and any future product candidates that we may seek to develop or commercialize. Specifically, due to the large unmet medical need, global demographics and relatively attractive reimbursement dynamics, the oncology market is fiercely competitive and there are a number of large pharmaceutical and biotechnology companies that currently market and sell products or are pursuing the development of product candidates for the treatment of cancer. Our competitors may succeed in developing, acquiring or licensing technologies and drug products that are more effective, have fewer or more tolerable adverse events or are less costly than any product candidates that we are currently developing or that we may develop, which could render our product candidates obsolete and noncompetitive.</w:t>
      </w:r>
    </w:p>
    <w:p>
      <w:pPr>
        <w:spacing w:after="0" w:line="185"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Several companies are marketing and developing oncology products. Companies with marketed nanoparticle oncology products include Celgene Corporation (Abraxane indicated for breast cancer, NSCLC and pancreatic cancer), Janssen (Doxil® for ovarian cancer and, in combination with botezomib, for multiple myeloma) and Spectrum Pharmaceuticals (Marqibo ® (vincristine sulfate liposome injection) indicated for relapsed Philadelphia chromosome-negative acute lymphoblastic leukemia). Companies with nanoparticle oncology product candidates in clinical development include BIND Therapeutics, Inc. (BIND 014 for NSCLC and metastatic castration-resistant prostate cancer), Nippon Kayku Seizo Co., Ltd. (NK105 in breast cancer), Celator Pharmaceuticals, Inc. (CPX-351 for acute myeloid leukemia), Celsion Corporation (ThermoDox ® (lyso-thermosensitive liposomal doxorubicin) for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00"/>
          </w:cols>
          <w:pgMar w:left="240" w:top="22" w:right="259" w:bottom="1440" w:gutter="0" w:footer="0" w:header="0"/>
        </w:sectPr>
      </w:pPr>
    </w:p>
    <w:bookmarkStart w:id="35" w:name="page36"/>
    <w:bookmarkEnd w:id="35"/>
    <w:p>
      <w:pPr>
        <w:ind w:right="220"/>
        <w:spacing w:after="0" w:line="266" w:lineRule="auto"/>
        <w:rPr>
          <w:sz w:val="20"/>
          <w:szCs w:val="20"/>
          <w:color w:val="auto"/>
        </w:rPr>
      </w:pPr>
      <w:r>
        <w:rPr>
          <w:rFonts w:ascii="Times New Roman" w:cs="Times New Roman" w:eastAsia="Times New Roman" w:hAnsi="Times New Roman"/>
          <w:sz w:val="18"/>
          <w:szCs w:val="18"/>
          <w:color w:val="auto"/>
        </w:rPr>
        <w:t>solid tumors), Cytimmune Sciences, Inc. (CYT-6091 for oncology and autoimmune diseases) and Supratek Pharma Inc. (SP1049C for solid tumors). In addition, at least two companies have clinical-stage oncology product candidates that are irinotecan reformulations: Merrimack Pharmaceuticals’ liposomal irinotecan (MM-398 for pancreatic and colorectal cancer) and Nektar Therapeutics’ etirinotecan pegol (NKTR102 for breast cancer).</w:t>
      </w:r>
    </w:p>
    <w:p>
      <w:pPr>
        <w:spacing w:after="0" w:line="176"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marketing approval for their product candidates before we are able to obtain approval for our product candidates, which could result in our competitors establishing a strong market position before we are able to enter the market. The competition for CRLX101 in our targeted indications includes the following:</w:t>
      </w:r>
    </w:p>
    <w:p>
      <w:pPr>
        <w:spacing w:after="0" w:line="178" w:lineRule="exact"/>
        <w:rPr>
          <w:sz w:val="20"/>
          <w:szCs w:val="20"/>
          <w:color w:val="auto"/>
        </w:rPr>
      </w:pPr>
    </w:p>
    <w:p>
      <w:pPr>
        <w:ind w:right="20" w:firstLine="518"/>
        <w:spacing w:after="0" w:line="261" w:lineRule="auto"/>
        <w:rPr>
          <w:sz w:val="20"/>
          <w:szCs w:val="20"/>
          <w:color w:val="auto"/>
        </w:rPr>
      </w:pPr>
      <w:r>
        <w:rPr>
          <w:rFonts w:ascii="Times New Roman" w:cs="Times New Roman" w:eastAsia="Times New Roman" w:hAnsi="Times New Roman"/>
          <w:sz w:val="18"/>
          <w:szCs w:val="18"/>
          <w:i w:val="1"/>
          <w:iCs w:val="1"/>
          <w:color w:val="auto"/>
        </w:rPr>
        <w:t>Renal Cell Carcinoma</w:t>
      </w:r>
      <w:r>
        <w:rPr>
          <w:rFonts w:ascii="Times New Roman" w:cs="Times New Roman" w:eastAsia="Times New Roman" w:hAnsi="Times New Roman"/>
          <w:sz w:val="18"/>
          <w:szCs w:val="18"/>
          <w:color w:val="auto"/>
        </w:rPr>
        <w:t>. In advanced RCC, several drugs in development have the potential to obtain FDA marketing approval and change the standard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care. If this occurs, currently available treatments could be replaced or altered and our commercial opportunity could be reduced. For example, Exelixis, Inc. is developing cabozantinib in advanced RCC and the data from its ongoing phase 3 trial are anticipated in 2015. Acceleron Pharma Inc. is developing dalantercept in combination with axitinib, and TRACON Pharmaceuticals, Inc. is developing TRC105, also in combination with axitinib.</w:t>
      </w:r>
    </w:p>
    <w:p>
      <w:pPr>
        <w:spacing w:after="0" w:line="182" w:lineRule="exact"/>
        <w:rPr>
          <w:sz w:val="20"/>
          <w:szCs w:val="20"/>
          <w:color w:val="auto"/>
        </w:rPr>
      </w:pPr>
    </w:p>
    <w:p>
      <w:pPr>
        <w:ind w:right="220" w:firstLine="518"/>
        <w:spacing w:after="0" w:line="261" w:lineRule="auto"/>
        <w:rPr>
          <w:sz w:val="20"/>
          <w:szCs w:val="20"/>
          <w:color w:val="auto"/>
        </w:rPr>
      </w:pPr>
      <w:r>
        <w:rPr>
          <w:rFonts w:ascii="Times New Roman" w:cs="Times New Roman" w:eastAsia="Times New Roman" w:hAnsi="Times New Roman"/>
          <w:sz w:val="18"/>
          <w:szCs w:val="18"/>
          <w:color w:val="auto"/>
        </w:rPr>
        <w:t>In addition to these tyrosine kinase inhibitor and tyrosine kinase inhibitor combination programs in advanced RCC, immune checkpoint inhibitors, including nivolumab and pembrolizumab, are also being developed in RCC. Although these product candidates are being tested for earlier lines of therapy, they also have the potential to change the standard of care in advanced RCC, which, among other things, could result in existing first line therapies being prescribed instead for later lines of therapy. If this occurs, it would potentially reduce the commercial opportunity for CRLX101 in relapsed RCC.</w:t>
      </w:r>
    </w:p>
    <w:p>
      <w:pPr>
        <w:spacing w:after="0" w:line="178" w:lineRule="exact"/>
        <w:rPr>
          <w:sz w:val="20"/>
          <w:szCs w:val="20"/>
          <w:color w:val="auto"/>
        </w:rPr>
      </w:pPr>
    </w:p>
    <w:p>
      <w:pPr>
        <w:ind w:right="340" w:firstLine="518"/>
        <w:spacing w:after="0" w:line="284" w:lineRule="auto"/>
        <w:rPr>
          <w:sz w:val="20"/>
          <w:szCs w:val="20"/>
          <w:color w:val="auto"/>
        </w:rPr>
      </w:pPr>
      <w:r>
        <w:rPr>
          <w:rFonts w:ascii="Times New Roman" w:cs="Times New Roman" w:eastAsia="Times New Roman" w:hAnsi="Times New Roman"/>
          <w:sz w:val="18"/>
          <w:szCs w:val="18"/>
          <w:i w:val="1"/>
          <w:iCs w:val="1"/>
          <w:color w:val="auto"/>
        </w:rPr>
        <w:t>Relapsed Ovarian Cancer</w:t>
      </w:r>
      <w:r>
        <w:rPr>
          <w:rFonts w:ascii="Times New Roman" w:cs="Times New Roman" w:eastAsia="Times New Roman" w:hAnsi="Times New Roman"/>
          <w:sz w:val="18"/>
          <w:szCs w:val="18"/>
          <w:color w:val="auto"/>
        </w:rPr>
        <w:t>. In relapsed ovarian cancer, the recent FDA approvals of Avastin with chemotherapy and Lynparza® in BRCA mutated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patients has changed the standard of care, which could reduce the commercial opportunity for CRLX101.</w:t>
      </w:r>
    </w:p>
    <w:p>
      <w:pPr>
        <w:spacing w:after="0" w:line="158" w:lineRule="exact"/>
        <w:rPr>
          <w:sz w:val="20"/>
          <w:szCs w:val="20"/>
          <w:color w:val="auto"/>
        </w:rPr>
      </w:pPr>
    </w:p>
    <w:p>
      <w:pPr>
        <w:ind w:right="460" w:firstLine="518"/>
        <w:spacing w:after="0" w:line="259" w:lineRule="auto"/>
        <w:rPr>
          <w:sz w:val="20"/>
          <w:szCs w:val="20"/>
          <w:color w:val="auto"/>
        </w:rPr>
      </w:pPr>
      <w:r>
        <w:rPr>
          <w:rFonts w:ascii="Times New Roman" w:cs="Times New Roman" w:eastAsia="Times New Roman" w:hAnsi="Times New Roman"/>
          <w:sz w:val="18"/>
          <w:szCs w:val="18"/>
          <w:i w:val="1"/>
          <w:iCs w:val="1"/>
          <w:color w:val="auto"/>
        </w:rPr>
        <w:t>Neoadjuvant Rectal Cancer</w:t>
      </w:r>
      <w:r>
        <w:rPr>
          <w:rFonts w:ascii="Times New Roman" w:cs="Times New Roman" w:eastAsia="Times New Roman" w:hAnsi="Times New Roman"/>
          <w:sz w:val="18"/>
          <w:szCs w:val="18"/>
          <w:color w:val="auto"/>
        </w:rPr>
        <w:t>. In neoadjuvant rectal cancer, Isofol Medical AB is developing a molecule that is currently labeled [6R] 5,10-methylenetetrahydrofolate; Karyopharm Therapeutics Inc. is developing Selinexor in combination with chemoradiotherapy; Merck KGaA is developing tecemotide with chemoradiotherapy; Genentech, Inc. is testing Avastin in combination with capecitabine; and Kadmon Corporation, LLC is developing KD018 in combination with capecitabine and radiation. If any of these product candidates receives marketing approval, our commercial opportunity in neoadjuvant rectal cancer could be reduced.</w:t>
      </w:r>
    </w:p>
    <w:p>
      <w:pPr>
        <w:spacing w:after="0" w:line="182" w:lineRule="exact"/>
        <w:rPr>
          <w:sz w:val="20"/>
          <w:szCs w:val="20"/>
          <w:color w:val="auto"/>
        </w:rPr>
      </w:pPr>
    </w:p>
    <w:p>
      <w:pPr>
        <w:ind w:right="240" w:firstLine="518"/>
        <w:spacing w:after="0" w:line="256" w:lineRule="auto"/>
        <w:rPr>
          <w:sz w:val="20"/>
          <w:szCs w:val="20"/>
          <w:color w:val="auto"/>
        </w:rPr>
      </w:pPr>
      <w:r>
        <w:rPr>
          <w:rFonts w:ascii="Times New Roman" w:cs="Times New Roman" w:eastAsia="Times New Roman" w:hAnsi="Times New Roman"/>
          <w:sz w:val="18"/>
          <w:szCs w:val="18"/>
          <w:color w:val="auto"/>
        </w:rPr>
        <w:t>Many of our existing and potential future competitors have significantly greater financial resources and expertise in research and development, manufacturing, preclinical testing, conducting clinical trials, obtaining marketing approvals and marketing approved products than we do. Mergers and acquisitions in the pharmaceutical and biotechnology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84" w:lineRule="exact"/>
        <w:rPr>
          <w:sz w:val="20"/>
          <w:szCs w:val="20"/>
          <w:color w:val="auto"/>
        </w:rPr>
      </w:pPr>
    </w:p>
    <w:p>
      <w:pPr>
        <w:jc w:val="both"/>
        <w:ind w:right="340"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FDA or comparable non-U.S. regulatory authorities approve generic versions of any of our products that receive marketing approval, or such authorities do not grant our products appropriate periods of data exclusivity before approving generic versions of our products, the sales of our products could be adversely affected.</w:t>
      </w:r>
    </w:p>
    <w:p>
      <w:pPr>
        <w:spacing w:after="0" w:line="175"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Once an NDA is approved, the product covered thereby becomes a “reference listed drug” in the FDA’s publication, “Approved Drug Products with Therapeutic Equivalence Evaluations.” Manufacturers may seek approval of generic versions of reference listed drugs through submission of abbreviated new drug applications, or ANDAs, in the United States. In support of an ANDA, a generic manufacturer need not conduct clinical studies. Rather, the applicant generally must show that its product has the same active ingredient(s), dosage form, strength, route of administration and conditions of use or labeling as the reference listed drug and that the generic version is bioequivalent to the reference listed drug, meaning it is absorbed in the body at the same rate and to the same extent. Generic products may be significantly less costly to bring to market than the reference listed drug and companies that produce generic products are generally able to offer them at lower prices. Thus, following the introduction of a generic drug, a significant percentage of the sales of any branded product or reference listed drug may be typically lost to the generic product.</w:t>
      </w:r>
    </w:p>
    <w:p>
      <w:pPr>
        <w:spacing w:after="0" w:line="185" w:lineRule="exact"/>
        <w:rPr>
          <w:sz w:val="20"/>
          <w:szCs w:val="20"/>
          <w:color w:val="auto"/>
        </w:rPr>
      </w:pPr>
    </w:p>
    <w:p>
      <w:pPr>
        <w:ind w:right="120" w:firstLine="518"/>
        <w:spacing w:after="0" w:line="256" w:lineRule="auto"/>
        <w:rPr>
          <w:sz w:val="20"/>
          <w:szCs w:val="20"/>
          <w:color w:val="auto"/>
        </w:rPr>
      </w:pPr>
      <w:r>
        <w:rPr>
          <w:rFonts w:ascii="Times New Roman" w:cs="Times New Roman" w:eastAsia="Times New Roman" w:hAnsi="Times New Roman"/>
          <w:sz w:val="18"/>
          <w:szCs w:val="18"/>
          <w:color w:val="auto"/>
        </w:rPr>
        <w:t>The FDA may not approve an ANDA for a generic product until any applicable period of non-patent exclusivity for the reference listed drug has expired. The FDCA provides a period of five years of non-patent exclusivity for a new drug containing a new chemical entity. Specifically, in cases in which such exclusivity has been granted, an ANDA may not be filed with the FDA until the expiration of five years unless the submission is accompanied by a Paragraph IV certification that a patent covering the reference listed drug is either invalid or will not be infringed by the generic product, in which case the applicant may submit its application four years following approval of the reference listed drug. While we believe that CRLX101 and certain of our other NDCs would be treated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337" w:right="239" w:bottom="1440" w:gutter="0" w:footer="0" w:header="0"/>
        </w:sectPr>
      </w:pPr>
    </w:p>
    <w:bookmarkStart w:id="36" w:name="page37"/>
    <w:bookmarkEnd w:id="36"/>
    <w:p>
      <w:pPr>
        <w:jc w:val="both"/>
        <w:spacing w:after="0" w:line="266" w:lineRule="auto"/>
        <w:rPr>
          <w:sz w:val="20"/>
          <w:szCs w:val="20"/>
          <w:color w:val="auto"/>
        </w:rPr>
      </w:pPr>
      <w:r>
        <w:rPr>
          <w:rFonts w:ascii="Times New Roman" w:cs="Times New Roman" w:eastAsia="Times New Roman" w:hAnsi="Times New Roman"/>
          <w:sz w:val="18"/>
          <w:szCs w:val="18"/>
          <w:color w:val="auto"/>
        </w:rPr>
        <w:t>as new chemical entities by the FDA and, therefore, if approved, should be afforded five years of data exclusivity, the FDA may disagree with that conclusion and may approve generic products after a period that is less than five years. Manufacturers may seek to launch these generic products following the expiration of the applicable marketing exclusivity period, even if we still have patent protection for our product.</w:t>
      </w:r>
    </w:p>
    <w:p>
      <w:pPr>
        <w:spacing w:after="0" w:line="176" w:lineRule="exact"/>
        <w:rPr>
          <w:sz w:val="20"/>
          <w:szCs w:val="20"/>
          <w:color w:val="auto"/>
        </w:rPr>
      </w:pPr>
    </w:p>
    <w:p>
      <w:pPr>
        <w:ind w:right="140" w:firstLine="518"/>
        <w:spacing w:after="0" w:line="282" w:lineRule="auto"/>
        <w:rPr>
          <w:sz w:val="20"/>
          <w:szCs w:val="20"/>
          <w:color w:val="auto"/>
        </w:rPr>
      </w:pPr>
      <w:r>
        <w:rPr>
          <w:rFonts w:ascii="Times New Roman" w:cs="Times New Roman" w:eastAsia="Times New Roman" w:hAnsi="Times New Roman"/>
          <w:sz w:val="18"/>
          <w:szCs w:val="18"/>
          <w:color w:val="auto"/>
        </w:rPr>
        <w:t>Competition that our products may face from generic versions of our products could materially and adversely impact our future revenue, profitability and cash flows and substantially limit our ability to obtain a return on the investments we have made in those product candidates.</w:t>
      </w:r>
    </w:p>
    <w:p>
      <w:pPr>
        <w:spacing w:after="0" w:line="158" w:lineRule="exact"/>
        <w:rPr>
          <w:sz w:val="20"/>
          <w:szCs w:val="20"/>
          <w:color w:val="auto"/>
        </w:rPr>
      </w:pPr>
    </w:p>
    <w:p>
      <w:pPr>
        <w:jc w:val="both"/>
        <w:ind w:right="600"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CRLX301 is, and any additional product candidate that we may develop in the future may be, an NDC that includes a generically available therapeutic as its anti-cancer payload. If physicians and/or third party payors do not believe our product offers substantial advantages over other therapies incorporating the same generic anti-cancer payload, we may not be able to successfully commercialize our product.</w:t>
      </w:r>
    </w:p>
    <w:p>
      <w:pPr>
        <w:spacing w:after="0" w:line="175"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Although we have intellectual property rights, including composition of matter patents, covering our product candidates, if approved, we expect that our product candidates will compete in the same indications against other nanoparticles and delivery platforms incorporating the same generic therapeutics. In particular, if any of our product candidates is approved and becomes commercially successful, other companies may intensify their efforts to develop a competing product that includes the corresponding generic therapeutic. If physicians, rightly or wrongly, do not believe that a product that we develop offers substantial advantages over another nanoparticle or delivery platform incorporating the same generic therapeutic, physicians might not prescribe our product. In addition, third party payors might refuse to provide reimbursement for a product that we develop when another nanoparticle or delivery platform incorporating the same generic therapeutic offers a cheaper alternative therapy in the same indication, or might otherwise encourage use of another nanoparticle or delivery platform incorporating the same generic therapeutic over our product, even if our product possesses favorable pharmaceutical properties.</w:t>
      </w:r>
    </w:p>
    <w:p>
      <w:pPr>
        <w:spacing w:after="0" w:line="185" w:lineRule="exact"/>
        <w:rPr>
          <w:sz w:val="20"/>
          <w:szCs w:val="20"/>
          <w:color w:val="auto"/>
        </w:rPr>
      </w:pPr>
    </w:p>
    <w:p>
      <w:pPr>
        <w:ind w:right="18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product candidate that we develop, the product may become subject to unfavorable pricing regulations, third party payor reimbursement practices or healthcare reform initiatives that could harm our business.</w:t>
      </w:r>
    </w:p>
    <w:p>
      <w:pPr>
        <w:spacing w:after="0" w:line="159" w:lineRule="exact"/>
        <w:rPr>
          <w:sz w:val="20"/>
          <w:szCs w:val="20"/>
          <w:color w:val="auto"/>
        </w:rPr>
      </w:pPr>
    </w:p>
    <w:p>
      <w:pPr>
        <w:ind w:right="120" w:firstLine="518"/>
        <w:spacing w:after="0" w:line="258" w:lineRule="auto"/>
        <w:rPr>
          <w:sz w:val="20"/>
          <w:szCs w:val="20"/>
          <w:color w:val="auto"/>
        </w:rPr>
      </w:pPr>
      <w:r>
        <w:rPr>
          <w:rFonts w:ascii="Times New Roman" w:cs="Times New Roman" w:eastAsia="Times New Roman" w:hAnsi="Times New Roman"/>
          <w:sz w:val="18"/>
          <w:szCs w:val="18"/>
          <w:color w:val="auto"/>
        </w:rPr>
        <w:t>The commercial success of our product candidates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 party payors. If reimbursement is not available, or is available only at limited levels, we may not be able to successfully commercialize our product candidates. Even if coverage is provided, the approved reimbursement amount may not be high enough to allow us to establish and maintain pricing sufficient to realize a meaningful return on our investment.</w:t>
      </w:r>
    </w:p>
    <w:p>
      <w:pPr>
        <w:spacing w:after="0" w:line="184" w:lineRule="exact"/>
        <w:rPr>
          <w:sz w:val="20"/>
          <w:szCs w:val="20"/>
          <w:color w:val="auto"/>
        </w:rPr>
      </w:pPr>
    </w:p>
    <w:p>
      <w:pPr>
        <w:ind w:right="200" w:firstLine="518"/>
        <w:spacing w:after="0" w:line="255" w:lineRule="auto"/>
        <w:rPr>
          <w:sz w:val="20"/>
          <w:szCs w:val="20"/>
          <w:color w:val="auto"/>
        </w:rPr>
      </w:pPr>
      <w:r>
        <w:rPr>
          <w:rFonts w:ascii="Times New Roman" w:cs="Times New Roman" w:eastAsia="Times New Roman" w:hAnsi="Times New Roman"/>
          <w:sz w:val="18"/>
          <w:szCs w:val="18"/>
          <w:color w:val="auto"/>
        </w:rPr>
        <w:t>There is significant uncertainty related to third party payor coverage and reimbursement of newly approved drugs. Marketing approvals, pricing and reimbursement for new drug products vary widely from country to country. Some countries require approval of the sale price of a drug before it can be marketed. In many countries, the pricing review period begins after marketing or product licensing approval is granted. In some non-U.S. markets, prescription 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Adverse pricing limitations may hinder our ability to recoup our investment in one or more product candidates, even if our product candidates obtain marketing approval.</w:t>
      </w:r>
    </w:p>
    <w:p>
      <w:pPr>
        <w:spacing w:after="0" w:line="189" w:lineRule="exact"/>
        <w:rPr>
          <w:sz w:val="20"/>
          <w:szCs w:val="20"/>
          <w:color w:val="auto"/>
        </w:rPr>
      </w:pPr>
    </w:p>
    <w:p>
      <w:pPr>
        <w:jc w:val="both"/>
        <w:ind w:right="340" w:firstLine="518"/>
        <w:spacing w:after="0" w:line="255" w:lineRule="auto"/>
        <w:rPr>
          <w:sz w:val="20"/>
          <w:szCs w:val="20"/>
          <w:color w:val="auto"/>
        </w:rPr>
      </w:pPr>
      <w:r>
        <w:rPr>
          <w:rFonts w:ascii="Times New Roman" w:cs="Times New Roman" w:eastAsia="Times New Roman" w:hAnsi="Times New Roman"/>
          <w:sz w:val="18"/>
          <w:szCs w:val="18"/>
          <w:color w:val="auto"/>
        </w:rPr>
        <w:t>Our ability to commercialize CRLX101 or any other product candidate will depend in part on the extent to which coverage and reimbursement for these products and related treatments will be available from government health administration authorities, private health insurers and other organizations. Government authorities and third party payors, such as private health insurers and health maintenance organizations, decide which medications they will cover and establish reimbursement levels. The healthcare industry is acutely focused on cost containment, both in the United States and elsewhere.</w:t>
      </w:r>
    </w:p>
    <w:p>
      <w:pPr>
        <w:spacing w:after="0" w:line="3"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Government authorities and third party payors have attempted to control costs by limiting coverage and the amount of reimbursement for particular medications, which could affect our ability to sell our product candidates profitably. These payors may not view our products, if any, as cost-effective, and coverage and reimbursement may not be available to our customers, or may not be sufficient to allow our products, if any, to be marketed on a competitive basis. Cost-control initiatives could cause us to decrease the price we might establish for products, which could result in lower than anticipated product revenues. If the prices for our products, if any, decrease or if governmental and other third party payors do not provide adequate coverage or reimbursement, our prospects for revenue and profitability will suffer.</w:t>
      </w:r>
    </w:p>
    <w:p>
      <w:pPr>
        <w:spacing w:after="0" w:line="190"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There may also be delays in obtaining coverage and reimbursement for newly approved drugs, and coverage may be more limited than the indications for which the drug is approved by the FDA or comparable non-U.S. regulatory authorities. Moreover, eligibility for reimbursement does not imply that any drug will be paid for in all cases or at a rate that covers our costs, including</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00"/>
          </w:cols>
          <w:pgMar w:left="240" w:top="337" w:right="259" w:bottom="1440" w:gutter="0" w:footer="0" w:header="0"/>
        </w:sectPr>
      </w:pPr>
    </w:p>
    <w:bookmarkStart w:id="37" w:name="page38"/>
    <w:bookmarkEnd w:id="37"/>
    <w:p>
      <w:pPr>
        <w:ind w:right="180"/>
        <w:spacing w:after="0" w:line="266" w:lineRule="auto"/>
        <w:rPr>
          <w:sz w:val="20"/>
          <w:szCs w:val="20"/>
          <w:color w:val="auto"/>
        </w:rPr>
      </w:pPr>
      <w:r>
        <w:rPr>
          <w:rFonts w:ascii="Times New Roman" w:cs="Times New Roman" w:eastAsia="Times New Roman" w:hAnsi="Times New Roman"/>
          <w:sz w:val="18"/>
          <w:szCs w:val="18"/>
          <w:color w:val="auto"/>
        </w:rPr>
        <w:t>research, development, manufacture, sale and distribution. Reimbursement rates may vary, by way of example, according to the use of the drug and the clinical setting in which it is used. Reimbursement rates may also be based on reimbursement levels already set for lower cost drugs or may be incorporated into existing payments for other services.</w:t>
      </w:r>
    </w:p>
    <w:p>
      <w:pPr>
        <w:spacing w:after="0" w:line="176"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In addition, increasingly, third party payors are requiring higher levels of evidence of the benefits and clinical outcomes of new technologies and are challenging the prices charged. We cannot be sure that coverage will be available for any product candidate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government-funded and private payors for any our product candidates for which we obtain marketing approval could have a material adverse effect on our operating results, our ability to raise capital needed to commercialize products and our financial condition.</w:t>
      </w:r>
    </w:p>
    <w:p>
      <w:pPr>
        <w:spacing w:after="0" w:line="185" w:lineRule="exact"/>
        <w:rPr>
          <w:sz w:val="20"/>
          <w:szCs w:val="20"/>
          <w:color w:val="auto"/>
        </w:rPr>
      </w:pPr>
    </w:p>
    <w:p>
      <w:pPr>
        <w:ind w:right="2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divert our resources, cause us to incur substantial liabilities and limit commercialization of any products that we may develop.</w:t>
      </w:r>
    </w:p>
    <w:p>
      <w:pPr>
        <w:spacing w:after="0" w:line="15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We face an inherent risk of product liability claims as a result of the clinical testing of our product candidates despite obtaining appropriate informed consents from our clinical trial participants. We will face an even greater risk if we commercially sell any product that we may develop. For example, we may be sued if any product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Regardless of the merits or eventual outcome, liability claims may result in:</w:t>
      </w:r>
    </w:p>
    <w:p>
      <w:pPr>
        <w:spacing w:after="0" w:line="23" w:lineRule="exact"/>
        <w:rPr>
          <w:sz w:val="20"/>
          <w:szCs w:val="20"/>
          <w:color w:val="auto"/>
        </w:rPr>
      </w:pPr>
    </w:p>
    <w:p>
      <w:pPr>
        <w:ind w:left="820" w:hanging="294"/>
        <w:spacing w:after="0"/>
        <w:tabs>
          <w:tab w:leader="none" w:pos="820" w:val="left"/>
        </w:tabs>
        <w:numPr>
          <w:ilvl w:val="0"/>
          <w:numId w:val="3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decreased demand for our product candidates or products that we may develop;</w:t>
      </w:r>
    </w:p>
    <w:p>
      <w:pPr>
        <w:spacing w:after="0" w:line="141" w:lineRule="exact"/>
        <w:rPr>
          <w:rFonts w:ascii="Times New Roman" w:cs="Times New Roman" w:eastAsia="Times New Roman" w:hAnsi="Times New Roman"/>
          <w:sz w:val="29"/>
          <w:szCs w:val="29"/>
          <w:color w:val="auto"/>
          <w:vertAlign w:val="superscript"/>
        </w:rPr>
      </w:pPr>
    </w:p>
    <w:p>
      <w:pPr>
        <w:ind w:left="820" w:hanging="294"/>
        <w:spacing w:after="0" w:line="185" w:lineRule="auto"/>
        <w:tabs>
          <w:tab w:leader="none" w:pos="820" w:val="left"/>
        </w:tabs>
        <w:numPr>
          <w:ilvl w:val="0"/>
          <w:numId w:val="3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injury to our reputation and significant negative media attention;</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3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withdrawal of clinical trial participants;</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3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significant costs to defend resulting litigation;</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3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substantial monetary awards to trial participants or patients;</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3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loss of revenue;</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3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reduced resources of our management to pursue our business strategy; and</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3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the inability to commercialize any products that we may develop.</w:t>
      </w:r>
    </w:p>
    <w:p>
      <w:pPr>
        <w:spacing w:after="0" w:line="199"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Although we maintain general liability insurance of $2.0 million in the aggregate, umbrella insurance in the amount of $3.0 million in the aggregate and clinical trial liability insurance of $7.5 million in the aggregate, this insurance may not fully cover potential liabilities that we may incur. The cost of any product liability litigation or other proceeding, even if resolved in our favor, could be substantial. We will need to increase our insurance coverage if and when we begin selling any product candidate that receives marketing approval. In addition, insurance coverage is becoming increasingly expensive. If we are unable to obtain or maintain sufficient insurance coverage at an acceptable cost or to otherwise protect against potential product liability claims, it could prevent or inhibit the development and commercial production and sale of our product candidates, which could adversely affect our business, financial condition, results of operations and prospects.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ind w:right="22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ISTs of some of our product candidates. Any failure by a third party to meet its obligations with respect to the clinical development of our drug candidates may delay or impair our ability to obtain regulatory approval for our product candidates.</w:t>
      </w:r>
    </w:p>
    <w:p>
      <w:pPr>
        <w:spacing w:after="0" w:line="159"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We rely on academic institutions to conduct and sponsor clinical trials relating to some of our product candidates. We do not control the design or administration of ISTs, and our reliance on third parties to conduct the ISTs could, depending on the actions of such third parties, jeopardize the validity of the clinical data generated and adversely affect our ability to obtain marketing approval from the FDA or other applicable regulatory authorities.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337" w:right="239" w:bottom="1440" w:gutter="0" w:footer="0" w:header="0"/>
        </w:sectPr>
      </w:pPr>
    </w:p>
    <w:bookmarkStart w:id="38" w:name="page39"/>
    <w:bookmarkEnd w:id="38"/>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Such arrangements provide us with certain information rights with respect to the ISTs, including access to and the ability to use and reference the data, including for our own regulatory filings, resulting from the investigator-sponsored trials. However, we do not control patient enrollment in, or the timing and reporting of the data from, ISTs, nor do we own the data from the ISTs. Moreover, if we are unable to confirm or replicate the results from the ISTs or if negative results are obtained in the ISTs, we would likely be further delayed or prevented from advancing further clinical development of our drug candidates. Further, if investigators or institutions breach their obligations with respect to the clinical development of our drug candidates, or if the data proves to be inadequate, then our ability to design and conduct any future clinical trials ourselves may be adversely affected.</w:t>
      </w:r>
    </w:p>
    <w:p>
      <w:pPr>
        <w:spacing w:after="0" w:line="188" w:lineRule="exact"/>
        <w:rPr>
          <w:sz w:val="20"/>
          <w:szCs w:val="20"/>
          <w:color w:val="auto"/>
        </w:rPr>
      </w:pPr>
    </w:p>
    <w:p>
      <w:pPr>
        <w:ind w:right="180" w:firstLine="518"/>
        <w:spacing w:after="0" w:line="258" w:lineRule="auto"/>
        <w:rPr>
          <w:sz w:val="20"/>
          <w:szCs w:val="20"/>
          <w:color w:val="auto"/>
        </w:rPr>
      </w:pPr>
      <w:r>
        <w:rPr>
          <w:rFonts w:ascii="Times New Roman" w:cs="Times New Roman" w:eastAsia="Times New Roman" w:hAnsi="Times New Roman"/>
          <w:sz w:val="18"/>
          <w:szCs w:val="18"/>
          <w:color w:val="auto"/>
        </w:rPr>
        <w:t>The FDA or non-U.S. regulatory authorities may disagree with the sufficiency of our right of reference to the preclinical, manufacturing or clinical data generated by ISTs, or our interpretation of preclinical, manufacturing or clinical data from ISTs. If so, the FDA or other non-U.S. regulatory authorities may require us to obtain and submit additional preclinical, manufacturing, or clinical data before we may initiate our planned trials and/or may not accept such additional data as adequate to initiate our planned trials. Moreover, there will be no independent review of the results of the ISTs. Therefore, the investigators may interpret the results of the ISTs more favorably than an independent review would.</w:t>
      </w:r>
    </w:p>
    <w:p>
      <w:pPr>
        <w:spacing w:after="0" w:line="184"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Moreover, ISTs of our product candidates may continue even after we commence company-sponsored trials in the same or different indications. To the extent the results of these ISTs are inconsistent with, or different from, the results of our company-sponsored trials, the FDA or a non-U.S. regulatory authority may question the results of the company-sponsored trial, or subject such results to greater scrutiny than it otherwise would. In these circumstances, the FDA or such other non-U.S. regulatory authorities may require us to obtain and submit additional clinical data, which could delay clinical development or marketing approval of the applicable product candidate.</w:t>
      </w:r>
    </w:p>
    <w:p>
      <w:pPr>
        <w:spacing w:after="0" w:line="180" w:lineRule="exact"/>
        <w:rPr>
          <w:sz w:val="20"/>
          <w:szCs w:val="20"/>
          <w:color w:val="auto"/>
        </w:rPr>
      </w:pPr>
    </w:p>
    <w:p>
      <w:pPr>
        <w:ind w:right="64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to conduct our clinical trials, and those third parties may not perform satisfactorily, including failing to meet deadlines for the completion of such trials.</w:t>
      </w:r>
    </w:p>
    <w:p>
      <w:pPr>
        <w:spacing w:after="0" w:line="159" w:lineRule="exact"/>
        <w:rPr>
          <w:sz w:val="20"/>
          <w:szCs w:val="20"/>
          <w:color w:val="auto"/>
        </w:rPr>
      </w:pPr>
    </w:p>
    <w:p>
      <w:pPr>
        <w:ind w:right="160" w:firstLine="518"/>
        <w:spacing w:after="0" w:line="261" w:lineRule="auto"/>
        <w:rPr>
          <w:sz w:val="20"/>
          <w:szCs w:val="20"/>
          <w:color w:val="auto"/>
        </w:rPr>
      </w:pPr>
      <w:r>
        <w:rPr>
          <w:rFonts w:ascii="Times New Roman" w:cs="Times New Roman" w:eastAsia="Times New Roman" w:hAnsi="Times New Roman"/>
          <w:sz w:val="18"/>
          <w:szCs w:val="18"/>
          <w:color w:val="auto"/>
        </w:rPr>
        <w:t>We currently rely on third party clinical research organizations, or CROs, to conduct our clinical trials. We expect to continue to rely on third parties, such as CROs, clinical data management organizations, medical institutions and clinical investigators, to conduct our clinical trials. Our agreements with these third parties generally allow the third party to terminate the agreement at any time. If we are required to enter into alternative arrangements because of any such termination the introduction of our product candidates to market could be delayed.</w:t>
      </w:r>
    </w:p>
    <w:p>
      <w:pPr>
        <w:spacing w:after="0" w:line="180"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Our reliance on these third parties for research and development activities will reduce our control over these activities but will not relieve us of our responsibilities. For example, we design our clinical trials and will remain responsible for ensuring that each of our clinical trials is conducted in accordance with the general investigational plan and protocols for the trial. Moreover, the FDA requires us to comply with standards, commonly referred to as good clinical practices for conducting, recording and reporting the results of clinical trials to assure that data and reported results are credible and accurate and that the rights, integrity and confidentiality of trial participants are protected. Our reliance on third parties that we do not control does not relieve us of these responsibilities and requirements. We also are required to register ongoing clinical trials and post the results of completed clinical trials on a government-sponsored database, ClinicalTrials.gov, within specified timeframes. Failure to do so can result in fines, adverse publicity and civil and criminal sanctions.</w:t>
      </w:r>
    </w:p>
    <w:p>
      <w:pPr>
        <w:spacing w:after="0" w:line="189"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spacing w:after="0" w:line="180" w:lineRule="exact"/>
        <w:rPr>
          <w:sz w:val="20"/>
          <w:szCs w:val="20"/>
          <w:color w:val="auto"/>
        </w:rPr>
      </w:pPr>
    </w:p>
    <w:p>
      <w:pPr>
        <w:ind w:right="340" w:firstLine="518"/>
        <w:spacing w:after="0" w:line="266" w:lineRule="auto"/>
        <w:rPr>
          <w:sz w:val="20"/>
          <w:szCs w:val="20"/>
          <w:color w:val="auto"/>
        </w:rPr>
      </w:pPr>
      <w:r>
        <w:rPr>
          <w:rFonts w:ascii="Times New Roman" w:cs="Times New Roman" w:eastAsia="Times New Roman" w:hAnsi="Times New Roman"/>
          <w:sz w:val="18"/>
          <w:szCs w:val="18"/>
          <w:color w:val="auto"/>
        </w:rPr>
        <w:t>We also expect to rely on other third parties to store and distribute drug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172" w:lineRule="exact"/>
        <w:rPr>
          <w:sz w:val="20"/>
          <w:szCs w:val="20"/>
          <w:color w:val="auto"/>
        </w:rPr>
      </w:pPr>
    </w:p>
    <w:p>
      <w:pPr>
        <w:ind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enter into collaborations with third parties for the development and commercialization of our product candidates. If we fail to enter into such collaborations, or such collaborations are not successful, we may not be able to capitalize on the market potential of our product candidates.</w:t>
      </w:r>
    </w:p>
    <w:p>
      <w:pPr>
        <w:spacing w:after="0" w:line="159" w:lineRule="exact"/>
        <w:rPr>
          <w:sz w:val="20"/>
          <w:szCs w:val="20"/>
          <w:color w:val="auto"/>
        </w:rPr>
      </w:pPr>
    </w:p>
    <w:p>
      <w:pPr>
        <w:ind w:right="160" w:firstLine="518"/>
        <w:spacing w:after="0" w:line="258" w:lineRule="auto"/>
        <w:rPr>
          <w:sz w:val="20"/>
          <w:szCs w:val="20"/>
          <w:color w:val="auto"/>
        </w:rPr>
      </w:pPr>
      <w:r>
        <w:rPr>
          <w:rFonts w:ascii="Times New Roman" w:cs="Times New Roman" w:eastAsia="Times New Roman" w:hAnsi="Times New Roman"/>
          <w:sz w:val="18"/>
          <w:szCs w:val="18"/>
          <w:color w:val="auto"/>
        </w:rPr>
        <w:t>We may seek third-party collaborators for development and commercialization of our product candidates. Our likely collaborators for any marketing, distribution, development, licensing or broader collaboration arrangements include large and mid-size pharmaceutical companies, regional and national pharmaceutical companies and biotechnology companies. We are not currently party to any such arrangement. However, if we do enter into any such arrangements with any third parties in the future, we will likely have limited control over the amount and timing of resources that our collaborators dedicate to the development or commercialization of</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337" w:right="239" w:bottom="1440" w:gutter="0" w:footer="0" w:header="0"/>
        </w:sectPr>
      </w:pPr>
    </w:p>
    <w:bookmarkStart w:id="39" w:name="page40"/>
    <w:bookmarkEnd w:id="39"/>
    <w:p>
      <w:pPr>
        <w:ind w:right="460"/>
        <w:spacing w:after="0" w:line="282" w:lineRule="auto"/>
        <w:rPr>
          <w:sz w:val="20"/>
          <w:szCs w:val="20"/>
          <w:color w:val="auto"/>
        </w:rPr>
      </w:pPr>
      <w:r>
        <w:rPr>
          <w:rFonts w:ascii="Times New Roman" w:cs="Times New Roman" w:eastAsia="Times New Roman" w:hAnsi="Times New Roman"/>
          <w:sz w:val="18"/>
          <w:szCs w:val="18"/>
          <w:color w:val="auto"/>
        </w:rPr>
        <w:t>our product candidates. Our ability to generate revenues from these arrangements will depend on our collaborators’ abilities to successfully perform the functions assigned to them in these arrangements.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Collaborations involving our product candidates would pose the following risks to us:</w:t>
      </w:r>
    </w:p>
    <w:p>
      <w:pPr>
        <w:spacing w:after="0" w:line="18" w:lineRule="exact"/>
        <w:rPr>
          <w:sz w:val="20"/>
          <w:szCs w:val="20"/>
          <w:color w:val="auto"/>
        </w:rPr>
      </w:pPr>
    </w:p>
    <w:p>
      <w:pPr>
        <w:ind w:left="820" w:hanging="294"/>
        <w:spacing w:after="0"/>
        <w:tabs>
          <w:tab w:leader="none" w:pos="820" w:val="left"/>
        </w:tabs>
        <w:numPr>
          <w:ilvl w:val="0"/>
          <w:numId w:val="3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w:t>
      </w:r>
    </w:p>
    <w:p>
      <w:pPr>
        <w:spacing w:after="0" w:line="141" w:lineRule="exact"/>
        <w:rPr>
          <w:rFonts w:ascii="Times New Roman" w:cs="Times New Roman" w:eastAsia="Times New Roman" w:hAnsi="Times New Roman"/>
          <w:sz w:val="29"/>
          <w:szCs w:val="29"/>
          <w:color w:val="auto"/>
          <w:vertAlign w:val="superscript"/>
        </w:rPr>
      </w:pPr>
    </w:p>
    <w:p>
      <w:pPr>
        <w:ind w:left="820" w:right="20" w:hanging="294"/>
        <w:spacing w:after="0" w:line="210" w:lineRule="auto"/>
        <w:tabs>
          <w:tab w:leader="none" w:pos="820" w:val="left"/>
        </w:tabs>
        <w:numPr>
          <w:ilvl w:val="0"/>
          <w:numId w:val="3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collaborators may not pursue development and commercialization of our product candidates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131" w:lineRule="exact"/>
        <w:rPr>
          <w:rFonts w:ascii="Times New Roman" w:cs="Times New Roman" w:eastAsia="Times New Roman" w:hAnsi="Times New Roman"/>
          <w:sz w:val="29"/>
          <w:szCs w:val="29"/>
          <w:color w:val="auto"/>
          <w:vertAlign w:val="superscript"/>
        </w:rPr>
      </w:pPr>
    </w:p>
    <w:p>
      <w:pPr>
        <w:ind w:left="820" w:right="20" w:hanging="294"/>
        <w:spacing w:after="0" w:line="200" w:lineRule="auto"/>
        <w:tabs>
          <w:tab w:leader="none" w:pos="820" w:val="left"/>
        </w:tabs>
        <w:numPr>
          <w:ilvl w:val="0"/>
          <w:numId w:val="3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30" w:lineRule="exact"/>
        <w:rPr>
          <w:rFonts w:ascii="Times New Roman" w:cs="Times New Roman" w:eastAsia="Times New Roman" w:hAnsi="Times New Roman"/>
          <w:sz w:val="29"/>
          <w:szCs w:val="29"/>
          <w:color w:val="auto"/>
          <w:vertAlign w:val="superscript"/>
        </w:rPr>
      </w:pPr>
    </w:p>
    <w:p>
      <w:pPr>
        <w:ind w:left="820" w:right="60" w:hanging="294"/>
        <w:spacing w:after="0" w:line="214" w:lineRule="auto"/>
        <w:tabs>
          <w:tab w:leader="none" w:pos="820" w:val="left"/>
        </w:tabs>
        <w:numPr>
          <w:ilvl w:val="0"/>
          <w:numId w:val="3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30" w:lineRule="exact"/>
        <w:rPr>
          <w:rFonts w:ascii="Times New Roman" w:cs="Times New Roman" w:eastAsia="Times New Roman" w:hAnsi="Times New Roman"/>
          <w:sz w:val="29"/>
          <w:szCs w:val="29"/>
          <w:color w:val="auto"/>
          <w:vertAlign w:val="superscript"/>
        </w:rPr>
      </w:pPr>
    </w:p>
    <w:p>
      <w:pPr>
        <w:ind w:left="820" w:hanging="294"/>
        <w:spacing w:after="0" w:line="200" w:lineRule="auto"/>
        <w:tabs>
          <w:tab w:leader="none" w:pos="820" w:val="left"/>
        </w:tabs>
        <w:numPr>
          <w:ilvl w:val="0"/>
          <w:numId w:val="3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collaborators with marketing and distribution rights to one or more products may not commit sufficient resources to the marketing and distribution of such product or products;</w:t>
      </w:r>
    </w:p>
    <w:p>
      <w:pPr>
        <w:spacing w:after="0" w:line="130" w:lineRule="exact"/>
        <w:rPr>
          <w:rFonts w:ascii="Times New Roman" w:cs="Times New Roman" w:eastAsia="Times New Roman" w:hAnsi="Times New Roman"/>
          <w:sz w:val="29"/>
          <w:szCs w:val="29"/>
          <w:color w:val="auto"/>
          <w:vertAlign w:val="superscript"/>
        </w:rPr>
      </w:pPr>
    </w:p>
    <w:p>
      <w:pPr>
        <w:ind w:left="820" w:right="420" w:hanging="294"/>
        <w:spacing w:after="0" w:line="200" w:lineRule="auto"/>
        <w:tabs>
          <w:tab w:leader="none" w:pos="820" w:val="left"/>
        </w:tabs>
        <w:numPr>
          <w:ilvl w:val="0"/>
          <w:numId w:val="3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31" w:lineRule="exact"/>
        <w:rPr>
          <w:rFonts w:ascii="Times New Roman" w:cs="Times New Roman" w:eastAsia="Times New Roman" w:hAnsi="Times New Roman"/>
          <w:sz w:val="29"/>
          <w:szCs w:val="29"/>
          <w:color w:val="auto"/>
          <w:vertAlign w:val="superscript"/>
        </w:rPr>
      </w:pPr>
    </w:p>
    <w:p>
      <w:pPr>
        <w:ind w:left="820" w:hanging="294"/>
        <w:spacing w:after="0"/>
        <w:tabs>
          <w:tab w:leader="none" w:pos="820" w:val="left"/>
        </w:tabs>
        <w:numPr>
          <w:ilvl w:val="0"/>
          <w:numId w:val="3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w:t>
      </w:r>
    </w:p>
    <w:p>
      <w:pPr>
        <w:spacing w:after="0" w:line="141" w:lineRule="exact"/>
        <w:rPr>
          <w:rFonts w:ascii="Times New Roman" w:cs="Times New Roman" w:eastAsia="Times New Roman" w:hAnsi="Times New Roman"/>
          <w:sz w:val="29"/>
          <w:szCs w:val="29"/>
          <w:color w:val="auto"/>
          <w:vertAlign w:val="superscript"/>
        </w:rPr>
      </w:pPr>
    </w:p>
    <w:p>
      <w:pPr>
        <w:ind w:left="820" w:right="220" w:hanging="294"/>
        <w:spacing w:after="0" w:line="194" w:lineRule="auto"/>
        <w:tabs>
          <w:tab w:leader="none" w:pos="820" w:val="left"/>
        </w:tabs>
        <w:numPr>
          <w:ilvl w:val="0"/>
          <w:numId w:val="3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disputes may arise between the collaborators and us that result in the delay or termination of the research, development or commercialization of our products or product candidates or that result in costly litigation or arbitration that diverts management attention and resources; and</w:t>
      </w:r>
    </w:p>
    <w:p>
      <w:pPr>
        <w:spacing w:after="0" w:line="132" w:lineRule="exact"/>
        <w:rPr>
          <w:rFonts w:ascii="Times New Roman" w:cs="Times New Roman" w:eastAsia="Times New Roman" w:hAnsi="Times New Roman"/>
          <w:sz w:val="29"/>
          <w:szCs w:val="29"/>
          <w:color w:val="auto"/>
          <w:vertAlign w:val="superscript"/>
        </w:rPr>
      </w:pPr>
    </w:p>
    <w:p>
      <w:pPr>
        <w:ind w:left="820" w:right="1340" w:hanging="294"/>
        <w:spacing w:after="0" w:line="200" w:lineRule="auto"/>
        <w:tabs>
          <w:tab w:leader="none" w:pos="820" w:val="left"/>
        </w:tabs>
        <w:numPr>
          <w:ilvl w:val="0"/>
          <w:numId w:val="3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 candidates.</w:t>
      </w:r>
    </w:p>
    <w:p>
      <w:pPr>
        <w:spacing w:after="0" w:line="198" w:lineRule="exact"/>
        <w:rPr>
          <w:sz w:val="20"/>
          <w:szCs w:val="20"/>
          <w:color w:val="auto"/>
        </w:rPr>
      </w:pPr>
    </w:p>
    <w:p>
      <w:pPr>
        <w:ind w:right="280" w:firstLine="518"/>
        <w:spacing w:after="0" w:line="266" w:lineRule="auto"/>
        <w:rPr>
          <w:sz w:val="20"/>
          <w:szCs w:val="20"/>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 If a collaborator of ours were to be involved in a business combination, the continued pursuit and emphasis on our product development or commercialization program could be delayed, diminished or terminated.</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are not able to establish collaborations, we may have to alter our development and commercialization plans.</w:t>
      </w:r>
    </w:p>
    <w:p>
      <w:pPr>
        <w:spacing w:after="0" w:line="229" w:lineRule="exact"/>
        <w:rPr>
          <w:sz w:val="20"/>
          <w:szCs w:val="20"/>
          <w:color w:val="auto"/>
        </w:rPr>
      </w:pPr>
    </w:p>
    <w:p>
      <w:pPr>
        <w:ind w:right="380" w:firstLine="518"/>
        <w:spacing w:after="0" w:line="266" w:lineRule="auto"/>
        <w:rPr>
          <w:sz w:val="20"/>
          <w:szCs w:val="20"/>
          <w:color w:val="auto"/>
        </w:rPr>
      </w:pPr>
      <w:r>
        <w:rPr>
          <w:rFonts w:ascii="Times New Roman" w:cs="Times New Roman" w:eastAsia="Times New Roman" w:hAnsi="Times New Roman"/>
          <w:sz w:val="18"/>
          <w:szCs w:val="18"/>
          <w:color w:val="auto"/>
        </w:rPr>
        <w:t>Our drug development programs and the potential commercialization of our product candidates will require substantial additional cash to fund expenses. For some of our product candidates, we may decide to collaborate with pharmaceutical and biotechnology companies for the development and potential commercialization of those product candidates.</w:t>
      </w:r>
    </w:p>
    <w:p>
      <w:pPr>
        <w:spacing w:after="0" w:line="176" w:lineRule="exact"/>
        <w:rPr>
          <w:sz w:val="20"/>
          <w:szCs w:val="20"/>
          <w:color w:val="auto"/>
        </w:rPr>
      </w:pPr>
    </w:p>
    <w:p>
      <w:pPr>
        <w:ind w:right="40" w:firstLine="518"/>
        <w:spacing w:after="0" w:line="253"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We may also be restricted under future license agreements from entering into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93" w:lineRule="exact"/>
        <w:rPr>
          <w:sz w:val="20"/>
          <w:szCs w:val="20"/>
          <w:color w:val="auto"/>
        </w:rPr>
      </w:pPr>
    </w:p>
    <w:p>
      <w:pPr>
        <w:ind w:right="200" w:firstLine="518"/>
        <w:spacing w:after="0" w:line="266" w:lineRule="auto"/>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380"/>
          </w:cols>
          <w:pgMar w:left="240" w:top="337" w:right="279" w:bottom="1440" w:gutter="0" w:footer="0" w:header="0"/>
        </w:sectPr>
      </w:pPr>
    </w:p>
    <w:bookmarkStart w:id="40" w:name="page41"/>
    <w:bookmarkEnd w:id="40"/>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72" w:lineRule="exact"/>
        <w:rPr>
          <w:sz w:val="20"/>
          <w:szCs w:val="20"/>
          <w:color w:val="auto"/>
        </w:rPr>
      </w:pPr>
    </w:p>
    <w:p>
      <w:pPr>
        <w:jc w:val="both"/>
        <w:ind w:right="40"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manufacture of our product candidates for preclinical and clinical testing and expect to continue to do so for commercialization. This reliance on third parties increases the risk that we will not have sufficient quantities of our product candidates or such quantities at an acceptable cost, which could delay, prevent or impair our development or commercialization efforts.</w:t>
      </w:r>
    </w:p>
    <w:p>
      <w:pPr>
        <w:spacing w:after="0" w:line="175" w:lineRule="exact"/>
        <w:rPr>
          <w:sz w:val="20"/>
          <w:szCs w:val="20"/>
          <w:color w:val="auto"/>
        </w:rPr>
      </w:pPr>
    </w:p>
    <w:p>
      <w:pPr>
        <w:ind w:right="200" w:firstLine="518"/>
        <w:spacing w:after="0" w:line="261" w:lineRule="auto"/>
        <w:rPr>
          <w:sz w:val="20"/>
          <w:szCs w:val="20"/>
          <w:color w:val="auto"/>
        </w:rPr>
      </w:pPr>
      <w:r>
        <w:rPr>
          <w:rFonts w:ascii="Times New Roman" w:cs="Times New Roman" w:eastAsia="Times New Roman" w:hAnsi="Times New Roman"/>
          <w:sz w:val="18"/>
          <w:szCs w:val="18"/>
          <w:color w:val="auto"/>
        </w:rPr>
        <w:t>We do not currently own or operate manufacturing facilities for the production of clinical quantities of CRLX101 or CRLX301 and have limited personnel with manufacturing experience. We currently rely on and expect to continue to rely on third party contract manufacturers to manufacture supplies of our product candidates for preclinical and clinical testing, as well as for commercial manufacture if any of our product candidates receive marketing approval.</w:t>
      </w:r>
    </w:p>
    <w:p>
      <w:pPr>
        <w:spacing w:after="0" w:line="180" w:lineRule="exact"/>
        <w:rPr>
          <w:sz w:val="20"/>
          <w:szCs w:val="20"/>
          <w:color w:val="auto"/>
        </w:rPr>
      </w:pPr>
    </w:p>
    <w:p>
      <w:pPr>
        <w:ind w:firstLine="518"/>
        <w:spacing w:after="0" w:line="252" w:lineRule="auto"/>
        <w:rPr>
          <w:sz w:val="20"/>
          <w:szCs w:val="20"/>
          <w:color w:val="auto"/>
        </w:rPr>
      </w:pPr>
      <w:r>
        <w:rPr>
          <w:rFonts w:ascii="Times New Roman" w:cs="Times New Roman" w:eastAsia="Times New Roman" w:hAnsi="Times New Roman"/>
          <w:sz w:val="18"/>
          <w:szCs w:val="18"/>
          <w:color w:val="auto"/>
        </w:rPr>
        <w:t>CRLX101 and CRLX301 must be manufactured through complex, multi-step synthesis processes that are time-consuming and involve special conditions at certain stages. Drug substance manufacture requires high potency containment, and drug product manufacture requires high potency containment under aseptic conditions, also referred to as sterile manufacture. In 2013, we experienced a batch contamination issue with the manufacture of a batch of CRLX301 drug substance, and the process of obtaining a new batch required several months to complete. Any additional performance failures on the part of our existing or future manufacturers could delay clinical development or marketing approval of our product candidates or result in our inability to generate sufficient supplies to meet commercial demands. Although we currently have backup suppliers for several stages of the manufacturing process, we rely on one supplier for each stage of this process. If our current contract manufacturers cannot perform as agreed, or become unavailable to us for any reason, we may be required to replace such manufacturers. Our agreements with our third party manufacturers can be terminated by us or such manufacturers on short notice. If any of our existing manufacturers should become unavailable to us for any reason or should be unable to secure additional manufacturing capacity in the event of higher than anticipated product demand, we may incur additional cost or delay in identifying or qualifying replacements. In addition, while we believe that our existing supplier of drug substance or an alternative supplier would be capable of continuing to produce drug substance in commercial quantities, we will need to identify a third-party manufacturer capable of providing commercial quantities of drug product. If we are unable to arrange for such a third-party manufacturing source, or fail to do so on commercially reasonable terms, we may not be able to successfully produce and market CRLX101 or any other product candidate or may be delayed in doing so.</w:t>
      </w:r>
    </w:p>
    <w:p>
      <w:pPr>
        <w:spacing w:after="0" w:line="199" w:lineRule="exact"/>
        <w:rPr>
          <w:sz w:val="20"/>
          <w:szCs w:val="20"/>
          <w:color w:val="auto"/>
        </w:rPr>
      </w:pPr>
    </w:p>
    <w:p>
      <w:pPr>
        <w:ind w:right="540" w:firstLine="518"/>
        <w:spacing w:after="0" w:line="282" w:lineRule="auto"/>
        <w:rPr>
          <w:sz w:val="20"/>
          <w:szCs w:val="20"/>
          <w:color w:val="auto"/>
        </w:rPr>
      </w:pPr>
      <w:r>
        <w:rPr>
          <w:rFonts w:ascii="Times New Roman" w:cs="Times New Roman" w:eastAsia="Times New Roman" w:hAnsi="Times New Roman"/>
          <w:sz w:val="18"/>
          <w:szCs w:val="18"/>
          <w:color w:val="auto"/>
        </w:rPr>
        <w:t>Even if we are able to establish such arrangements with third party manufacturers, reliance on third party manufacturers entails additional risks, including:</w:t>
      </w:r>
    </w:p>
    <w:p>
      <w:pPr>
        <w:ind w:left="820" w:hanging="294"/>
        <w:spacing w:after="0" w:line="207" w:lineRule="auto"/>
        <w:tabs>
          <w:tab w:leader="none" w:pos="820" w:val="left"/>
        </w:tabs>
        <w:numPr>
          <w:ilvl w:val="0"/>
          <w:numId w:val="3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reliance on the third party for regulatory compliance and quality assurance;</w:t>
      </w:r>
    </w:p>
    <w:p>
      <w:pPr>
        <w:spacing w:after="0" w:line="142" w:lineRule="exact"/>
        <w:rPr>
          <w:rFonts w:ascii="Times New Roman" w:cs="Times New Roman" w:eastAsia="Times New Roman" w:hAnsi="Times New Roman"/>
          <w:sz w:val="29"/>
          <w:szCs w:val="29"/>
          <w:color w:val="auto"/>
          <w:vertAlign w:val="superscript"/>
        </w:rPr>
      </w:pPr>
    </w:p>
    <w:p>
      <w:pPr>
        <w:ind w:left="820" w:hanging="294"/>
        <w:spacing w:after="0" w:line="185" w:lineRule="auto"/>
        <w:tabs>
          <w:tab w:leader="none" w:pos="820" w:val="left"/>
        </w:tabs>
        <w:numPr>
          <w:ilvl w:val="0"/>
          <w:numId w:val="3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the ability of manufacturers to consistently produce intermediates, drug substance or drug product that meet required quality specifications;</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3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the possible breach of the manufacturing agreement by the third party;</w:t>
      </w:r>
    </w:p>
    <w:p>
      <w:pPr>
        <w:spacing w:after="0" w:line="110" w:lineRule="exact"/>
        <w:rPr>
          <w:rFonts w:ascii="Times New Roman" w:cs="Times New Roman" w:eastAsia="Times New Roman" w:hAnsi="Times New Roman"/>
          <w:sz w:val="25"/>
          <w:szCs w:val="25"/>
          <w:color w:val="auto"/>
          <w:vertAlign w:val="superscript"/>
        </w:rPr>
      </w:pPr>
    </w:p>
    <w:p>
      <w:pPr>
        <w:ind w:left="820" w:hanging="294"/>
        <w:spacing w:after="0" w:line="186" w:lineRule="auto"/>
        <w:tabs>
          <w:tab w:leader="none" w:pos="820" w:val="left"/>
        </w:tabs>
        <w:numPr>
          <w:ilvl w:val="0"/>
          <w:numId w:val="3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possible misappropriation of our proprietary information, including our trade secrets and know-how; and</w:t>
      </w:r>
    </w:p>
    <w:p>
      <w:pPr>
        <w:spacing w:after="0" w:line="142" w:lineRule="exact"/>
        <w:rPr>
          <w:rFonts w:ascii="Times New Roman" w:cs="Times New Roman" w:eastAsia="Times New Roman" w:hAnsi="Times New Roman"/>
          <w:sz w:val="24"/>
          <w:szCs w:val="24"/>
          <w:color w:val="auto"/>
          <w:vertAlign w:val="superscript"/>
        </w:rPr>
      </w:pPr>
    </w:p>
    <w:p>
      <w:pPr>
        <w:ind w:left="820" w:hanging="294"/>
        <w:spacing w:after="0" w:line="185" w:lineRule="auto"/>
        <w:tabs>
          <w:tab w:leader="none" w:pos="820" w:val="left"/>
        </w:tabs>
        <w:numPr>
          <w:ilvl w:val="0"/>
          <w:numId w:val="3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the possible termination or nonrenewal of the agreement by the third party at a time that is costly or inconvenient for us.</w:t>
      </w:r>
    </w:p>
    <w:p>
      <w:pPr>
        <w:spacing w:after="0" w:line="199" w:lineRule="exact"/>
        <w:rPr>
          <w:sz w:val="20"/>
          <w:szCs w:val="20"/>
          <w:color w:val="auto"/>
        </w:rPr>
      </w:pPr>
    </w:p>
    <w:p>
      <w:pPr>
        <w:ind w:right="120" w:firstLine="518"/>
        <w:spacing w:after="0" w:line="255" w:lineRule="auto"/>
        <w:rPr>
          <w:sz w:val="20"/>
          <w:szCs w:val="20"/>
          <w:color w:val="auto"/>
        </w:rPr>
      </w:pPr>
      <w:r>
        <w:rPr>
          <w:rFonts w:ascii="Times New Roman" w:cs="Times New Roman" w:eastAsia="Times New Roman" w:hAnsi="Times New Roman"/>
          <w:sz w:val="18"/>
          <w:szCs w:val="18"/>
          <w:color w:val="auto"/>
        </w:rPr>
        <w:t>Third party manufacturers may not be able to comply with current good manufacturing practices, or cGMP, regulations or similar regulatory requirements outside the United States. If our contract manufacturers cannot successfully manufacture material that conforms to our specifications and the strict regulatory requirements of the FDA or applicable foreign regulatory agencies, our ability to secure and/or maintain regulatory approval for our product candidates could be adversely affected. Our failure, or the failure of our third 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w:t>
      </w:r>
    </w:p>
    <w:p>
      <w:pPr>
        <w:spacing w:after="0" w:line="189" w:lineRule="exact"/>
        <w:rPr>
          <w:sz w:val="20"/>
          <w:szCs w:val="20"/>
          <w:color w:val="auto"/>
        </w:rPr>
      </w:pPr>
    </w:p>
    <w:p>
      <w:pPr>
        <w:jc w:val="both"/>
        <w:ind w:right="180" w:firstLine="518"/>
        <w:spacing w:after="0" w:line="266" w:lineRule="auto"/>
        <w:rPr>
          <w:sz w:val="20"/>
          <w:szCs w:val="20"/>
          <w:color w:val="auto"/>
        </w:rPr>
      </w:pPr>
      <w:r>
        <w:rPr>
          <w:rFonts w:ascii="Times New Roman" w:cs="Times New Roman" w:eastAsia="Times New Roman" w:hAnsi="Times New Roman"/>
          <w:sz w:val="18"/>
          <w:szCs w:val="18"/>
          <w:color w:val="auto"/>
        </w:rPr>
        <w:t>CRLX101, CRLX301 and any future product candidates that we may develop may compete with other product candidates and products for access to manufacturing facilities. There are a limited number of manufacturers that operate under cGMP regulations and that might be capable of manufacturing for us.</w:t>
      </w:r>
    </w:p>
    <w:p>
      <w:pPr>
        <w:spacing w:after="0" w:line="176" w:lineRule="exact"/>
        <w:rPr>
          <w:sz w:val="20"/>
          <w:szCs w:val="20"/>
          <w:color w:val="auto"/>
        </w:rPr>
      </w:pPr>
    </w:p>
    <w:p>
      <w:pPr>
        <w:ind w:right="200" w:firstLine="518"/>
        <w:spacing w:after="0" w:line="282" w:lineRule="auto"/>
        <w:rPr>
          <w:sz w:val="20"/>
          <w:szCs w:val="20"/>
          <w:color w:val="auto"/>
        </w:rPr>
      </w:pPr>
      <w:r>
        <w:rPr>
          <w:rFonts w:ascii="Times New Roman" w:cs="Times New Roman" w:eastAsia="Times New Roman" w:hAnsi="Times New Roman"/>
          <w:sz w:val="18"/>
          <w:szCs w:val="18"/>
          <w:color w:val="auto"/>
        </w:rPr>
        <w:t>In addition, we generally rely on our manufacturers to purchase from third-party suppliers the materials necessary to produce our product candidates for our clinical studies. There are a small number of suppliers for certain capital equipment and raw materials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337" w:right="239" w:bottom="1440" w:gutter="0" w:footer="0" w:header="0"/>
        </w:sectPr>
      </w:pPr>
    </w:p>
    <w:bookmarkStart w:id="41" w:name="page42"/>
    <w:bookmarkEnd w:id="41"/>
    <w:p>
      <w:pPr>
        <w:ind w:right="120"/>
        <w:spacing w:after="0" w:line="255" w:lineRule="auto"/>
        <w:rPr>
          <w:sz w:val="20"/>
          <w:szCs w:val="20"/>
          <w:color w:val="auto"/>
        </w:rPr>
      </w:pPr>
      <w:r>
        <w:rPr>
          <w:rFonts w:ascii="Times New Roman" w:cs="Times New Roman" w:eastAsia="Times New Roman" w:hAnsi="Times New Roman"/>
          <w:sz w:val="18"/>
          <w:szCs w:val="18"/>
          <w:color w:val="auto"/>
        </w:rPr>
        <w:t>that are used in the manufacture of our drugs. Such suppliers may not sell these raw materials to our manufacturers at the times we need them or on commercially reasonable terms. We do not have any control over the process or timing of the acquisition of these raw materials by our manufacturers. Moreover, we currently do not have any agreements for the commercial production of these raw materials. Any significant delay in the supply of a product candidate or the raw material components thereof for an ongoing clinical trial due to the need to replace a third-party manufacturer could considerably delay completion of our clinical studies, product testing and potential regulatory approval of our product candidates. If our manufacturers or we are unable to purchase these raw materials after regulatory approval has been obtained for our product candidates, the commercial launch of our product candidates would be delayed or there would be a shortage in supply, which would impair our ability to generate revenues from the sale of our product candidates.</w:t>
      </w:r>
    </w:p>
    <w:p>
      <w:pPr>
        <w:spacing w:after="0" w:line="189" w:lineRule="exact"/>
        <w:rPr>
          <w:sz w:val="20"/>
          <w:szCs w:val="20"/>
          <w:color w:val="auto"/>
        </w:rPr>
      </w:pPr>
    </w:p>
    <w:p>
      <w:pPr>
        <w:ind w:right="580" w:firstLine="518"/>
        <w:spacing w:after="0" w:line="282"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may adversely affect our future profit margins and our ability to commercialize any products that receive marketing approval on a timely and competitive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jc w:val="both"/>
        <w:ind w:right="180"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protection for our technology and products or if the scope of the patent protection obtained is not sufficiently broad, our competitors could develop and commercialize technology and products similar or identical to ours, and our ability to successfully commercialize our technology and products may be impaired.</w:t>
      </w:r>
    </w:p>
    <w:p>
      <w:pPr>
        <w:spacing w:after="0" w:line="175" w:lineRule="exact"/>
        <w:rPr>
          <w:sz w:val="20"/>
          <w:szCs w:val="20"/>
          <w:color w:val="auto"/>
        </w:rPr>
      </w:pPr>
    </w:p>
    <w:p>
      <w:pPr>
        <w:jc w:val="both"/>
        <w:ind w:right="260" w:firstLine="518"/>
        <w:spacing w:after="0" w:line="266"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patent protection in the United States and other countries with respect to our proprietary technology and products. We seek to protect our proprietary position by filing patent applications in the United States and abroad related to our novel technologies and product candidates.</w:t>
      </w:r>
    </w:p>
    <w:p>
      <w:pPr>
        <w:spacing w:after="0" w:line="176"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The patent prosecution process is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w:t>
      </w:r>
    </w:p>
    <w:p>
      <w:pPr>
        <w:spacing w:after="0" w:line="184" w:lineRule="exact"/>
        <w:rPr>
          <w:sz w:val="20"/>
          <w:szCs w:val="20"/>
          <w:color w:val="auto"/>
        </w:rPr>
      </w:pPr>
    </w:p>
    <w:p>
      <w:pPr>
        <w:ind w:right="40" w:firstLine="518"/>
        <w:spacing w:after="0" w:line="254"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In addition, the laws of non-U.S. countries may not protect our rights to the same extent as the laws of the United States. For example, European patent law restricts the patentability of methods of treatment of the human body more than United States law does. Publications of discoveries in the scientific literature often lag behind the actual discoveries, and patent applications in the United States and other jurisdictions are typically not published until 18 months after filing, and in some cases not at all. Therefore, we cannot know with certainty whether we were the first to make the inventions claimed in our owned or licensed patents or pending patent applications, or that we or our licensors were the first to file for patent protection of such inventions. As a result, the issuance, scope, validity, enforceability and commercial value of our patent rights are highly uncertain. Our pending and future patent applications may not issue as patents that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186"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Recent patent reform legislation could increase the uncertainties and costs surrounding the prosecution of our patent applications and the enforcement or defense of our owned or licensed issued patents. On September 16, 2011, the Leahy-Smith America Invents Act, or the Leahy-Smith Act, was signed into law. The Leahy-Smith Act includes a number of significant changes to United States patent law. The Leahy-Smith Act includes provisions that affect the way patent applications are prosecuted and affect patent litigation. The United States Patent and Trademark Office, or USPTO, recently developed new regulations and procedures to govern administration of the Leahy-Smith Act. However, many of the substantive changes to patent law associated with the Leahy-Smith Act, and in particular,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owned or licensed patent applications and the enforcement or defense of our owned or licensed issued patents, all of which could have a material adverse effect on our business and financial condition.</w:t>
      </w:r>
    </w:p>
    <w:p>
      <w:pPr>
        <w:spacing w:after="0" w:line="189" w:lineRule="exact"/>
        <w:rPr>
          <w:sz w:val="20"/>
          <w:szCs w:val="20"/>
          <w:color w:val="auto"/>
        </w:rPr>
      </w:pPr>
    </w:p>
    <w:p>
      <w:pPr>
        <w:ind w:firstLine="518"/>
        <w:spacing w:after="0" w:line="258" w:lineRule="auto"/>
        <w:rPr>
          <w:sz w:val="20"/>
          <w:szCs w:val="20"/>
          <w:color w:val="auto"/>
        </w:rPr>
      </w:pPr>
      <w:r>
        <w:rPr>
          <w:rFonts w:ascii="Times New Roman" w:cs="Times New Roman" w:eastAsia="Times New Roman" w:hAnsi="Times New Roman"/>
          <w:sz w:val="18"/>
          <w:szCs w:val="18"/>
          <w:color w:val="auto"/>
        </w:rPr>
        <w:t>Moreover, we may be subject to third party preissuance submissions of prior art to the USPTO, or become involved in opposition, derivation, reexamination, inter partes review, post-grant review or interference proceedings challenging our owned or licensed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337" w:right="239" w:bottom="1440" w:gutter="0" w:footer="0" w:header="0"/>
        </w:sectPr>
      </w:pPr>
    </w:p>
    <w:bookmarkStart w:id="42" w:name="page43"/>
    <w:bookmarkEnd w:id="42"/>
    <w:p>
      <w:pPr>
        <w:ind w:right="660"/>
        <w:spacing w:after="0" w:line="282" w:lineRule="auto"/>
        <w:rPr>
          <w:sz w:val="20"/>
          <w:szCs w:val="20"/>
          <w:color w:val="auto"/>
        </w:rPr>
      </w:pPr>
      <w:r>
        <w:rPr>
          <w:rFonts w:ascii="Times New Roman" w:cs="Times New Roman" w:eastAsia="Times New Roman" w:hAnsi="Times New Roman"/>
          <w:sz w:val="18"/>
          <w:szCs w:val="18"/>
          <w:color w:val="auto"/>
        </w:rPr>
        <w:t>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62" w:lineRule="exact"/>
        <w:rPr>
          <w:sz w:val="20"/>
          <w:szCs w:val="20"/>
          <w:color w:val="auto"/>
        </w:rPr>
      </w:pPr>
    </w:p>
    <w:p>
      <w:pPr>
        <w:jc w:val="both"/>
        <w:ind w:right="40" w:firstLine="518"/>
        <w:spacing w:after="0" w:line="266" w:lineRule="auto"/>
        <w:rPr>
          <w:sz w:val="20"/>
          <w:szCs w:val="20"/>
          <w:color w:val="auto"/>
        </w:rPr>
      </w:pPr>
      <w:r>
        <w:rPr>
          <w:rFonts w:ascii="Times New Roman" w:cs="Times New Roman" w:eastAsia="Times New Roman" w:hAnsi="Times New Roman"/>
          <w:sz w:val="18"/>
          <w:szCs w:val="18"/>
          <w:color w:val="auto"/>
        </w:rPr>
        <w:t>Even if our owned and licensed patent applications issue as patents, they may not issue in a form that will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w:t>
      </w:r>
    </w:p>
    <w:p>
      <w:pPr>
        <w:spacing w:after="0" w:line="176" w:lineRule="exact"/>
        <w:rPr>
          <w:sz w:val="20"/>
          <w:szCs w:val="20"/>
          <w:color w:val="auto"/>
        </w:rPr>
      </w:pPr>
    </w:p>
    <w:p>
      <w:pPr>
        <w:ind w:right="80" w:firstLine="518"/>
        <w:spacing w:after="0" w:line="255"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owned and licensed patents may be challenged in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185" w:lineRule="exact"/>
        <w:rPr>
          <w:sz w:val="20"/>
          <w:szCs w:val="20"/>
          <w:color w:val="auto"/>
        </w:rPr>
      </w:pPr>
    </w:p>
    <w:p>
      <w:pPr>
        <w:ind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159" w:lineRule="exact"/>
        <w:rPr>
          <w:sz w:val="20"/>
          <w:szCs w:val="20"/>
          <w:color w:val="auto"/>
        </w:rPr>
      </w:pPr>
    </w:p>
    <w:p>
      <w:pPr>
        <w:ind w:right="100" w:firstLine="518"/>
        <w:spacing w:after="0" w:line="256" w:lineRule="auto"/>
        <w:rPr>
          <w:sz w:val="20"/>
          <w:szCs w:val="20"/>
          <w:color w:val="auto"/>
        </w:rPr>
      </w:pPr>
      <w:r>
        <w:rPr>
          <w:rFonts w:ascii="Times New Roman" w:cs="Times New Roman" w:eastAsia="Times New Roman" w:hAnsi="Times New Roman"/>
          <w:sz w:val="18"/>
          <w:szCs w:val="18"/>
          <w:color w:val="auto"/>
        </w:rPr>
        <w:t>Competitors may infringe our owned or licensed patents or other intellectual property. To counter infringement or unauthorized use, we may be required to file or participate in infringement claims, which can be expensive and time consuming. Any claims we or our licensors assert against perceived infringers could provoke these parties to assert counterclaims against us alleging that we infringe their patents. In addition, in a patent infringement proceeding, a court may decide that a patent of ours or our licensor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owned or licensed patents at risk of being invalidated or interpreted narrowly.</w:t>
      </w:r>
    </w:p>
    <w:p>
      <w:pPr>
        <w:spacing w:after="0" w:line="184" w:lineRule="exact"/>
        <w:rPr>
          <w:sz w:val="20"/>
          <w:szCs w:val="20"/>
          <w:color w:val="auto"/>
        </w:rPr>
      </w:pPr>
    </w:p>
    <w:p>
      <w:pPr>
        <w:ind w:right="60"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CRLX101 and certain aspects of our platform technology are protected by patents assigned by or exclusively licensed from other companies or institutions. If these third parties terminate their agreements with us or fail to maintain or enforce the underlying patents, or we otherwise lose our rights to these patents, our competitive position and our market share in the markets for any of our approved products will be harmed.</w:t>
      </w:r>
    </w:p>
    <w:p>
      <w:pPr>
        <w:spacing w:after="0" w:line="175"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We are a party to several license agreements and certain aspects of our business depend on patents and/or patent applications owned by other companies or institutions. In particular, we hold exclusive licenses from Calando Pharmaceuticals, Inc., or Calando, and California Institute of Technology, or Caltech and have been assigned certain patents from Calando for CRLX101, CRLX301 and cyclodextrine polymer-based, or CDP-based, product candidates. We also hold an exclusive license from the State University of New York, or SUNY, related to taxane-containing NDCs, such as CRLX301. We are likely to enter into additional license agreements as part of the development of our business in the future. If we are unable to maintain these patent rights for any reason, our ability to develop and commercialize our product candidates could be materially harmed.</w:t>
      </w:r>
    </w:p>
    <w:p>
      <w:pPr>
        <w:spacing w:after="0" w:line="188" w:lineRule="exact"/>
        <w:rPr>
          <w:sz w:val="20"/>
          <w:szCs w:val="20"/>
          <w:color w:val="auto"/>
        </w:rPr>
      </w:pPr>
    </w:p>
    <w:p>
      <w:pPr>
        <w:ind w:right="180" w:firstLine="518"/>
        <w:spacing w:after="0" w:line="266" w:lineRule="auto"/>
        <w:rPr>
          <w:sz w:val="20"/>
          <w:szCs w:val="20"/>
          <w:color w:val="auto"/>
        </w:rPr>
      </w:pPr>
      <w:r>
        <w:rPr>
          <w:rFonts w:ascii="Times New Roman" w:cs="Times New Roman" w:eastAsia="Times New Roman" w:hAnsi="Times New Roman"/>
          <w:sz w:val="18"/>
          <w:szCs w:val="18"/>
          <w:color w:val="auto"/>
        </w:rPr>
        <w:t>Our licensors may not successfully prosecute certain patent applications under which we are licensed and on which our business depends. Even if patents issue from these applications, our licensors may fail to maintain these patents, may decide not to pursue litigation against third party infringers, may fail to prove infringement, or may fail to defend against counterclaims of patent invalidity or unenforceability.</w:t>
      </w:r>
    </w:p>
    <w:p>
      <w:pPr>
        <w:spacing w:after="0" w:line="176"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Risks with respect to parties from whom we have obtained intellectual property rights may also arise out of circumstances beyond our control. For example, in March 2014, Calando entered Chapter 7 bankruptcy and, as a result, the intellectual property rights we have obtained from Calando are subject to potential risks that may arise in connection with bankruptcy. For instance, while our ability to develop and/or commercialize our current product candidates and our ability to utilize our platform are not dependent on the rights that we license from Calando, our license agreements with Calando could be rejected in connection with Calando’s bankruptcy, in which case, we could, subject to elections and other rights and defenses that may be available to us, lose certain rights granted to us under such licenses. On March 3, 2015, Calando’s bankruptcy trustee submitted an application with the bankruptcy court seeking authority to retain a broker to sell Calando’s rights in certain assets including its rights in the license agreements with Cerulean. We have reserved our rights with respect to any such sale.</w:t>
      </w:r>
    </w:p>
    <w:p>
      <w:pPr>
        <w:spacing w:after="0" w:line="185"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In addition, in spite of our best efforts, our licensors might conclude that we have materially breached our intellectual property agreements and might therefore terminate the intellectual property agreements, thereby removing our ability to obtain regulatory approval and to market products covered by these intellectual property agreements. If our intellectual property agreements are terminated, or if the underlying patents fail to provide the intended market exclusivity, competitors would have the freedom to seek</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00"/>
          </w:cols>
          <w:pgMar w:left="240" w:top="337" w:right="259" w:bottom="1440" w:gutter="0" w:footer="0" w:header="0"/>
        </w:sectPr>
      </w:pPr>
    </w:p>
    <w:bookmarkStart w:id="43" w:name="page44"/>
    <w:bookmarkEnd w:id="43"/>
    <w:p>
      <w:pPr>
        <w:ind w:right="60"/>
        <w:spacing w:after="0" w:line="255" w:lineRule="auto"/>
        <w:rPr>
          <w:sz w:val="20"/>
          <w:szCs w:val="20"/>
          <w:color w:val="auto"/>
        </w:rPr>
      </w:pPr>
      <w:r>
        <w:rPr>
          <w:rFonts w:ascii="Times New Roman" w:cs="Times New Roman" w:eastAsia="Times New Roman" w:hAnsi="Times New Roman"/>
          <w:sz w:val="18"/>
          <w:szCs w:val="18"/>
          <w:color w:val="auto"/>
        </w:rPr>
        <w:t>regulatory approval of, and to market, products similar or identical to ours. Moreover, if our intellectual property agreements are terminated, our former licensors and/or assignors may be able to prevent us from utilizing the technology covered by the licensed or assigned patents and patent applications. For example, under our agreements with Calando, which relate to CRLX101 and our CDP platform, if we fail to meet our payment obligations and do not adequately cure such failure, or if we terminate one or both of these agreements, other than for specified safety concerns, we are required to grant Calando an exclusive (even as to Cerulean), royalty-free license under the patent rights assigned pursuant to such terminated agreement and to assign the related IND to Calando. Moreover, if we fail to meet our diligence obligations under one or both of our agreements with Calando, Calando may convert the license to a non-exclusive license, and we will be required to grant Calando a non-exclusive license under the patent rights assigned to us pursuant to such terminated agreement. This could have a material adverse effect on our competitive business position and our business prospects.</w:t>
      </w:r>
    </w:p>
    <w:p>
      <w:pPr>
        <w:spacing w:after="0" w:line="181" w:lineRule="exact"/>
        <w:rPr>
          <w:sz w:val="20"/>
          <w:szCs w:val="20"/>
          <w:color w:val="auto"/>
        </w:rPr>
      </w:pPr>
    </w:p>
    <w:p>
      <w:pPr>
        <w:ind w:right="24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our intellectual property agreements with third parties, we could lose rights that are important to our business.</w:t>
      </w:r>
    </w:p>
    <w:p>
      <w:pPr>
        <w:spacing w:after="0" w:line="159" w:lineRule="exact"/>
        <w:rPr>
          <w:sz w:val="20"/>
          <w:szCs w:val="20"/>
          <w:color w:val="auto"/>
        </w:rPr>
      </w:pPr>
    </w:p>
    <w:p>
      <w:pPr>
        <w:ind w:right="20" w:firstLine="518"/>
        <w:spacing w:after="0" w:line="254" w:lineRule="auto"/>
        <w:rPr>
          <w:sz w:val="20"/>
          <w:szCs w:val="20"/>
          <w:color w:val="auto"/>
        </w:rPr>
      </w:pPr>
      <w:r>
        <w:rPr>
          <w:rFonts w:ascii="Times New Roman" w:cs="Times New Roman" w:eastAsia="Times New Roman" w:hAnsi="Times New Roman"/>
          <w:sz w:val="18"/>
          <w:szCs w:val="18"/>
          <w:color w:val="auto"/>
        </w:rPr>
        <w:t>We are party to multiple intellectual property agreements that impose, and we may enter into additional intellectual property agreements that may impose, various diligence, milestone payment, royalty and other obligations on us. Under our existing intellectual property agreements, we are obligated to pay royalties on the net sales of product candidates or related technologies to the extent they are covered by the agreement. We also have diligence and development obligations under those agreements. If we fail to comply with our obligations under current or future intellectual property agreements, our counterparties may have the right to terminate these agreements, in which event we might not be able to develop, manufacture or market any product that is covered by the agreement or face other penalties under the agreement. Such an occurrence could materially adversely affect the value of the product candidate being developed under any such agreement.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w:t>
      </w:r>
    </w:p>
    <w:p>
      <w:pPr>
        <w:spacing w:after="0" w:line="185" w:lineRule="exact"/>
        <w:rPr>
          <w:sz w:val="20"/>
          <w:szCs w:val="20"/>
          <w:color w:val="auto"/>
        </w:rPr>
      </w:pPr>
    </w:p>
    <w:p>
      <w:pPr>
        <w:ind w:right="160" w:firstLine="5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Some intellectual property which we have licensed may have been discovered through government funded programs and thus may be subject to federal regulations such as “march-in” rights, certain reporting requirements, and a preference for United States industry. Compliance with such regulations may limit our exclusive rights, subject us to expenditure of resources with respect to reporting requirements, and limit our ability to contract with non-U.S. manufacturers.</w:t>
      </w:r>
    </w:p>
    <w:p>
      <w:pPr>
        <w:spacing w:after="0" w:line="181" w:lineRule="exact"/>
        <w:rPr>
          <w:sz w:val="20"/>
          <w:szCs w:val="20"/>
          <w:color w:val="auto"/>
        </w:rPr>
      </w:pPr>
    </w:p>
    <w:p>
      <w:pPr>
        <w:ind w:right="120" w:firstLine="518"/>
        <w:spacing w:after="0" w:line="253" w:lineRule="auto"/>
        <w:rPr>
          <w:sz w:val="20"/>
          <w:szCs w:val="20"/>
          <w:color w:val="auto"/>
        </w:rPr>
      </w:pPr>
      <w:r>
        <w:rPr>
          <w:rFonts w:ascii="Times New Roman" w:cs="Times New Roman" w:eastAsia="Times New Roman" w:hAnsi="Times New Roman"/>
          <w:sz w:val="18"/>
          <w:szCs w:val="18"/>
          <w:color w:val="auto"/>
        </w:rPr>
        <w:t>Some of the intellectual property rights we have licensed may have been generated through the use of United States government funding and may therefore be subject to certain federal regulations. For example, some of the intellectual property rights licensed to us under the SUNY agreement and which are relevant to taxane containing NDCs such as CRLX301 may have been generated using United States government funds. As a result, the United States government may have certain rights to intellectual property embodied in CRLX301 pursuant to the Bayh-Dole Act of 1980. These United States government rights in certain inventions developed under a government-funded program include a non-exclusive, non-transferable, irrevocable worldwide license to use inventions for any governmental purpose. In addition, the United States government has the right to require us to grant exclusive, partially exclusive, or non-exclusive licenses to any of these inventions to a third party if it determines that: (i) adequate steps have not been taken to commercialize the invention;</w:t>
      </w:r>
    </w:p>
    <w:p>
      <w:pPr>
        <w:spacing w:after="0" w:line="4" w:lineRule="exact"/>
        <w:rPr>
          <w:sz w:val="20"/>
          <w:szCs w:val="20"/>
          <w:color w:val="auto"/>
        </w:rPr>
      </w:pPr>
    </w:p>
    <w:p>
      <w:pPr>
        <w:ind w:firstLine="8"/>
        <w:spacing w:after="0" w:line="251" w:lineRule="auto"/>
        <w:tabs>
          <w:tab w:leader="none" w:pos="26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action is necessary to meet public health or safety needs; or (iii) government action is necessary to meet requirements for public use under federal regulations (also referred to as “march-in rights”). The United States government also has the right to take title to these inventions if we fail to disclose the invention to the government and fail to file an application to register the intellectual property within specified time limits. In addition, the United States government may acquire title to these inventions in any country in which a patent application is not filed within specified time limits. Intellectual property generated under a government funded program is also subject to certain reporting requirements, compliance with which may require us to expend substantial resources. In addition, the United States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United States manufacturers may limit our ability to contract with non-U.S. product manufacturers for products covered by such intellectual property.</w:t>
      </w:r>
    </w:p>
    <w:p>
      <w:pPr>
        <w:spacing w:after="0" w:line="194" w:lineRule="exact"/>
        <w:rPr>
          <w:sz w:val="20"/>
          <w:szCs w:val="20"/>
          <w:color w:val="auto"/>
        </w:rPr>
      </w:pPr>
    </w:p>
    <w:p>
      <w:pPr>
        <w:ind w:right="160" w:firstLine="518"/>
        <w:spacing w:after="0" w:line="282" w:lineRule="auto"/>
        <w:rPr>
          <w:sz w:val="20"/>
          <w:szCs w:val="20"/>
          <w:color w:val="auto"/>
        </w:rPr>
      </w:pPr>
      <w:r>
        <w:rPr>
          <w:rFonts w:ascii="Times New Roman" w:cs="Times New Roman" w:eastAsia="Times New Roman" w:hAnsi="Times New Roman"/>
          <w:sz w:val="18"/>
          <w:szCs w:val="18"/>
          <w:color w:val="auto"/>
        </w:rPr>
        <w:t>We currently do not plan to apply for additional United States government funding, but if we do, and we discover compounds or drug candidates as a result of such funding, intellectual property rights to such discoveries may be subject to the applicable provisions of the Bayh-Dole Act.</w:t>
      </w:r>
    </w:p>
    <w:p>
      <w:pPr>
        <w:spacing w:after="0" w:line="158" w:lineRule="exact"/>
        <w:rPr>
          <w:sz w:val="20"/>
          <w:szCs w:val="20"/>
          <w:color w:val="auto"/>
        </w:rPr>
      </w:pPr>
    </w:p>
    <w:p>
      <w:pPr>
        <w:ind w:right="54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59" w:lineRule="exact"/>
        <w:rPr>
          <w:sz w:val="20"/>
          <w:szCs w:val="20"/>
          <w:color w:val="auto"/>
        </w:rPr>
      </w:pPr>
    </w:p>
    <w:p>
      <w:pPr>
        <w:ind w:right="820" w:firstLine="518"/>
        <w:spacing w:after="0" w:line="266" w:lineRule="auto"/>
        <w:rPr>
          <w:sz w:val="20"/>
          <w:szCs w:val="20"/>
          <w:color w:val="auto"/>
        </w:rPr>
      </w:pPr>
      <w:r>
        <w:rPr>
          <w:rFonts w:ascii="Times New Roman" w:cs="Times New Roman" w:eastAsia="Times New Roman" w:hAnsi="Times New Roman"/>
          <w:sz w:val="18"/>
          <w:szCs w:val="18"/>
          <w:color w:val="auto"/>
        </w:rPr>
        <w:t>Our commercial success depends upon our ability to develop, manufacture, market and sell our product candidates and use our proprietary technologies without infringing the proprietary rights of third parties. There is considerable intellectual property litigation in the biotechnology and pharmaceutical industries. We may become party to, or be threatened with, future adversarial proceedings or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337" w:right="239" w:bottom="1440" w:gutter="0" w:footer="0" w:header="0"/>
        </w:sectPr>
      </w:pPr>
    </w:p>
    <w:bookmarkStart w:id="44" w:name="page45"/>
    <w:bookmarkEnd w:id="44"/>
    <w:p>
      <w:pPr>
        <w:ind w:right="520"/>
        <w:spacing w:after="0" w:line="282" w:lineRule="auto"/>
        <w:rPr>
          <w:sz w:val="20"/>
          <w:szCs w:val="20"/>
          <w:color w:val="auto"/>
        </w:rPr>
      </w:pPr>
      <w:r>
        <w:rPr>
          <w:rFonts w:ascii="Times New Roman" w:cs="Times New Roman" w:eastAsia="Times New Roman" w:hAnsi="Times New Roman"/>
          <w:sz w:val="18"/>
          <w:szCs w:val="18"/>
          <w:color w:val="auto"/>
        </w:rPr>
        <w:t>litigation regarding intellectual property rights with respect to our products and technology, including interference or derivation proceedings before the USPTO. Third parties may assert infringement claims against us based on existing patents or patents that may be granted in the future.</w:t>
      </w:r>
    </w:p>
    <w:p>
      <w:pPr>
        <w:spacing w:after="0" w:line="162"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If we are found to infringe a third party’s intellectual property rights, we could be required to obtain a license from such third party to continue developing and marketing our products and technology.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185" w:lineRule="exact"/>
        <w:rPr>
          <w:sz w:val="20"/>
          <w:szCs w:val="20"/>
          <w:color w:val="auto"/>
        </w:rPr>
      </w:pPr>
    </w:p>
    <w:p>
      <w:pPr>
        <w:ind w:right="48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we or our employees have misappropriated their intellectual property, or claiming ownership of what we regard as our own intellectual property.</w:t>
      </w:r>
    </w:p>
    <w:p>
      <w:pPr>
        <w:spacing w:after="0" w:line="159"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Many of our employees were previously employed at universities or other biotechnology or pharmaceutical companies, including our competitors or potential competitors.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employee’s former employer. Litigation may be necessary to defend against these claims.</w:t>
      </w:r>
    </w:p>
    <w:p>
      <w:pPr>
        <w:spacing w:after="0" w:line="180"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development of intellectual property to execute agreements assigning such intellectual property to us, we may be unsuccessful in timely obtaining such an agreement with each party who in fact develops intellectual property that we regard as our own. Even if timely obtained, such agreements may be breached, and we may be forced to bring claims against third parties, or defend claims they may bring against us, to determine the ownership of what we regard as our intellectual property.</w:t>
      </w:r>
    </w:p>
    <w:p>
      <w:pPr>
        <w:spacing w:after="0" w:line="180" w:lineRule="exact"/>
        <w:rPr>
          <w:sz w:val="20"/>
          <w:szCs w:val="20"/>
          <w:color w:val="auto"/>
        </w:rPr>
      </w:pPr>
    </w:p>
    <w:p>
      <w:pPr>
        <w:ind w:right="120" w:firstLine="518"/>
        <w:spacing w:after="0" w:line="266" w:lineRule="auto"/>
        <w:rPr>
          <w:sz w:val="20"/>
          <w:szCs w:val="20"/>
          <w:color w:val="auto"/>
        </w:rPr>
      </w:pPr>
      <w:r>
        <w:rPr>
          <w:rFonts w:ascii="Times New Roman" w:cs="Times New Roman" w:eastAsia="Times New Roman" w:hAnsi="Times New Roman"/>
          <w:sz w:val="18"/>
          <w:szCs w:val="18"/>
          <w:color w:val="auto"/>
        </w:rPr>
        <w:t>If we fail in prosecuting or defending any such claims, we may lose valuable intellectual property rights or personnel, in addition to paying monetary damages. Even if we are successful in prosecuting or defending against such claims, litigation could result in substantial costs and be a distraction to management.</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could cause us to spend substantial resources and distract our personnel from their normal responsibilities.</w:t>
      </w:r>
    </w:p>
    <w:p>
      <w:pPr>
        <w:spacing w:after="0" w:line="229"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229" w:lineRule="exact"/>
        <w:rPr>
          <w:sz w:val="20"/>
          <w:szCs w:val="20"/>
          <w:color w:val="auto"/>
        </w:rPr>
      </w:pPr>
    </w:p>
    <w:p>
      <w:pPr>
        <w:ind w:right="140" w:firstLine="518"/>
        <w:spacing w:after="0" w:line="254" w:lineRule="auto"/>
        <w:rPr>
          <w:sz w:val="20"/>
          <w:szCs w:val="20"/>
          <w:color w:val="auto"/>
        </w:rPr>
      </w:pPr>
      <w:r>
        <w:rPr>
          <w:rFonts w:ascii="Times New Roman" w:cs="Times New Roman" w:eastAsia="Times New Roman" w:hAnsi="Times New Roman"/>
          <w:sz w:val="18"/>
          <w:szCs w:val="18"/>
          <w:color w:val="auto"/>
        </w:rPr>
        <w:t>In addition to seeking patents for some of our technology and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Even if we are successful in prosecuting such claims, any remedy awarded may be insufficient to fully compensate us for the improper disclosure or misappropriation. In addition, some courts inside and outside the United States are less willing or unwilling to protect trade secrets. If any of our trade secrets were to be lawfully obtained or independently developed by a competitor, we would have no right to prevent</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380"/>
          </w:cols>
          <w:pgMar w:left="240" w:top="337" w:right="279" w:bottom="1440" w:gutter="0" w:footer="0" w:header="0"/>
        </w:sectPr>
      </w:pPr>
    </w:p>
    <w:bookmarkStart w:id="45" w:name="page46"/>
    <w:bookmarkEnd w:id="45"/>
    <w:p>
      <w:pPr>
        <w:spacing w:after="0" w:line="282" w:lineRule="auto"/>
        <w:rPr>
          <w:sz w:val="20"/>
          <w:szCs w:val="20"/>
          <w:color w:val="auto"/>
        </w:rPr>
      </w:pPr>
      <w:r>
        <w:rPr>
          <w:rFonts w:ascii="Times New Roman" w:cs="Times New Roman" w:eastAsia="Times New Roman" w:hAnsi="Times New Roman"/>
          <w:sz w:val="18"/>
          <w:szCs w:val="18"/>
          <w:color w:val="auto"/>
        </w:rPr>
        <w:t>them, or those to whom they communicate it, from using that technology or information to compete with us. If any of our trade secrets were to be disclosed to or independently developed by a competitor, our competitive position would be harmed.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Approval of Our Product Candidates and Other Legal Compliance Matters</w:t>
      </w:r>
    </w:p>
    <w:p>
      <w:pPr>
        <w:spacing w:after="0" w:line="225" w:lineRule="exact"/>
        <w:rPr>
          <w:sz w:val="20"/>
          <w:szCs w:val="20"/>
          <w:color w:val="auto"/>
        </w:rPr>
      </w:pPr>
    </w:p>
    <w:p>
      <w:pPr>
        <w:ind w:right="120" w:firstLine="51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clinical trials, the marketing approval process is expensive, time consuming and uncertain and may prevent us from obtaining approvals for the commercialization of some or all of our product candidates. If we are not able to obtain, or if there are delays in obtaining, required regulatory approvals, we will not be able to commercialize our product candidates, and our ability to generate revenue will be materially impaired.</w:t>
      </w:r>
    </w:p>
    <w:p>
      <w:pPr>
        <w:spacing w:after="0" w:line="181" w:lineRule="exact"/>
        <w:rPr>
          <w:sz w:val="20"/>
          <w:szCs w:val="20"/>
          <w:color w:val="auto"/>
        </w:rPr>
      </w:pPr>
    </w:p>
    <w:p>
      <w:pPr>
        <w:ind w:right="40" w:firstLine="518"/>
        <w:spacing w:after="0" w:line="252" w:lineRule="auto"/>
        <w:rPr>
          <w:sz w:val="20"/>
          <w:szCs w:val="20"/>
          <w:color w:val="auto"/>
        </w:rPr>
      </w:pPr>
      <w:r>
        <w:rPr>
          <w:rFonts w:ascii="Times New Roman" w:cs="Times New Roman" w:eastAsia="Times New Roman" w:hAnsi="Times New Roman"/>
          <w:sz w:val="18"/>
          <w:szCs w:val="18"/>
          <w:color w:val="auto"/>
        </w:rPr>
        <w:t>Our product candidates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agencies in the United States and by the EMA and similar regulatory authorities outside the United States. Failure to obtain marketing approval for a product candidate will prevent us from commercializing the product candidate. Our product candidates are in the early stages of development and are subject to the risks of failure inherent in drug development. We have not received approval to market any of our product candidates from regulatory authorities in any jurisdiction. We have only limited experience in conducting and managing the clinical trials, and in filing and supporting the applications necessary to gain marketing approvals and expect to rely on third party CROs to assist us in this process.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our obtaining marketing approval or prevent or limit commercial use. New cancer drugs frequently are indicated only for patient populations that have not responded to an existing therapy or have relapsed. If any of our product candidates receives marketing approval, the accompanying label may limit the approved use of our drug in this way, which could limit sales of the product.</w:t>
      </w:r>
    </w:p>
    <w:p>
      <w:pPr>
        <w:spacing w:after="0" w:line="19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85"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 For example, if the regulatory landscape in the United States, Europe or Asia shifts unexpectedly, it may adversely affect the feasibility of study arms, standards of care or statistical assumptions currently reflected in our clinical development plans for CRLX101, potentially delaying the development of CRLX101 in a particular indication and increasing the time required to obtain marketing approval for CRLX101.</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international jurisdictions would prevent our product candidates from being marketed abroad.</w:t>
      </w:r>
    </w:p>
    <w:p>
      <w:pPr>
        <w:spacing w:after="0" w:line="229" w:lineRule="exact"/>
        <w:rPr>
          <w:sz w:val="20"/>
          <w:szCs w:val="20"/>
          <w:color w:val="auto"/>
        </w:rPr>
      </w:pPr>
    </w:p>
    <w:p>
      <w:pPr>
        <w:ind w:firstLine="518"/>
        <w:spacing w:after="0" w:line="255" w:lineRule="auto"/>
        <w:rPr>
          <w:sz w:val="20"/>
          <w:szCs w:val="20"/>
          <w:color w:val="auto"/>
        </w:rPr>
      </w:pPr>
      <w:r>
        <w:rPr>
          <w:rFonts w:ascii="Times New Roman" w:cs="Times New Roman" w:eastAsia="Times New Roman" w:hAnsi="Times New Roman"/>
          <w:sz w:val="18"/>
          <w:szCs w:val="18"/>
          <w:color w:val="auto"/>
        </w:rPr>
        <w:t>In order to market and sell our products in the European Union and many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necessary approvals to commercialize our products in any market.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00"/>
          </w:cols>
          <w:pgMar w:left="240" w:top="337" w:right="259" w:bottom="1440" w:gutter="0" w:footer="0" w:header="0"/>
        </w:sectPr>
      </w:pPr>
    </w:p>
    <w:bookmarkStart w:id="46" w:name="page47"/>
    <w:bookmarkEnd w:id="46"/>
    <w:p>
      <w:pPr>
        <w:ind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marketing approval for our product candidates, the terms of approvals and ongoing regulation of our products may limit how we manufacture and market our products, which could materially impair our ability to generate revenue.</w:t>
      </w:r>
    </w:p>
    <w:p>
      <w:pPr>
        <w:spacing w:after="0" w:line="159" w:lineRule="exact"/>
        <w:rPr>
          <w:sz w:val="20"/>
          <w:szCs w:val="20"/>
          <w:color w:val="auto"/>
        </w:rPr>
      </w:pPr>
    </w:p>
    <w:p>
      <w:pPr>
        <w:jc w:val="both"/>
        <w:ind w:right="500" w:firstLine="518"/>
        <w:spacing w:after="0" w:line="266" w:lineRule="auto"/>
        <w:rPr>
          <w:sz w:val="20"/>
          <w:szCs w:val="20"/>
          <w:color w:val="auto"/>
        </w:rPr>
      </w:pPr>
      <w:r>
        <w:rPr>
          <w:rFonts w:ascii="Times New Roman" w:cs="Times New Roman" w:eastAsia="Times New Roman" w:hAnsi="Times New Roman"/>
          <w:sz w:val="18"/>
          <w:szCs w:val="18"/>
          <w:color w:val="auto"/>
        </w:rPr>
        <w:t>Once marketing approval has been granted, an approved product and its manufacturer and marketer are subject to ongoing review and extensive regulation governing the labeling, packaging, storage and promotion of the product and record keeping and submission of safety and other post-market information.</w:t>
      </w:r>
    </w:p>
    <w:p>
      <w:pPr>
        <w:spacing w:after="0" w:line="176"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We must comply with requirements concerning advertising and promotion for any of our product candidates for which we obtain marketing approval. Promotional communications with respect to prescription drugs are subject to a variety of legal and regulatory restrictions and must be consistent with the information in the product’s approved labeling. Thus, we will not be able to promote any products we develop for indications or uses for which they are not approved.</w:t>
      </w:r>
    </w:p>
    <w:p>
      <w:pPr>
        <w:spacing w:after="0" w:line="180" w:lineRule="exact"/>
        <w:rPr>
          <w:sz w:val="20"/>
          <w:szCs w:val="20"/>
          <w:color w:val="auto"/>
        </w:rPr>
      </w:pPr>
    </w:p>
    <w:p>
      <w:pPr>
        <w:ind w:right="160" w:firstLine="518"/>
        <w:spacing w:after="0" w:line="261" w:lineRule="auto"/>
        <w:rPr>
          <w:sz w:val="20"/>
          <w:szCs w:val="20"/>
          <w:color w:val="auto"/>
        </w:rPr>
      </w:pPr>
      <w:r>
        <w:rPr>
          <w:rFonts w:ascii="Times New Roman" w:cs="Times New Roman" w:eastAsia="Times New Roman" w:hAnsi="Times New Roman"/>
          <w:sz w:val="18"/>
          <w:szCs w:val="18"/>
          <w:color w:val="auto"/>
        </w:rPr>
        <w:t>In addition, manufacturers of approved products and those manufacturers’ facilities are required to comply with extensive FDA requirements, including ensuring that quality control and manufacturing procedures conform to cGMPs, which include requirements relating to quality control and quality assurance as well as the corresponding maintenance of records and documentation and reporting requirements. We and our contract manufacturers could be subject to periodic unannounced inspections by the FDA to monitor and ensure compliance with cGMPs.</w:t>
      </w:r>
    </w:p>
    <w:p>
      <w:pPr>
        <w:spacing w:after="0" w:line="180" w:lineRule="exact"/>
        <w:rPr>
          <w:sz w:val="20"/>
          <w:szCs w:val="20"/>
          <w:color w:val="auto"/>
        </w:rPr>
      </w:pPr>
    </w:p>
    <w:p>
      <w:pPr>
        <w:ind w:right="140" w:firstLine="518"/>
        <w:spacing w:after="0" w:line="282" w:lineRule="auto"/>
        <w:rPr>
          <w:sz w:val="20"/>
          <w:szCs w:val="20"/>
          <w:color w:val="auto"/>
        </w:rPr>
      </w:pPr>
      <w:r>
        <w:rPr>
          <w:rFonts w:ascii="Times New Roman" w:cs="Times New Roman" w:eastAsia="Times New Roman" w:hAnsi="Times New Roman"/>
          <w:sz w:val="18"/>
          <w:szCs w:val="18"/>
          <w:color w:val="auto"/>
        </w:rPr>
        <w:t>Accordingly, assuming we receive marketing approval for one or more of our product candidates, we and our contract manufacturers will continue to expend time, money and effort in all areas of regulatory compliance, including manufacturing, production, product surveillance and quality control.</w:t>
      </w:r>
    </w:p>
    <w:p>
      <w:pPr>
        <w:spacing w:after="0" w:line="162" w:lineRule="exact"/>
        <w:rPr>
          <w:sz w:val="20"/>
          <w:szCs w:val="20"/>
          <w:color w:val="auto"/>
        </w:rPr>
      </w:pPr>
    </w:p>
    <w:p>
      <w:pPr>
        <w:ind w:right="500" w:firstLine="518"/>
        <w:spacing w:after="0" w:line="289" w:lineRule="auto"/>
        <w:rPr>
          <w:sz w:val="20"/>
          <w:szCs w:val="20"/>
          <w:color w:val="auto"/>
        </w:rPr>
      </w:pPr>
      <w:r>
        <w:rPr>
          <w:rFonts w:ascii="Times New Roman" w:cs="Times New Roman" w:eastAsia="Times New Roman" w:hAnsi="Times New Roman"/>
          <w:sz w:val="17"/>
          <w:szCs w:val="17"/>
          <w:color w:val="auto"/>
        </w:rPr>
        <w:t>If we are not able to comply with post-approval regulatory requirements, we could have the marketing approvals for our products withdrawn by regulatory authorities and our ability to market any future products could be limited, which could adversely affect our ability to achieve or sustain profitability. Further, the cost of compliance with post-approval regulations may have a negative effect on our operating results and financial condition.</w:t>
      </w:r>
    </w:p>
    <w:p>
      <w:pPr>
        <w:spacing w:after="0" w:line="154" w:lineRule="exact"/>
        <w:rPr>
          <w:sz w:val="20"/>
          <w:szCs w:val="20"/>
          <w:color w:val="auto"/>
        </w:rPr>
      </w:pPr>
    </w:p>
    <w:p>
      <w:pPr>
        <w:jc w:val="both"/>
        <w:ind w:right="20"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 for which we obtain marketing approval could be subject to post-marketing restrictions or withdrawal from the market and we may be subject to substantial penalties if we fail to comply with regulatory requirements or if we experience unanticipated problems with our products, when and if any of them are approved.</w:t>
      </w:r>
    </w:p>
    <w:p>
      <w:pPr>
        <w:spacing w:after="0" w:line="175" w:lineRule="exact"/>
        <w:rPr>
          <w:sz w:val="20"/>
          <w:szCs w:val="20"/>
          <w:color w:val="auto"/>
        </w:rPr>
      </w:pPr>
    </w:p>
    <w:p>
      <w:pPr>
        <w:ind w:right="100" w:firstLine="518"/>
        <w:spacing w:after="0" w:line="254" w:lineRule="auto"/>
        <w:rPr>
          <w:sz w:val="20"/>
          <w:szCs w:val="20"/>
          <w:color w:val="auto"/>
        </w:rPr>
      </w:pPr>
      <w:r>
        <w:rPr>
          <w:rFonts w:ascii="Times New Roman" w:cs="Times New Roman" w:eastAsia="Times New Roman" w:hAnsi="Times New Roman"/>
          <w:sz w:val="18"/>
          <w:szCs w:val="18"/>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These requirements include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and recordkeeping. Even if marketing approval of a product candidate is granted, the approval may be subject to limitations on the indicated uses for which the product may be marketed or to the conditions of approval, including the requirement to implement a risk evaluation and mitigation strategy. New cancer drugs frequently are indicated only for patient populations that have not responded to an existing therapy or have relapsed. If any of our product candidates receives marketing approval, the accompanying label may limit the approved use of our drug in this way, which could limit sales of the product.</w:t>
      </w:r>
    </w:p>
    <w:p>
      <w:pPr>
        <w:spacing w:after="0" w:line="189" w:lineRule="exact"/>
        <w:rPr>
          <w:sz w:val="20"/>
          <w:szCs w:val="20"/>
          <w:color w:val="auto"/>
        </w:rPr>
      </w:pPr>
    </w:p>
    <w:p>
      <w:pPr>
        <w:ind w:right="40" w:firstLine="518"/>
        <w:spacing w:after="0" w:line="274" w:lineRule="auto"/>
        <w:rPr>
          <w:sz w:val="20"/>
          <w:szCs w:val="20"/>
          <w:color w:val="auto"/>
        </w:rPr>
      </w:pPr>
      <w:r>
        <w:rPr>
          <w:rFonts w:ascii="Times New Roman" w:cs="Times New Roman" w:eastAsia="Times New Roman" w:hAnsi="Times New Roman"/>
          <w:sz w:val="17"/>
          <w:szCs w:val="17"/>
          <w:color w:val="auto"/>
        </w:rPr>
        <w:t>The FDA may also impose requirements for costly post-marketing studies or clinical trials and surveillance to monitor the safety or efficacy of the product. The FDA and other agencies, including the Department of Justice, closely regulate the post-approval marketing and promotion of drugs to ensure drugs are marketed only for the approved indications and in accordance with the provisions of the approved labeling. The FDA imposes stringent restrictions on manufacturers’ communications regarding off-label use and if we market our products for unapproved indications, we may be subject to enforcement action for off-label marketing. Violations of the FDA and other statutes, including the False Claims Act, relating to the promotion and advertising of prescription drugs may lead to investigations alleging violations of federal and state health care fraud and abuse laws, as well as state consumer protection laws.</w:t>
      </w:r>
    </w:p>
    <w:p>
      <w:pPr>
        <w:spacing w:after="0" w:line="174" w:lineRule="exact"/>
        <w:rPr>
          <w:sz w:val="20"/>
          <w:szCs w:val="20"/>
          <w:color w:val="auto"/>
        </w:rPr>
      </w:pPr>
    </w:p>
    <w:p>
      <w:pPr>
        <w:ind w:right="100" w:firstLine="518"/>
        <w:spacing w:after="0" w:line="282"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other problems with our products, manufacturers or manufacturing processes, or failure to comply with regulatory requirements, may yield various results, including:</w:t>
      </w:r>
    </w:p>
    <w:p>
      <w:pPr>
        <w:ind w:left="820" w:hanging="294"/>
        <w:spacing w:after="0" w:line="207" w:lineRule="auto"/>
        <w:tabs>
          <w:tab w:leader="none" w:pos="820" w:val="left"/>
        </w:tabs>
        <w:numPr>
          <w:ilvl w:val="0"/>
          <w:numId w:val="3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litigation involving patients taking our products;</w:t>
      </w:r>
    </w:p>
    <w:p>
      <w:pPr>
        <w:spacing w:after="0" w:line="142" w:lineRule="exact"/>
        <w:rPr>
          <w:rFonts w:ascii="Times New Roman" w:cs="Times New Roman" w:eastAsia="Times New Roman" w:hAnsi="Times New Roman"/>
          <w:sz w:val="29"/>
          <w:szCs w:val="29"/>
          <w:color w:val="auto"/>
          <w:vertAlign w:val="superscript"/>
        </w:rPr>
      </w:pPr>
    </w:p>
    <w:p>
      <w:pPr>
        <w:ind w:left="820" w:hanging="294"/>
        <w:spacing w:after="0" w:line="185" w:lineRule="auto"/>
        <w:tabs>
          <w:tab w:leader="none" w:pos="820" w:val="left"/>
        </w:tabs>
        <w:numPr>
          <w:ilvl w:val="0"/>
          <w:numId w:val="3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restrictions on such products, manufacturers or manufacturing processes;</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3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restrictions on the labeling or marketing of a product;</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3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restrictions on product distribution or use;</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00"/>
          </w:cols>
          <w:pgMar w:left="240" w:top="333" w:right="259" w:bottom="1440" w:gutter="0" w:footer="0" w:header="0"/>
        </w:sectPr>
      </w:pPr>
    </w:p>
    <w:bookmarkStart w:id="47" w:name="page48"/>
    <w:bookmarkEnd w:id="47"/>
    <w:p>
      <w:pPr>
        <w:ind w:left="820" w:hanging="294"/>
        <w:spacing w:after="0"/>
        <w:tabs>
          <w:tab w:leader="none" w:pos="820" w:val="left"/>
        </w:tabs>
        <w:numPr>
          <w:ilvl w:val="0"/>
          <w:numId w:val="3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requirements to conduct post-marketing studies or clinical trials;</w:t>
      </w:r>
    </w:p>
    <w:p>
      <w:pPr>
        <w:spacing w:after="0" w:line="131" w:lineRule="exact"/>
        <w:rPr>
          <w:rFonts w:ascii="Times New Roman" w:cs="Times New Roman" w:eastAsia="Times New Roman" w:hAnsi="Times New Roman"/>
          <w:sz w:val="29"/>
          <w:szCs w:val="29"/>
          <w:color w:val="auto"/>
          <w:vertAlign w:val="superscript"/>
        </w:rPr>
      </w:pPr>
    </w:p>
    <w:p>
      <w:pPr>
        <w:ind w:left="820" w:hanging="294"/>
        <w:spacing w:after="0" w:line="186" w:lineRule="auto"/>
        <w:tabs>
          <w:tab w:leader="none" w:pos="820" w:val="left"/>
        </w:tabs>
        <w:numPr>
          <w:ilvl w:val="0"/>
          <w:numId w:val="3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warning or untitled letters;</w:t>
      </w:r>
    </w:p>
    <w:p>
      <w:pPr>
        <w:spacing w:after="0" w:line="143" w:lineRule="exact"/>
        <w:rPr>
          <w:rFonts w:ascii="Times New Roman" w:cs="Times New Roman" w:eastAsia="Times New Roman" w:hAnsi="Times New Roman"/>
          <w:sz w:val="26"/>
          <w:szCs w:val="26"/>
          <w:color w:val="auto"/>
          <w:vertAlign w:val="superscript"/>
        </w:rPr>
      </w:pPr>
    </w:p>
    <w:p>
      <w:pPr>
        <w:ind w:left="820" w:hanging="294"/>
        <w:spacing w:after="0" w:line="185" w:lineRule="auto"/>
        <w:tabs>
          <w:tab w:leader="none" w:pos="820" w:val="left"/>
        </w:tabs>
        <w:numPr>
          <w:ilvl w:val="0"/>
          <w:numId w:val="3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withdrawal of the products from the market;</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3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suspension of any ongoing clinical trials;</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3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refusal to approve pending applications or supplements to approved applications that we submit;</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3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recall of products;</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3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fines, restitution or disgorgement of profits or revenues;</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3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suspension or withdrawal of marketing approvals;</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3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damage to relationships with any potential collaborators;</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3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unfavorable press coverage and damage to our reputation;</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3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refusal to permit the import or export of our products;</w:t>
      </w:r>
    </w:p>
    <w:p>
      <w:pPr>
        <w:spacing w:after="0" w:line="110" w:lineRule="exact"/>
        <w:rPr>
          <w:rFonts w:ascii="Times New Roman" w:cs="Times New Roman" w:eastAsia="Times New Roman" w:hAnsi="Times New Roman"/>
          <w:sz w:val="25"/>
          <w:szCs w:val="25"/>
          <w:color w:val="auto"/>
          <w:vertAlign w:val="superscript"/>
        </w:rPr>
      </w:pPr>
    </w:p>
    <w:p>
      <w:pPr>
        <w:ind w:left="820" w:hanging="294"/>
        <w:spacing w:after="0" w:line="186" w:lineRule="auto"/>
        <w:tabs>
          <w:tab w:leader="none" w:pos="820" w:val="left"/>
        </w:tabs>
        <w:numPr>
          <w:ilvl w:val="0"/>
          <w:numId w:val="3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product seizure; or</w:t>
      </w:r>
    </w:p>
    <w:p>
      <w:pPr>
        <w:spacing w:after="0" w:line="142" w:lineRule="exact"/>
        <w:rPr>
          <w:rFonts w:ascii="Times New Roman" w:cs="Times New Roman" w:eastAsia="Times New Roman" w:hAnsi="Times New Roman"/>
          <w:sz w:val="24"/>
          <w:szCs w:val="24"/>
          <w:color w:val="auto"/>
          <w:vertAlign w:val="superscript"/>
        </w:rPr>
      </w:pPr>
    </w:p>
    <w:p>
      <w:pPr>
        <w:ind w:left="820" w:hanging="294"/>
        <w:spacing w:after="0" w:line="185" w:lineRule="auto"/>
        <w:tabs>
          <w:tab w:leader="none" w:pos="820" w:val="left"/>
        </w:tabs>
        <w:numPr>
          <w:ilvl w:val="0"/>
          <w:numId w:val="3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injunctions or the imposition of civil or criminal penalties.</w:t>
      </w:r>
    </w:p>
    <w:p>
      <w:pPr>
        <w:spacing w:after="0" w:line="199" w:lineRule="exact"/>
        <w:rPr>
          <w:sz w:val="20"/>
          <w:szCs w:val="20"/>
          <w:color w:val="auto"/>
        </w:rPr>
      </w:pPr>
    </w:p>
    <w:p>
      <w:pPr>
        <w:ind w:right="100" w:firstLine="518"/>
        <w:spacing w:after="0" w:line="266" w:lineRule="auto"/>
        <w:rPr>
          <w:sz w:val="20"/>
          <w:szCs w:val="20"/>
          <w:color w:val="auto"/>
        </w:rPr>
      </w:pPr>
      <w:r>
        <w:rPr>
          <w:rFonts w:ascii="Times New Roman" w:cs="Times New Roman" w:eastAsia="Times New Roman" w:hAnsi="Times New Roman"/>
          <w:sz w:val="18"/>
          <w:szCs w:val="18"/>
          <w:color w:val="auto"/>
        </w:rPr>
        <w:t>Non-compliance by us or any future collaborator with regulatory requirements regarding safety monitoring or pharmacovigilance, and with requirements related to the development of products for the pediatric population, can also result in significant financial penalties. Similarly, failure to comply with regulatory requirements regarding the protection of personal information can also lead to significant penalties and sanctions.</w:t>
      </w:r>
    </w:p>
    <w:p>
      <w:pPr>
        <w:spacing w:after="0" w:line="172" w:lineRule="exact"/>
        <w:rPr>
          <w:sz w:val="20"/>
          <w:szCs w:val="20"/>
          <w:color w:val="auto"/>
        </w:rPr>
      </w:pPr>
    </w:p>
    <w:p>
      <w:pPr>
        <w:ind w:firstLine="51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and third party payors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175"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Healthcare providers, physicians and third party payors will play a primary role in the recommendation and prescription of any product candidates for which we obtain marketing approval. Our future arrangements with third party payors and customers may expose us to broadly applicable fraud and abuse and other healthcare laws and regulations that may constrain the business or financial arrangements and relationships through which we market, sell and distribute any products for which we obtain marketing approval. Restrictions under applicable federal and state healthcare laws and regulations, include the following:</w:t>
      </w:r>
    </w:p>
    <w:p>
      <w:pPr>
        <w:spacing w:after="0" w:line="76" w:lineRule="exact"/>
        <w:rPr>
          <w:sz w:val="20"/>
          <w:szCs w:val="20"/>
          <w:color w:val="auto"/>
        </w:rPr>
      </w:pPr>
    </w:p>
    <w:p>
      <w:pPr>
        <w:ind w:left="820" w:right="100" w:hanging="294"/>
        <w:spacing w:after="0" w:line="221" w:lineRule="auto"/>
        <w:tabs>
          <w:tab w:leader="none" w:pos="820" w:val="left"/>
        </w:tabs>
        <w:numPr>
          <w:ilvl w:val="0"/>
          <w:numId w:val="3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federal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134" w:lineRule="exact"/>
        <w:rPr>
          <w:rFonts w:ascii="Times New Roman" w:cs="Times New Roman" w:eastAsia="Times New Roman" w:hAnsi="Times New Roman"/>
          <w:sz w:val="29"/>
          <w:szCs w:val="29"/>
          <w:color w:val="auto"/>
          <w:vertAlign w:val="superscript"/>
        </w:rPr>
      </w:pPr>
    </w:p>
    <w:p>
      <w:pPr>
        <w:ind w:left="820" w:right="160" w:hanging="294"/>
        <w:spacing w:after="0" w:line="221" w:lineRule="auto"/>
        <w:tabs>
          <w:tab w:leader="none" w:pos="820" w:val="left"/>
        </w:tabs>
        <w:numPr>
          <w:ilvl w:val="0"/>
          <w:numId w:val="3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federal False Claims Act imposes criminal and civil penalties, including civil whistleblower or qui tam actions, against individuals or entities for, among other things, knowingly presenting, or causing to be presented false or fraudulent claims for payment by a federal government program, or making a false statement or record material to payment of a false claim or avoiding, decreasing or concealing an obligation to pay money to the federal government;</w:t>
      </w:r>
    </w:p>
    <w:p>
      <w:pPr>
        <w:spacing w:after="0" w:line="134" w:lineRule="exact"/>
        <w:rPr>
          <w:rFonts w:ascii="Times New Roman" w:cs="Times New Roman" w:eastAsia="Times New Roman" w:hAnsi="Times New Roman"/>
          <w:sz w:val="29"/>
          <w:szCs w:val="29"/>
          <w:color w:val="auto"/>
          <w:vertAlign w:val="superscript"/>
        </w:rPr>
      </w:pPr>
    </w:p>
    <w:p>
      <w:pPr>
        <w:ind w:left="820" w:right="100" w:hanging="294"/>
        <w:spacing w:after="0" w:line="221" w:lineRule="auto"/>
        <w:tabs>
          <w:tab w:leader="none" w:pos="820" w:val="left"/>
        </w:tabs>
        <w:numPr>
          <w:ilvl w:val="0"/>
          <w:numId w:val="3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federal Health Insurance Portability and Accountability Act of 1996, or HIPAA,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134" w:lineRule="exact"/>
        <w:rPr>
          <w:rFonts w:ascii="Times New Roman" w:cs="Times New Roman" w:eastAsia="Times New Roman" w:hAnsi="Times New Roman"/>
          <w:sz w:val="29"/>
          <w:szCs w:val="29"/>
          <w:color w:val="auto"/>
          <w:vertAlign w:val="superscript"/>
        </w:rPr>
      </w:pPr>
    </w:p>
    <w:p>
      <w:pPr>
        <w:jc w:val="both"/>
        <w:ind w:left="820" w:right="60" w:hanging="294"/>
        <w:spacing w:after="0" w:line="214" w:lineRule="auto"/>
        <w:tabs>
          <w:tab w:leader="none" w:pos="820" w:val="left"/>
        </w:tabs>
        <w:numPr>
          <w:ilvl w:val="0"/>
          <w:numId w:val="3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130" w:lineRule="exact"/>
        <w:rPr>
          <w:rFonts w:ascii="Times New Roman" w:cs="Times New Roman" w:eastAsia="Times New Roman" w:hAnsi="Times New Roman"/>
          <w:sz w:val="29"/>
          <w:szCs w:val="29"/>
          <w:color w:val="auto"/>
          <w:vertAlign w:val="superscript"/>
        </w:rPr>
      </w:pPr>
    </w:p>
    <w:p>
      <w:pPr>
        <w:ind w:left="820" w:right="300" w:hanging="294"/>
        <w:spacing w:after="0" w:line="200" w:lineRule="auto"/>
        <w:tabs>
          <w:tab w:leader="none" w:pos="820" w:val="left"/>
        </w:tabs>
        <w:numPr>
          <w:ilvl w:val="0"/>
          <w:numId w:val="3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130" w:lineRule="exact"/>
        <w:rPr>
          <w:rFonts w:ascii="Times New Roman" w:cs="Times New Roman" w:eastAsia="Times New Roman" w:hAnsi="Times New Roman"/>
          <w:sz w:val="29"/>
          <w:szCs w:val="29"/>
          <w:color w:val="auto"/>
          <w:vertAlign w:val="superscript"/>
        </w:rPr>
      </w:pPr>
    </w:p>
    <w:p>
      <w:pPr>
        <w:ind w:left="820" w:right="700" w:hanging="294"/>
        <w:spacing w:after="0" w:line="200" w:lineRule="auto"/>
        <w:tabs>
          <w:tab w:leader="none" w:pos="820" w:val="left"/>
        </w:tabs>
        <w:numPr>
          <w:ilvl w:val="0"/>
          <w:numId w:val="3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federal law requires applicable manufacturers of covered drugs to report payments and other transfers of value to physicians and teaching hospitals;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22" w:right="239" w:bottom="1440" w:gutter="0" w:footer="0" w:header="0"/>
        </w:sectPr>
      </w:pPr>
    </w:p>
    <w:bookmarkStart w:id="48" w:name="page49"/>
    <w:bookmarkEnd w:id="48"/>
    <w:p>
      <w:pPr>
        <w:ind w:left="820" w:right="60" w:hanging="294"/>
        <w:spacing w:after="0" w:line="221" w:lineRule="auto"/>
        <w:tabs>
          <w:tab w:leader="none" w:pos="820" w:val="left"/>
        </w:tabs>
        <w:numPr>
          <w:ilvl w:val="0"/>
          <w:numId w:val="3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federal transparency requirements under the Patient Protection and Affordable Care Act, as amended by the Health Care and Education Affordability Reconciliation Act, or collectively the PPACA, requires manufacturers of drugs, devices, biologics and medical supplies to report to the Department of Health and Human Services information related to physician payments and other transfers of value and physician ownership and investment interests; and</w:t>
      </w:r>
    </w:p>
    <w:p>
      <w:pPr>
        <w:spacing w:after="0" w:line="134" w:lineRule="exact"/>
        <w:rPr>
          <w:rFonts w:ascii="Times New Roman" w:cs="Times New Roman" w:eastAsia="Times New Roman" w:hAnsi="Times New Roman"/>
          <w:sz w:val="29"/>
          <w:szCs w:val="29"/>
          <w:color w:val="auto"/>
          <w:vertAlign w:val="superscript"/>
        </w:rPr>
      </w:pPr>
    </w:p>
    <w:p>
      <w:pPr>
        <w:ind w:left="820" w:right="20" w:hanging="294"/>
        <w:spacing w:after="0" w:line="227" w:lineRule="auto"/>
        <w:tabs>
          <w:tab w:leader="none" w:pos="820" w:val="left"/>
        </w:tabs>
        <w:numPr>
          <w:ilvl w:val="0"/>
          <w:numId w:val="39"/>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analogous state laws and regulations such as state anti-kickback and false claims laws and analogous non-U.S. fraud and abuse laws and regulations,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w:t>
      </w:r>
    </w:p>
    <w:p>
      <w:pPr>
        <w:spacing w:after="0" w:line="198" w:lineRule="exact"/>
        <w:rPr>
          <w:sz w:val="20"/>
          <w:szCs w:val="20"/>
          <w:color w:val="auto"/>
        </w:rPr>
      </w:pPr>
    </w:p>
    <w:p>
      <w:pPr>
        <w:ind w:right="320" w:firstLine="518"/>
        <w:spacing w:after="0" w:line="258" w:lineRule="auto"/>
        <w:rPr>
          <w:sz w:val="20"/>
          <w:szCs w:val="20"/>
          <w:color w:val="auto"/>
        </w:rPr>
      </w:pPr>
      <w:r>
        <w:rPr>
          <w:rFonts w:ascii="Times New Roman" w:cs="Times New Roman" w:eastAsia="Times New Roman" w:hAnsi="Times New Roman"/>
          <w:sz w:val="18"/>
          <w:szCs w:val="18"/>
          <w:color w:val="auto"/>
        </w:rPr>
        <w:t>Some state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State and non-U.S. laws also govern the privacy and security of health information in some circumstances, many of which differ from each other in significant ways and often are not preempted by HIPAA, thus complicating compliance efforts.</w:t>
      </w:r>
    </w:p>
    <w:p>
      <w:pPr>
        <w:spacing w:after="0" w:line="184"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products from government funded healthcare programs, such as Medicare and Medicaid,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85" w:lineRule="exact"/>
        <w:rPr>
          <w:sz w:val="20"/>
          <w:szCs w:val="20"/>
          <w:color w:val="auto"/>
        </w:rPr>
      </w:pPr>
    </w:p>
    <w:p>
      <w:pPr>
        <w:ind w:right="8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Recently enacted and future legislation may increase the difficulty and cost for us to obtain marketing approval of and commercialize our product candidates and affect the prices we may obtain.</w:t>
      </w:r>
    </w:p>
    <w:p>
      <w:pPr>
        <w:spacing w:after="0" w:line="159" w:lineRule="exact"/>
        <w:rPr>
          <w:sz w:val="20"/>
          <w:szCs w:val="20"/>
          <w:color w:val="auto"/>
        </w:rPr>
      </w:pPr>
    </w:p>
    <w:p>
      <w:pPr>
        <w:ind w:firstLine="518"/>
        <w:spacing w:after="0" w:line="254" w:lineRule="auto"/>
        <w:rPr>
          <w:sz w:val="20"/>
          <w:szCs w:val="20"/>
          <w:color w:val="auto"/>
        </w:rPr>
      </w:pPr>
      <w:r>
        <w:rPr>
          <w:rFonts w:ascii="Times New Roman" w:cs="Times New Roman" w:eastAsia="Times New Roman" w:hAnsi="Times New Roman"/>
          <w:sz w:val="18"/>
          <w:szCs w:val="18"/>
          <w:color w:val="auto"/>
        </w:rPr>
        <w:t>In the United States and some non-U.S.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Third-party payors are increasingly challenging the prices charged for medical products and services and examining the medical necessity and cost-effectiveness of medical products and services, in addition to their safety and efficacy. If these third-party payors do not consider our products, if approved, to be cost-effective compared to other available therapies, they may not cover our product after approval as a benefit under their plans or, if they do, the level of payment may not be sufficient to allow us to realize a meaningful return on our investment. The United States government, state legislatures and non-U.S. governments have shown significant interest in implementing cost containment programs to limit the growth of government-paid health care costs, including price controls, restrictions on reimbursement and requirements for substitution of generic products for branded prescription drugs. Adoption of such controls and measures, and tightening of restrictive policies in jurisdictions with existing controls and measures, could limit payments for our products, if approved.</w:t>
      </w:r>
    </w:p>
    <w:p>
      <w:pPr>
        <w:spacing w:after="0" w:line="186" w:lineRule="exact"/>
        <w:rPr>
          <w:sz w:val="20"/>
          <w:szCs w:val="20"/>
          <w:color w:val="auto"/>
        </w:rPr>
      </w:pPr>
    </w:p>
    <w:p>
      <w:pPr>
        <w:ind w:right="60" w:firstLine="518"/>
        <w:spacing w:after="0" w:line="258" w:lineRule="auto"/>
        <w:rPr>
          <w:sz w:val="20"/>
          <w:szCs w:val="20"/>
          <w:color w:val="auto"/>
        </w:rPr>
      </w:pPr>
      <w:r>
        <w:rPr>
          <w:rFonts w:ascii="Times New Roman" w:cs="Times New Roman" w:eastAsia="Times New Roman" w:hAnsi="Times New Roman"/>
          <w:sz w:val="18"/>
          <w:szCs w:val="18"/>
          <w:color w:val="auto"/>
        </w:rPr>
        <w:t>As a result, the marketability of our products, if approved, could suffer if the government and third-party payors fail to provide adequate coverage and reimbursement. In addition, an increasing emphasis on managed care in the United States has increased and will continue to increase the pressure on drug pricing. Coverage policies, third-party reimbursement rates and drug pricing regulation may change at any time. Even if favorable coverage and reimbursement status is attained for one or more of our products that receive regulatory approval, less favorable coverage policies and reimbursement rates may be implemented in the future.</w:t>
      </w:r>
    </w:p>
    <w:p>
      <w:pPr>
        <w:spacing w:after="0" w:line="184" w:lineRule="exact"/>
        <w:rPr>
          <w:sz w:val="20"/>
          <w:szCs w:val="20"/>
          <w:color w:val="auto"/>
        </w:rPr>
      </w:pPr>
    </w:p>
    <w:p>
      <w:pPr>
        <w:ind w:right="60" w:firstLine="518"/>
        <w:spacing w:after="0" w:line="255" w:lineRule="auto"/>
        <w:rPr>
          <w:sz w:val="20"/>
          <w:szCs w:val="20"/>
          <w:color w:val="auto"/>
        </w:rPr>
      </w:pPr>
      <w:r>
        <w:rPr>
          <w:rFonts w:ascii="Times New Roman" w:cs="Times New Roman" w:eastAsia="Times New Roman" w:hAnsi="Times New Roman"/>
          <w:sz w:val="18"/>
          <w:szCs w:val="18"/>
          <w:color w:val="auto"/>
        </w:rPr>
        <w:t>In the United States, the Medicare Prescription Drug, Improvement, and Modernization Act of 2003, or the MMA, changed the way Medicare covers and pays for pharmaceutical products. The legislation expanded Medicare coverage for drug purchases by the elderly and introduced a new reimbursement methodology based on average sales prices for physician-administered drugs. In addition, this legislation provided authority for limiting the number of drugs that will be covered in any therapeutic class. Cost reduction initiatives and other provisions of this legislation could decrease the coverage and price that we receive for any approved products. While the MMA applies only to drug benefits for Medicare beneficiaries, private payors often follow Medicare coverage policy and payment limitations in setting their own reimbursement rates. Therefore, any reduction in reimbursement that results from the MMA may result in a similar reduction in payments from private payors.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00"/>
          </w:cols>
          <w:pgMar w:left="240" w:top="121" w:right="259" w:bottom="1440" w:gutter="0" w:footer="0" w:header="0"/>
        </w:sectPr>
      </w:pPr>
    </w:p>
    <w:bookmarkStart w:id="49" w:name="page50"/>
    <w:bookmarkEnd w:id="49"/>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More recently, in March 2010, President Obama signed into law the PPACA,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Among the provisions of the PPACA of importance to our potential product candidates are the following:</w:t>
      </w:r>
    </w:p>
    <w:p>
      <w:pPr>
        <w:spacing w:after="0" w:line="18" w:lineRule="exact"/>
        <w:rPr>
          <w:sz w:val="20"/>
          <w:szCs w:val="20"/>
          <w:color w:val="auto"/>
        </w:rPr>
      </w:pPr>
    </w:p>
    <w:p>
      <w:pPr>
        <w:ind w:left="820" w:hanging="294"/>
        <w:spacing w:after="0"/>
        <w:tabs>
          <w:tab w:leader="none" w:pos="820" w:val="left"/>
        </w:tabs>
        <w:numPr>
          <w:ilvl w:val="0"/>
          <w:numId w:val="4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an annual, nondeductible fee on any entity that manufactures or imports specified branded prescription drugs and biologic agents;</w:t>
      </w:r>
    </w:p>
    <w:p>
      <w:pPr>
        <w:spacing w:after="0" w:line="141" w:lineRule="exact"/>
        <w:rPr>
          <w:rFonts w:ascii="Times New Roman" w:cs="Times New Roman" w:eastAsia="Times New Roman" w:hAnsi="Times New Roman"/>
          <w:sz w:val="29"/>
          <w:szCs w:val="29"/>
          <w:color w:val="auto"/>
          <w:vertAlign w:val="superscript"/>
        </w:rPr>
      </w:pPr>
    </w:p>
    <w:p>
      <w:pPr>
        <w:ind w:left="820" w:right="520" w:hanging="294"/>
        <w:spacing w:after="0" w:line="194" w:lineRule="auto"/>
        <w:tabs>
          <w:tab w:leader="none" w:pos="820" w:val="left"/>
        </w:tabs>
        <w:numPr>
          <w:ilvl w:val="0"/>
          <w:numId w:val="4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expansion of healthcare fraud and abuse laws, including the False Claims Act and the Anti-Kickback Statute, new government investigative powers, and enhanced penalties for noncompliance;</w:t>
      </w:r>
    </w:p>
    <w:p>
      <w:pPr>
        <w:spacing w:after="0" w:line="132" w:lineRule="exact"/>
        <w:rPr>
          <w:rFonts w:ascii="Times New Roman" w:cs="Times New Roman" w:eastAsia="Times New Roman" w:hAnsi="Times New Roman"/>
          <w:sz w:val="29"/>
          <w:szCs w:val="29"/>
          <w:color w:val="auto"/>
          <w:vertAlign w:val="superscript"/>
        </w:rPr>
      </w:pPr>
    </w:p>
    <w:p>
      <w:pPr>
        <w:ind w:left="820" w:right="320" w:hanging="294"/>
        <w:spacing w:after="0" w:line="200" w:lineRule="auto"/>
        <w:tabs>
          <w:tab w:leader="none" w:pos="820" w:val="left"/>
        </w:tabs>
        <w:numPr>
          <w:ilvl w:val="0"/>
          <w:numId w:val="4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 new Medicare Part D coverage gap discount program, in which manufacturers must agree to offer 50% point-of-sale discounts off negotiated prices;</w:t>
      </w:r>
    </w:p>
    <w:p>
      <w:pPr>
        <w:spacing w:after="0" w:line="31" w:lineRule="exact"/>
        <w:rPr>
          <w:rFonts w:ascii="Times New Roman" w:cs="Times New Roman" w:eastAsia="Times New Roman" w:hAnsi="Times New Roman"/>
          <w:sz w:val="29"/>
          <w:szCs w:val="29"/>
          <w:color w:val="auto"/>
          <w:vertAlign w:val="superscript"/>
        </w:rPr>
      </w:pPr>
    </w:p>
    <w:p>
      <w:pPr>
        <w:ind w:left="820" w:hanging="294"/>
        <w:spacing w:after="0"/>
        <w:tabs>
          <w:tab w:leader="none" w:pos="820" w:val="left"/>
        </w:tabs>
        <w:numPr>
          <w:ilvl w:val="0"/>
          <w:numId w:val="4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extension of manufacturers’ Medicaid rebate liability;</w:t>
      </w:r>
    </w:p>
    <w:p>
      <w:pPr>
        <w:spacing w:after="0" w:line="141" w:lineRule="exact"/>
        <w:rPr>
          <w:rFonts w:ascii="Times New Roman" w:cs="Times New Roman" w:eastAsia="Times New Roman" w:hAnsi="Times New Roman"/>
          <w:sz w:val="29"/>
          <w:szCs w:val="29"/>
          <w:color w:val="auto"/>
          <w:vertAlign w:val="superscript"/>
        </w:rPr>
      </w:pPr>
    </w:p>
    <w:p>
      <w:pPr>
        <w:ind w:left="820" w:hanging="294"/>
        <w:spacing w:after="0" w:line="185" w:lineRule="auto"/>
        <w:tabs>
          <w:tab w:leader="none" w:pos="820" w:val="left"/>
        </w:tabs>
        <w:numPr>
          <w:ilvl w:val="0"/>
          <w:numId w:val="4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expansion of eligibility criteria for Medicaid programs;</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4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expansion of the entities eligible for discounts under the Public Health Service pharmaceutical pricing program;</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4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new requirements to report financial arrangements with physicians and teaching hospitals;</w:t>
      </w:r>
    </w:p>
    <w:p>
      <w:pPr>
        <w:spacing w:after="0" w:line="110" w:lineRule="exact"/>
        <w:rPr>
          <w:rFonts w:ascii="Times New Roman" w:cs="Times New Roman" w:eastAsia="Times New Roman" w:hAnsi="Times New Roman"/>
          <w:sz w:val="25"/>
          <w:szCs w:val="25"/>
          <w:color w:val="auto"/>
          <w:vertAlign w:val="superscript"/>
        </w:rPr>
      </w:pPr>
    </w:p>
    <w:p>
      <w:pPr>
        <w:ind w:left="820" w:hanging="294"/>
        <w:spacing w:after="0" w:line="186" w:lineRule="auto"/>
        <w:tabs>
          <w:tab w:leader="none" w:pos="820" w:val="left"/>
        </w:tabs>
        <w:numPr>
          <w:ilvl w:val="0"/>
          <w:numId w:val="4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a new requirement to annually report drug samples that manufacturers and distributors provide to physicians; and</w:t>
      </w:r>
    </w:p>
    <w:p>
      <w:pPr>
        <w:spacing w:after="0" w:line="142" w:lineRule="exact"/>
        <w:rPr>
          <w:rFonts w:ascii="Times New Roman" w:cs="Times New Roman" w:eastAsia="Times New Roman" w:hAnsi="Times New Roman"/>
          <w:sz w:val="24"/>
          <w:szCs w:val="24"/>
          <w:color w:val="auto"/>
          <w:vertAlign w:val="superscript"/>
        </w:rPr>
      </w:pPr>
    </w:p>
    <w:p>
      <w:pPr>
        <w:ind w:left="820" w:right="340" w:hanging="294"/>
        <w:spacing w:after="0" w:line="194" w:lineRule="auto"/>
        <w:tabs>
          <w:tab w:leader="none" w:pos="820" w:val="left"/>
        </w:tabs>
        <w:numPr>
          <w:ilvl w:val="0"/>
          <w:numId w:val="4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 new Patient-Centered Outcomes Research Institute to oversee, identify priorities in, and conduct comparative clinical effectiveness research, along with funding for such research.</w:t>
      </w:r>
    </w:p>
    <w:p>
      <w:pPr>
        <w:spacing w:after="0" w:line="200"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PPACA was enacted. These changes included aggregate reductions to Medicare payments to providers of up to 2% per fiscal year, starting in 2013.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w:t>
      </w:r>
    </w:p>
    <w:p>
      <w:pPr>
        <w:spacing w:after="0" w:line="184" w:lineRule="exact"/>
        <w:rPr>
          <w:sz w:val="20"/>
          <w:szCs w:val="20"/>
          <w:color w:val="auto"/>
        </w:rPr>
      </w:pPr>
    </w:p>
    <w:p>
      <w:pPr>
        <w:ind w:right="140" w:firstLine="518"/>
        <w:spacing w:after="0" w:line="261" w:lineRule="auto"/>
        <w:rPr>
          <w:sz w:val="20"/>
          <w:szCs w:val="20"/>
          <w:color w:val="auto"/>
        </w:rPr>
      </w:pPr>
      <w:r>
        <w:rPr>
          <w:rFonts w:ascii="Times New Roman" w:cs="Times New Roman" w:eastAsia="Times New Roman" w:hAnsi="Times New Roman"/>
          <w:sz w:val="18"/>
          <w:szCs w:val="18"/>
          <w:color w:val="auto"/>
        </w:rPr>
        <w:t>We expect that the PPACA,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80" w:lineRule="exact"/>
        <w:rPr>
          <w:sz w:val="20"/>
          <w:szCs w:val="20"/>
          <w:color w:val="auto"/>
        </w:rPr>
      </w:pPr>
    </w:p>
    <w:p>
      <w:pPr>
        <w:ind w:right="160" w:firstLine="518"/>
        <w:spacing w:after="0" w:line="258" w:lineRule="auto"/>
        <w:rPr>
          <w:sz w:val="20"/>
          <w:szCs w:val="20"/>
          <w:color w:val="auto"/>
        </w:rPr>
      </w:pPr>
      <w:r>
        <w:rPr>
          <w:rFonts w:ascii="Times New Roman" w:cs="Times New Roman" w:eastAsia="Times New Roman" w:hAnsi="Times New Roman"/>
          <w:sz w:val="18"/>
          <w:szCs w:val="18"/>
          <w:color w:val="auto"/>
        </w:rPr>
        <w:t>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United States Congress of the FDA’s approval process may significantly delay or prevent marketing approval, as well as subject us to more stringent product labeling and post-marketing testing and other requirements.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United States tend to impose strict price controls, which may adversely affect our revenues from the sales of our products,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any.</w:t>
      </w:r>
    </w:p>
    <w:p>
      <w:pPr>
        <w:spacing w:after="0" w:line="207" w:lineRule="exact"/>
        <w:rPr>
          <w:sz w:val="20"/>
          <w:szCs w:val="20"/>
          <w:color w:val="auto"/>
        </w:rPr>
      </w:pPr>
    </w:p>
    <w:p>
      <w:pPr>
        <w:ind w:right="80" w:firstLine="518"/>
        <w:spacing w:after="0" w:line="258" w:lineRule="auto"/>
        <w:rPr>
          <w:sz w:val="20"/>
          <w:szCs w:val="20"/>
          <w:color w:val="auto"/>
        </w:rPr>
      </w:pPr>
      <w:r>
        <w:rPr>
          <w:rFonts w:ascii="Times New Roman" w:cs="Times New Roman" w:eastAsia="Times New Roman" w:hAnsi="Times New Roman"/>
          <w:sz w:val="18"/>
          <w:szCs w:val="18"/>
          <w:color w:val="auto"/>
        </w:rPr>
        <w:t>In some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spacing w:after="0" w:line="180" w:lineRule="exact"/>
        <w:rPr>
          <w:sz w:val="20"/>
          <w:szCs w:val="20"/>
          <w:color w:val="auto"/>
        </w:rPr>
      </w:pPr>
    </w:p>
    <w:p>
      <w:pPr>
        <w:ind w:right="32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may engage in misconduct or other improper activities, including non-compliance with regulatory standards and requirements, which could cause significant liability for us and harm our reputation.</w:t>
      </w:r>
    </w:p>
    <w:p>
      <w:pPr>
        <w:spacing w:after="0" w:line="159"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including intentional failures to comply with FDA regulations or similar regulations of comparable non-U.S. regulatory authorities, provide accurate information to the FDA or</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337" w:right="239" w:bottom="1440" w:gutter="0" w:footer="0" w:header="0"/>
        </w:sectPr>
      </w:pPr>
    </w:p>
    <w:bookmarkStart w:id="50" w:name="page51"/>
    <w:bookmarkEnd w:id="50"/>
    <w:p>
      <w:pPr>
        <w:spacing w:after="0" w:line="255" w:lineRule="auto"/>
        <w:rPr>
          <w:sz w:val="20"/>
          <w:szCs w:val="20"/>
          <w:color w:val="auto"/>
        </w:rPr>
      </w:pPr>
      <w:r>
        <w:rPr>
          <w:rFonts w:ascii="Times New Roman" w:cs="Times New Roman" w:eastAsia="Times New Roman" w:hAnsi="Times New Roman"/>
          <w:sz w:val="18"/>
          <w:szCs w:val="18"/>
          <w:color w:val="auto"/>
        </w:rPr>
        <w:t>comparable non-U.S. regulatory authorities, comply with manufacturing standards we have established, comply with federal and state healthcare fraud and abuse laws and regulations and similar laws and regulations established and enforced by comparable non-U.S. regulatory authorities, report financial information or data accurately or disclose unauthorized activities to us. Employee misconduct could also involve the improper use of information obtained in the course of clinical trials, which could result in regulatory sanctions and serious harm to our reputation.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181" w:lineRule="exact"/>
        <w:rPr>
          <w:sz w:val="20"/>
          <w:szCs w:val="20"/>
          <w:color w:val="auto"/>
        </w:rPr>
      </w:pPr>
    </w:p>
    <w:p>
      <w:pPr>
        <w:ind w:right="20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159" w:lineRule="exact"/>
        <w:rPr>
          <w:sz w:val="20"/>
          <w:szCs w:val="20"/>
          <w:color w:val="auto"/>
        </w:rPr>
      </w:pPr>
    </w:p>
    <w:p>
      <w:pPr>
        <w:ind w:right="60" w:firstLine="518"/>
        <w:spacing w:after="0" w:line="256"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88" w:lineRule="exact"/>
        <w:rPr>
          <w:sz w:val="20"/>
          <w:szCs w:val="20"/>
          <w:color w:val="auto"/>
        </w:rPr>
      </w:pPr>
    </w:p>
    <w:p>
      <w:pPr>
        <w:ind w:right="180" w:firstLine="518"/>
        <w:spacing w:after="0" w:line="261"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0"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Growth</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in a period of transition following the appointment of our new president and chief executive officer.</w:t>
      </w:r>
    </w:p>
    <w:p>
      <w:pPr>
        <w:spacing w:after="0" w:line="229" w:lineRule="exact"/>
        <w:rPr>
          <w:sz w:val="20"/>
          <w:szCs w:val="20"/>
          <w:color w:val="auto"/>
        </w:rPr>
      </w:pPr>
    </w:p>
    <w:p>
      <w:pPr>
        <w:ind w:right="460" w:firstLine="518"/>
        <w:spacing w:after="0" w:line="282" w:lineRule="auto"/>
        <w:rPr>
          <w:sz w:val="20"/>
          <w:szCs w:val="20"/>
          <w:color w:val="auto"/>
        </w:rPr>
      </w:pPr>
      <w:r>
        <w:rPr>
          <w:rFonts w:ascii="Times New Roman" w:cs="Times New Roman" w:eastAsia="Times New Roman" w:hAnsi="Times New Roman"/>
          <w:sz w:val="18"/>
          <w:szCs w:val="18"/>
          <w:color w:val="auto"/>
        </w:rPr>
        <w:t>On March 20, 2015, our board of directors appointed Christopher D.T. Guiffre as our President and Chief Executive Officer and elected him as a director, effective immediately.We anticipate that we will experience a transitional period as Mr. Guiffre becomes fully integrated into his new role.</w:t>
      </w:r>
    </w:p>
    <w:p>
      <w:pPr>
        <w:spacing w:after="0" w:line="162" w:lineRule="exact"/>
        <w:rPr>
          <w:sz w:val="20"/>
          <w:szCs w:val="20"/>
          <w:color w:val="auto"/>
        </w:rPr>
      </w:pPr>
    </w:p>
    <w:p>
      <w:pPr>
        <w:ind w:right="420" w:firstLine="518"/>
        <w:spacing w:after="0" w:line="282" w:lineRule="auto"/>
        <w:rPr>
          <w:sz w:val="20"/>
          <w:szCs w:val="20"/>
          <w:color w:val="auto"/>
        </w:rPr>
      </w:pPr>
      <w:r>
        <w:rPr>
          <w:rFonts w:ascii="Times New Roman" w:cs="Times New Roman" w:eastAsia="Times New Roman" w:hAnsi="Times New Roman"/>
          <w:sz w:val="18"/>
          <w:szCs w:val="18"/>
          <w:color w:val="auto"/>
        </w:rPr>
        <w:t>Paul A. Friedman, M.D., a member of our board of directors, was appointed Executive Chairman of our board effective October 29, 2014 and we anticipate that he will continue in that role until our 2016 annual meeting of stockholders.</w:t>
      </w:r>
    </w:p>
    <w:p>
      <w:pPr>
        <w:spacing w:after="0" w:line="162" w:lineRule="exact"/>
        <w:rPr>
          <w:sz w:val="20"/>
          <w:szCs w:val="20"/>
          <w:color w:val="auto"/>
        </w:rPr>
      </w:pPr>
    </w:p>
    <w:p>
      <w:pPr>
        <w:ind w:right="280" w:firstLine="518"/>
        <w:spacing w:after="0" w:line="266" w:lineRule="auto"/>
        <w:rPr>
          <w:sz w:val="20"/>
          <w:szCs w:val="20"/>
          <w:color w:val="auto"/>
        </w:rPr>
      </w:pPr>
      <w:r>
        <w:rPr>
          <w:rFonts w:ascii="Times New Roman" w:cs="Times New Roman" w:eastAsia="Times New Roman" w:hAnsi="Times New Roman"/>
          <w:sz w:val="18"/>
          <w:szCs w:val="18"/>
          <w:color w:val="auto"/>
        </w:rPr>
        <w:t>If either Dr. Friedman or Mr. Guiffre ceases to fulfill his respective new responsibilities, our business, financial condition, and results of operations could be materially and adversely affected. Moreover, we cannot provide any assurance that this transitional period will not result in a disruption that adversely impacts our business and employee morale.</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229" w:lineRule="exact"/>
        <w:rPr>
          <w:sz w:val="20"/>
          <w:szCs w:val="20"/>
          <w:color w:val="auto"/>
        </w:rPr>
      </w:pPr>
    </w:p>
    <w:p>
      <w:pPr>
        <w:jc w:val="both"/>
        <w:ind w:right="220" w:firstLine="518"/>
        <w:spacing w:after="0" w:line="266" w:lineRule="auto"/>
        <w:rPr>
          <w:sz w:val="20"/>
          <w:szCs w:val="20"/>
          <w:color w:val="auto"/>
        </w:rPr>
      </w:pPr>
      <w:r>
        <w:rPr>
          <w:rFonts w:ascii="Times New Roman" w:cs="Times New Roman" w:eastAsia="Times New Roman" w:hAnsi="Times New Roman"/>
          <w:sz w:val="18"/>
          <w:szCs w:val="18"/>
          <w:color w:val="auto"/>
        </w:rPr>
        <w:t>We are highly dependent on the scientific, business development and clinical expertise of our management, scientific and clinical teams. The loss of this expertise could impede the achievement of our goals. Any of our employees may terminate their employment with us at any time. We do not maintain “key person” insurance for any of our executives or other employees.</w:t>
      </w:r>
    </w:p>
    <w:p>
      <w:pPr>
        <w:spacing w:after="0" w:line="176" w:lineRule="exact"/>
        <w:rPr>
          <w:sz w:val="20"/>
          <w:szCs w:val="20"/>
          <w:color w:val="auto"/>
        </w:rPr>
      </w:pPr>
    </w:p>
    <w:p>
      <w:pPr>
        <w:ind w:right="40" w:firstLine="518"/>
        <w:spacing w:after="0" w:line="255" w:lineRule="auto"/>
        <w:rPr>
          <w:sz w:val="20"/>
          <w:szCs w:val="20"/>
          <w:color w:val="auto"/>
        </w:rPr>
      </w:pPr>
      <w:r>
        <w:rPr>
          <w:rFonts w:ascii="Times New Roman" w:cs="Times New Roman" w:eastAsia="Times New Roman" w:hAnsi="Times New Roman"/>
          <w:sz w:val="18"/>
          <w:szCs w:val="18"/>
          <w:color w:val="auto"/>
        </w:rPr>
        <w:t>Recruiting and retaining qualified scientific, clinical, manufacturing finance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including finance personnel,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00"/>
          </w:cols>
          <w:pgMar w:left="240" w:top="337" w:right="259" w:bottom="1440" w:gutter="0" w:footer="0" w:header="0"/>
        </w:sectPr>
      </w:pPr>
    </w:p>
    <w:bookmarkStart w:id="51" w:name="page52"/>
    <w:bookmarkEnd w:id="51"/>
    <w:p>
      <w:pPr>
        <w:ind w:right="160"/>
        <w:spacing w:after="0" w:line="266" w:lineRule="auto"/>
        <w:rPr>
          <w:sz w:val="20"/>
          <w:szCs w:val="20"/>
          <w:color w:val="auto"/>
        </w:rPr>
      </w:pPr>
      <w:r>
        <w:rPr>
          <w:rFonts w:ascii="Times New Roman" w:cs="Times New Roman" w:eastAsia="Times New Roman" w:hAnsi="Times New Roman"/>
          <w:sz w:val="18"/>
          <w:szCs w:val="18"/>
          <w:color w:val="auto"/>
        </w:rPr>
        <w:t>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w:t>
      </w:r>
    </w:p>
    <w:p>
      <w:pPr>
        <w:spacing w:after="0" w:line="172" w:lineRule="exact"/>
        <w:rPr>
          <w:sz w:val="20"/>
          <w:szCs w:val="20"/>
          <w:color w:val="auto"/>
        </w:rPr>
      </w:pPr>
    </w:p>
    <w:p>
      <w:pPr>
        <w:ind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159" w:lineRule="exact"/>
        <w:rPr>
          <w:sz w:val="20"/>
          <w:szCs w:val="20"/>
          <w:color w:val="auto"/>
        </w:rPr>
      </w:pPr>
    </w:p>
    <w:p>
      <w:pPr>
        <w:ind w:right="100" w:firstLine="518"/>
        <w:spacing w:after="0" w:line="255" w:lineRule="auto"/>
        <w:rPr>
          <w:sz w:val="20"/>
          <w:szCs w:val="20"/>
          <w:color w:val="auto"/>
        </w:rPr>
      </w:pPr>
      <w:r>
        <w:rPr>
          <w:rFonts w:ascii="Times New Roman" w:cs="Times New Roman" w:eastAsia="Times New Roman" w:hAnsi="Times New Roman"/>
          <w:sz w:val="18"/>
          <w:szCs w:val="18"/>
          <w:color w:val="auto"/>
        </w:rPr>
        <w:t>We expect to experience significant growth in the number of our employees and the scope of our operations, particularly in the areas of drug development,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85" w:lineRule="exact"/>
        <w:rPr>
          <w:sz w:val="20"/>
          <w:szCs w:val="20"/>
          <w:color w:val="auto"/>
        </w:rPr>
      </w:pPr>
    </w:p>
    <w:p>
      <w:pPr>
        <w:ind w:right="22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existing lease will expire in February 2016. If we elect not to exercise our extension right under this lease and are unable to lease suitable space, our need to relocate our facilities could delay our research and development efforts, adversely affect our business and damage employee morale.</w:t>
      </w:r>
    </w:p>
    <w:p>
      <w:pPr>
        <w:spacing w:after="0" w:line="159"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We lease laboratory and office space in Cambridge, Massachusetts under a lease expiring on February 29, 2016. We have the right to extend the lease for an additional three year term, subject to reaching agreement with the landlord on market rent for the term of such extension. Our landlord is attempting to sell the building in which we are located, and the efforts to sell the building may make it more difficult for us to reach an agreement on the market rent for the term of the extension. If we elect not to exercise our extension right, or if we are not able to reach an agreement on market rent for the term of an extension, we will need to relocate our laboratory and office space. In these circumstances, we may be unable to obtain alternative facilities due to our financial condition or for other reasons, and we may be unable to fully relocate our existing operations before termination of our existing lease, thereby disrupting our business and research and development activities. In the event that we relocate to a new location, the new location we choose may adversely affect employee retention or recruitment, and the process of moving our offices to a new location may disrupt our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has been and may in the future be volatile and fluctuate substantially.</w:t>
      </w:r>
    </w:p>
    <w:p>
      <w:pPr>
        <w:spacing w:after="0" w:line="229" w:lineRule="exact"/>
        <w:rPr>
          <w:sz w:val="20"/>
          <w:szCs w:val="20"/>
          <w:color w:val="auto"/>
        </w:rPr>
      </w:pPr>
    </w:p>
    <w:p>
      <w:pPr>
        <w:ind w:right="160" w:firstLine="518"/>
        <w:spacing w:after="0" w:line="261" w:lineRule="auto"/>
        <w:rPr>
          <w:sz w:val="20"/>
          <w:szCs w:val="20"/>
          <w:color w:val="auto"/>
        </w:rPr>
      </w:pPr>
      <w:r>
        <w:rPr>
          <w:rFonts w:ascii="Times New Roman" w:cs="Times New Roman" w:eastAsia="Times New Roman" w:hAnsi="Times New Roman"/>
          <w:sz w:val="18"/>
          <w:szCs w:val="18"/>
          <w:color w:val="auto"/>
        </w:rPr>
        <w:t>Our stock price has been and may in the future be volatile. From April 10, 2014 to April 30, 2015, the sale price of our common stock as reported by the NASDAQ Global Market ranged from a high of $10.87 per share to a low of $3.35 per share. The stock market in general and the market for biopharmaceutical companies in particular have experienced extreme volatility that has often been unrelated to the operating performance of particular companies. The market price for our common stock may be influenced by many factors, including:</w:t>
      </w:r>
    </w:p>
    <w:p>
      <w:pPr>
        <w:spacing w:after="0" w:line="72" w:lineRule="exact"/>
        <w:rPr>
          <w:sz w:val="20"/>
          <w:szCs w:val="20"/>
          <w:color w:val="auto"/>
        </w:rPr>
      </w:pPr>
    </w:p>
    <w:p>
      <w:pPr>
        <w:ind w:left="820" w:right="60" w:hanging="294"/>
        <w:spacing w:after="0" w:line="214" w:lineRule="auto"/>
        <w:tabs>
          <w:tab w:leader="none" w:pos="820" w:val="left"/>
        </w:tabs>
        <w:numPr>
          <w:ilvl w:val="0"/>
          <w:numId w:val="4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actual or anticipated results from, and any delays in, our clinical trials, including the ongoing and any new ISTs of CRLX101, our ongoing and planned Phase 2 and Phase 3 clinical trials of CRLX101 or our Phase 1 clinical trial of CRLX301, as well as results of regulatory reviews relating to the approval of our product candidates;</w:t>
      </w:r>
    </w:p>
    <w:p>
      <w:pPr>
        <w:spacing w:after="0" w:line="31" w:lineRule="exact"/>
        <w:rPr>
          <w:rFonts w:ascii="Times New Roman" w:cs="Times New Roman" w:eastAsia="Times New Roman" w:hAnsi="Times New Roman"/>
          <w:sz w:val="29"/>
          <w:szCs w:val="29"/>
          <w:color w:val="auto"/>
          <w:vertAlign w:val="superscript"/>
        </w:rPr>
      </w:pPr>
    </w:p>
    <w:p>
      <w:pPr>
        <w:ind w:left="820" w:hanging="294"/>
        <w:spacing w:after="0"/>
        <w:tabs>
          <w:tab w:leader="none" w:pos="820" w:val="left"/>
        </w:tabs>
        <w:numPr>
          <w:ilvl w:val="0"/>
          <w:numId w:val="4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results of our efforts to discover, develop, acquire or in-license additional product candidates or products;</w:t>
      </w:r>
    </w:p>
    <w:p>
      <w:pPr>
        <w:spacing w:after="0" w:line="141" w:lineRule="exact"/>
        <w:rPr>
          <w:rFonts w:ascii="Times New Roman" w:cs="Times New Roman" w:eastAsia="Times New Roman" w:hAnsi="Times New Roman"/>
          <w:sz w:val="29"/>
          <w:szCs w:val="29"/>
          <w:color w:val="auto"/>
          <w:vertAlign w:val="superscript"/>
        </w:rPr>
      </w:pPr>
    </w:p>
    <w:p>
      <w:pPr>
        <w:ind w:left="820" w:hanging="294"/>
        <w:spacing w:after="0" w:line="185" w:lineRule="auto"/>
        <w:tabs>
          <w:tab w:leader="none" w:pos="820" w:val="left"/>
        </w:tabs>
        <w:numPr>
          <w:ilvl w:val="0"/>
          <w:numId w:val="4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failure or discontinuation of any of our development programs;</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4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the level of expenses related to any of our product candidates or clinical development programs;</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4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commencement or termination of any collaboration or licensing arrangement;</w:t>
      </w:r>
    </w:p>
    <w:p>
      <w:pPr>
        <w:spacing w:after="0" w:line="143" w:lineRule="exact"/>
        <w:rPr>
          <w:rFonts w:ascii="Times New Roman" w:cs="Times New Roman" w:eastAsia="Times New Roman" w:hAnsi="Times New Roman"/>
          <w:sz w:val="25"/>
          <w:szCs w:val="25"/>
          <w:color w:val="auto"/>
          <w:vertAlign w:val="superscript"/>
        </w:rPr>
      </w:pPr>
    </w:p>
    <w:p>
      <w:pPr>
        <w:ind w:left="820" w:right="40" w:hanging="294"/>
        <w:spacing w:after="0" w:line="194" w:lineRule="auto"/>
        <w:tabs>
          <w:tab w:leader="none" w:pos="820" w:val="left"/>
        </w:tabs>
        <w:numPr>
          <w:ilvl w:val="0"/>
          <w:numId w:val="4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33" w:lineRule="exact"/>
        <w:rPr>
          <w:rFonts w:ascii="Times New Roman" w:cs="Times New Roman" w:eastAsia="Times New Roman" w:hAnsi="Times New Roman"/>
          <w:sz w:val="29"/>
          <w:szCs w:val="29"/>
          <w:color w:val="auto"/>
          <w:vertAlign w:val="superscript"/>
        </w:rPr>
      </w:pPr>
    </w:p>
    <w:p>
      <w:pPr>
        <w:ind w:left="820" w:hanging="294"/>
        <w:spacing w:after="0"/>
        <w:tabs>
          <w:tab w:leader="none" w:pos="820" w:val="left"/>
        </w:tabs>
        <w:numPr>
          <w:ilvl w:val="0"/>
          <w:numId w:val="4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announcements by us or our competitors of significant acquisitions, strategic partnerships, joint ventures and capital commitments;</w:t>
      </w:r>
    </w:p>
    <w:p>
      <w:pPr>
        <w:spacing w:after="0" w:line="141" w:lineRule="exact"/>
        <w:rPr>
          <w:rFonts w:ascii="Times New Roman" w:cs="Times New Roman" w:eastAsia="Times New Roman" w:hAnsi="Times New Roman"/>
          <w:sz w:val="29"/>
          <w:szCs w:val="29"/>
          <w:color w:val="auto"/>
          <w:vertAlign w:val="superscript"/>
        </w:rPr>
      </w:pPr>
    </w:p>
    <w:p>
      <w:pPr>
        <w:ind w:left="820" w:hanging="294"/>
        <w:spacing w:after="0" w:line="185" w:lineRule="auto"/>
        <w:tabs>
          <w:tab w:leader="none" w:pos="820" w:val="left"/>
        </w:tabs>
        <w:numPr>
          <w:ilvl w:val="0"/>
          <w:numId w:val="41"/>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additions or departures of key scientific or management personnel;</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00"/>
          </w:cols>
          <w:pgMar w:left="240" w:top="337" w:right="259" w:bottom="1440" w:gutter="0" w:footer="0" w:header="0"/>
        </w:sectPr>
      </w:pPr>
    </w:p>
    <w:bookmarkStart w:id="52" w:name="page53"/>
    <w:bookmarkEnd w:id="52"/>
    <w:p>
      <w:pPr>
        <w:ind w:left="820" w:hanging="294"/>
        <w:spacing w:after="0"/>
        <w:tabs>
          <w:tab w:leader="none" w:pos="820" w:val="left"/>
        </w:tabs>
        <w:numPr>
          <w:ilvl w:val="0"/>
          <w:numId w:val="4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31" w:lineRule="exact"/>
        <w:rPr>
          <w:rFonts w:ascii="Times New Roman" w:cs="Times New Roman" w:eastAsia="Times New Roman" w:hAnsi="Times New Roman"/>
          <w:sz w:val="29"/>
          <w:szCs w:val="29"/>
          <w:color w:val="auto"/>
          <w:vertAlign w:val="superscript"/>
        </w:rPr>
      </w:pPr>
    </w:p>
    <w:p>
      <w:pPr>
        <w:ind w:left="820" w:right="760" w:hanging="294"/>
        <w:spacing w:after="0" w:line="199" w:lineRule="auto"/>
        <w:tabs>
          <w:tab w:leader="none" w:pos="820" w:val="left"/>
        </w:tabs>
        <w:numPr>
          <w:ilvl w:val="0"/>
          <w:numId w:val="4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new products, product candidates or new uses for existing products introduced or announced by our competitors, and the timing of these introductions or announcements;</w:t>
      </w:r>
    </w:p>
    <w:p>
      <w:pPr>
        <w:spacing w:after="0" w:line="31" w:lineRule="exact"/>
        <w:rPr>
          <w:rFonts w:ascii="Times New Roman" w:cs="Times New Roman" w:eastAsia="Times New Roman" w:hAnsi="Times New Roman"/>
          <w:sz w:val="29"/>
          <w:szCs w:val="29"/>
          <w:color w:val="auto"/>
          <w:vertAlign w:val="superscript"/>
        </w:rPr>
      </w:pPr>
    </w:p>
    <w:p>
      <w:pPr>
        <w:ind w:left="820" w:hanging="294"/>
        <w:spacing w:after="0"/>
        <w:tabs>
          <w:tab w:leader="none" w:pos="820" w:val="left"/>
        </w:tabs>
        <w:numPr>
          <w:ilvl w:val="0"/>
          <w:numId w:val="4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results of clinical trials of product candidates of our competitors;</w:t>
      </w:r>
    </w:p>
    <w:p>
      <w:pPr>
        <w:spacing w:after="0" w:line="141" w:lineRule="exact"/>
        <w:rPr>
          <w:rFonts w:ascii="Times New Roman" w:cs="Times New Roman" w:eastAsia="Times New Roman" w:hAnsi="Times New Roman"/>
          <w:sz w:val="29"/>
          <w:szCs w:val="29"/>
          <w:color w:val="auto"/>
          <w:vertAlign w:val="superscript"/>
        </w:rPr>
      </w:pPr>
    </w:p>
    <w:p>
      <w:pPr>
        <w:ind w:left="820" w:right="40" w:hanging="294"/>
        <w:spacing w:after="0" w:line="194" w:lineRule="auto"/>
        <w:tabs>
          <w:tab w:leader="none" w:pos="820" w:val="left"/>
        </w:tabs>
        <w:numPr>
          <w:ilvl w:val="0"/>
          <w:numId w:val="4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general economic and market conditions and other factors that may be unrelated to our operating performance or the operating performance of our competitors, including changes in market valuations of similar companies;</w:t>
      </w:r>
    </w:p>
    <w:p>
      <w:pPr>
        <w:spacing w:after="0" w:line="33" w:lineRule="exact"/>
        <w:rPr>
          <w:rFonts w:ascii="Times New Roman" w:cs="Times New Roman" w:eastAsia="Times New Roman" w:hAnsi="Times New Roman"/>
          <w:sz w:val="29"/>
          <w:szCs w:val="29"/>
          <w:color w:val="auto"/>
          <w:vertAlign w:val="superscript"/>
        </w:rPr>
      </w:pPr>
    </w:p>
    <w:p>
      <w:pPr>
        <w:ind w:left="820" w:hanging="294"/>
        <w:spacing w:after="0"/>
        <w:tabs>
          <w:tab w:leader="none" w:pos="820" w:val="left"/>
        </w:tabs>
        <w:numPr>
          <w:ilvl w:val="0"/>
          <w:numId w:val="4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regulatory or legal developments in the United States and other countries;</w:t>
      </w:r>
    </w:p>
    <w:p>
      <w:pPr>
        <w:spacing w:after="0" w:line="141" w:lineRule="exact"/>
        <w:rPr>
          <w:rFonts w:ascii="Times New Roman" w:cs="Times New Roman" w:eastAsia="Times New Roman" w:hAnsi="Times New Roman"/>
          <w:sz w:val="29"/>
          <w:szCs w:val="29"/>
          <w:color w:val="auto"/>
          <w:vertAlign w:val="superscript"/>
        </w:rPr>
      </w:pPr>
    </w:p>
    <w:p>
      <w:pPr>
        <w:ind w:left="820" w:hanging="294"/>
        <w:spacing w:after="0" w:line="185" w:lineRule="auto"/>
        <w:tabs>
          <w:tab w:leader="none" w:pos="820" w:val="left"/>
        </w:tabs>
        <w:numPr>
          <w:ilvl w:val="0"/>
          <w:numId w:val="4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changes in the structure of healthcare payment systems;</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4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conditions or trends in the biotechnology and biopharmaceutical industries;</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4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actual or anticipated changes in earnings estimates, development timelines or recommendations by securities analysts;</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4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announcement or expectation of additional financing efforts;</w:t>
      </w:r>
    </w:p>
    <w:p>
      <w:pPr>
        <w:spacing w:after="0" w:line="110" w:lineRule="exact"/>
        <w:rPr>
          <w:rFonts w:ascii="Times New Roman" w:cs="Times New Roman" w:eastAsia="Times New Roman" w:hAnsi="Times New Roman"/>
          <w:sz w:val="25"/>
          <w:szCs w:val="25"/>
          <w:color w:val="auto"/>
          <w:vertAlign w:val="superscript"/>
        </w:rPr>
      </w:pPr>
    </w:p>
    <w:p>
      <w:pPr>
        <w:ind w:left="820" w:hanging="294"/>
        <w:spacing w:after="0" w:line="186" w:lineRule="auto"/>
        <w:tabs>
          <w:tab w:leader="none" w:pos="820" w:val="left"/>
        </w:tabs>
        <w:numPr>
          <w:ilvl w:val="0"/>
          <w:numId w:val="4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sales of common stock by us or our stockholders in the future, as well as the overall trading volume of our common stock; and</w:t>
      </w:r>
    </w:p>
    <w:p>
      <w:pPr>
        <w:spacing w:after="0" w:line="142" w:lineRule="exact"/>
        <w:rPr>
          <w:rFonts w:ascii="Times New Roman" w:cs="Times New Roman" w:eastAsia="Times New Roman" w:hAnsi="Times New Roman"/>
          <w:sz w:val="24"/>
          <w:szCs w:val="24"/>
          <w:color w:val="auto"/>
          <w:vertAlign w:val="superscript"/>
        </w:rPr>
      </w:pPr>
    </w:p>
    <w:p>
      <w:pPr>
        <w:ind w:left="820" w:hanging="294"/>
        <w:spacing w:after="0" w:line="185" w:lineRule="auto"/>
        <w:tabs>
          <w:tab w:leader="none" w:pos="820" w:val="left"/>
        </w:tabs>
        <w:numPr>
          <w:ilvl w:val="0"/>
          <w:numId w:val="4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the other factors described in this “Risk Factors” section.</w:t>
      </w:r>
    </w:p>
    <w:p>
      <w:pPr>
        <w:spacing w:after="0" w:line="199" w:lineRule="exact"/>
        <w:rPr>
          <w:sz w:val="20"/>
          <w:szCs w:val="20"/>
          <w:color w:val="auto"/>
        </w:rPr>
      </w:pPr>
    </w:p>
    <w:p>
      <w:pPr>
        <w:ind w:right="20" w:firstLine="518"/>
        <w:spacing w:after="0" w:line="256"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biotechnology and biopharmaceutical companies in particular have experienced extreme price and volume fluctuations that have often been unrelated or disproportionate to the operating performance of those companies. These broad market and industry factors may seriously harm the market price of our common stock, regardless of our operating performance. In the past, following periods of volatility in companies’ stock prices, securities class-action litigation has often been instituted against such companies. Such litigation, if instituted against us, could result in substantial costs and diversion of management’s attention and resources, which could materially and adversely affect our business and financial condition.</w:t>
      </w:r>
    </w:p>
    <w:p>
      <w:pPr>
        <w:spacing w:after="0" w:line="184" w:lineRule="exact"/>
        <w:rPr>
          <w:sz w:val="20"/>
          <w:szCs w:val="20"/>
          <w:color w:val="auto"/>
        </w:rPr>
      </w:pPr>
    </w:p>
    <w:p>
      <w:pPr>
        <w:ind w:right="8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and directors and their affiliates own a significant percentage of our stock and will be able to exercise significant influence over matters submitted to stockholders for approval.</w:t>
      </w:r>
    </w:p>
    <w:p>
      <w:pPr>
        <w:spacing w:after="0" w:line="159" w:lineRule="exact"/>
        <w:rPr>
          <w:sz w:val="20"/>
          <w:szCs w:val="20"/>
          <w:color w:val="auto"/>
        </w:rPr>
      </w:pPr>
    </w:p>
    <w:p>
      <w:pPr>
        <w:ind w:firstLine="518"/>
        <w:spacing w:after="0" w:line="261" w:lineRule="auto"/>
        <w:rPr>
          <w:sz w:val="20"/>
          <w:szCs w:val="20"/>
          <w:color w:val="auto"/>
        </w:rPr>
      </w:pPr>
      <w:r>
        <w:rPr>
          <w:rFonts w:ascii="Times New Roman" w:cs="Times New Roman" w:eastAsia="Times New Roman" w:hAnsi="Times New Roman"/>
          <w:sz w:val="18"/>
          <w:szCs w:val="18"/>
          <w:color w:val="auto"/>
        </w:rPr>
        <w:t>We believe that as of April 15, 2015, our executive officers and directors and their affiliates will beneficially own 27.6% of our outstanding common stock. As a result, if these stockholders were to choose to act together, they would be able to exert a significant degree of influence over matters submitted to our stockholders for approval, as well as our management and affairs. For example, these persons, if they choose to act together, would substantially influence the election of directors and approval of any merger, consolidation or sale of all or substantially all of our assets.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This concentration of ownership could:</w:t>
      </w:r>
    </w:p>
    <w:p>
      <w:pPr>
        <w:spacing w:after="0" w:line="18" w:lineRule="exact"/>
        <w:rPr>
          <w:sz w:val="20"/>
          <w:szCs w:val="20"/>
          <w:color w:val="auto"/>
        </w:rPr>
      </w:pPr>
    </w:p>
    <w:p>
      <w:pPr>
        <w:ind w:left="820" w:hanging="294"/>
        <w:spacing w:after="0"/>
        <w:tabs>
          <w:tab w:leader="none" w:pos="820" w:val="left"/>
        </w:tabs>
        <w:numPr>
          <w:ilvl w:val="0"/>
          <w:numId w:val="4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delay, defer or prevent a change in control;</w:t>
      </w:r>
    </w:p>
    <w:p>
      <w:pPr>
        <w:spacing w:after="0" w:line="109" w:lineRule="exact"/>
        <w:rPr>
          <w:rFonts w:ascii="Times New Roman" w:cs="Times New Roman" w:eastAsia="Times New Roman" w:hAnsi="Times New Roman"/>
          <w:sz w:val="29"/>
          <w:szCs w:val="29"/>
          <w:color w:val="auto"/>
          <w:vertAlign w:val="superscript"/>
        </w:rPr>
      </w:pPr>
    </w:p>
    <w:p>
      <w:pPr>
        <w:ind w:left="820" w:hanging="294"/>
        <w:spacing w:after="0" w:line="186" w:lineRule="auto"/>
        <w:tabs>
          <w:tab w:leader="none" w:pos="820" w:val="left"/>
        </w:tabs>
        <w:numPr>
          <w:ilvl w:val="0"/>
          <w:numId w:val="4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entrench our management or board of directors; or</w:t>
      </w:r>
    </w:p>
    <w:p>
      <w:pPr>
        <w:spacing w:after="0" w:line="142" w:lineRule="exact"/>
        <w:rPr>
          <w:rFonts w:ascii="Times New Roman" w:cs="Times New Roman" w:eastAsia="Times New Roman" w:hAnsi="Times New Roman"/>
          <w:sz w:val="24"/>
          <w:szCs w:val="24"/>
          <w:color w:val="auto"/>
          <w:vertAlign w:val="superscript"/>
        </w:rPr>
      </w:pPr>
    </w:p>
    <w:p>
      <w:pPr>
        <w:ind w:left="820" w:hanging="294"/>
        <w:spacing w:after="0" w:line="185" w:lineRule="auto"/>
        <w:tabs>
          <w:tab w:leader="none" w:pos="820" w:val="left"/>
        </w:tabs>
        <w:numPr>
          <w:ilvl w:val="0"/>
          <w:numId w:val="4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impede a merger, consolidation, takeover or other business combination involving us that other stockholders may desire.</w:t>
      </w:r>
    </w:p>
    <w:p>
      <w:pPr>
        <w:spacing w:after="0" w:line="1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w:t>
      </w:r>
    </w:p>
    <w:p>
      <w:pPr>
        <w:spacing w:after="0" w:line="229" w:lineRule="exact"/>
        <w:rPr>
          <w:sz w:val="20"/>
          <w:szCs w:val="20"/>
          <w:color w:val="auto"/>
        </w:rPr>
      </w:pPr>
    </w:p>
    <w:p>
      <w:pPr>
        <w:ind w:right="100" w:firstLine="518"/>
        <w:spacing w:after="0" w:line="258" w:lineRule="auto"/>
        <w:rPr>
          <w:sz w:val="20"/>
          <w:szCs w:val="20"/>
          <w:color w:val="auto"/>
        </w:rPr>
      </w:pPr>
      <w:r>
        <w:rPr>
          <w:rFonts w:ascii="Times New Roman" w:cs="Times New Roman" w:eastAsia="Times New Roman" w:hAnsi="Times New Roman"/>
          <w:sz w:val="18"/>
          <w:szCs w:val="18"/>
          <w:color w:val="auto"/>
        </w:rPr>
        <w:t>Although we have listed our common stock on The NASDAQ Global Market, an active trading market for our shares may not be sustained. In the absence of an active trading market for our common stock, it may be difficult for our stockholders to sell their shares without depressing the market price for the shares or sell their shares at or above the prices at which they acquired their shares or sell their shares at the times they would like to sell. An inactive trading market for our common stock may also impair our ability to raise capital to continue to fund our operations by selling shares and may impair our ability to acquire other companies or technologies by using our shares as consideration.</w:t>
      </w:r>
    </w:p>
    <w:p>
      <w:pPr>
        <w:spacing w:after="0" w:line="180" w:lineRule="exact"/>
        <w:rPr>
          <w:sz w:val="20"/>
          <w:szCs w:val="20"/>
          <w:color w:val="auto"/>
        </w:rPr>
      </w:pPr>
    </w:p>
    <w:p>
      <w:pPr>
        <w:ind w:right="28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may be sold into the public market at any point, which could cause the market price of our common stock to drop significantly, even if our business is doing well.</w:t>
      </w:r>
    </w:p>
    <w:p>
      <w:pPr>
        <w:spacing w:after="0" w:line="159" w:lineRule="exact"/>
        <w:rPr>
          <w:sz w:val="20"/>
          <w:szCs w:val="20"/>
          <w:color w:val="auto"/>
        </w:rPr>
      </w:pPr>
    </w:p>
    <w:p>
      <w:pPr>
        <w:ind w:right="60" w:firstLine="518"/>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These sales, or the perception in the market that holders of a large number of shares intend to sell shares, could reduce the market price of our common stock. Our outstanding shares of common stock may be freely sold in the public market at any time to the extent permitted by Rules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00"/>
          </w:cols>
          <w:pgMar w:left="240" w:top="22" w:right="259" w:bottom="1440" w:gutter="0" w:footer="0" w:header="0"/>
        </w:sectPr>
      </w:pPr>
    </w:p>
    <w:bookmarkStart w:id="53" w:name="page54"/>
    <w:bookmarkEnd w:id="53"/>
    <w:p>
      <w:pPr>
        <w:ind w:right="200"/>
        <w:spacing w:after="0" w:line="282" w:lineRule="auto"/>
        <w:rPr>
          <w:sz w:val="20"/>
          <w:szCs w:val="20"/>
          <w:color w:val="auto"/>
        </w:rPr>
      </w:pPr>
      <w:r>
        <w:rPr>
          <w:rFonts w:ascii="Times New Roman" w:cs="Times New Roman" w:eastAsia="Times New Roman" w:hAnsi="Times New Roman"/>
          <w:sz w:val="18"/>
          <w:szCs w:val="18"/>
          <w:color w:val="auto"/>
        </w:rPr>
        <w:t>144 and 701 under the Securities Act of 1933, as amended, which we refer to as the Securities Act, or to the extent such shares have already been registered under the Securities Act and are held by non-affiliates of ours.</w:t>
      </w:r>
    </w:p>
    <w:p>
      <w:pPr>
        <w:spacing w:after="0" w:line="162" w:lineRule="exact"/>
        <w:rPr>
          <w:sz w:val="20"/>
          <w:szCs w:val="20"/>
          <w:color w:val="auto"/>
        </w:rPr>
      </w:pPr>
    </w:p>
    <w:p>
      <w:pPr>
        <w:ind w:right="20" w:firstLine="518"/>
        <w:spacing w:after="0" w:line="255" w:lineRule="auto"/>
        <w:rPr>
          <w:sz w:val="20"/>
          <w:szCs w:val="20"/>
          <w:color w:val="auto"/>
        </w:rPr>
      </w:pPr>
      <w:r>
        <w:rPr>
          <w:rFonts w:ascii="Times New Roman" w:cs="Times New Roman" w:eastAsia="Times New Roman" w:hAnsi="Times New Roman"/>
          <w:sz w:val="18"/>
          <w:szCs w:val="18"/>
          <w:color w:val="auto"/>
        </w:rPr>
        <w:t>As of April 15, 2015, there were 2,660,426 shares subject to outstanding options. In August 2014, we registered all of these shares under the Securities Act of 1933, as amended, on a registration statement on Form S-8. These shares can be freely sold in the public market upon exercise, as permitted by any applicable vesting requirements, except to the extent they are held by our affiliates, in which case such shares will become eligible for sale in the public market as permitted by Rule 144 under the Securities Act. Furthermore, as of April 15, 2015, there were 300,564 shares subject to outstanding warrants to purchase common stock. These shares will become eligible for sale in the public market, to the extent such warrants are exercised, as permitted by Rule 144 under the Securities Act. Moreover, holders of approximately 6.9 million shares of our common stock have rights, subject to conditions, to require us to file registration statements covering their shares or to include their shares in registration statements that we may file for ourselves or other stockholders.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our cash reserves and may not use them effectively.</w:t>
      </w:r>
    </w:p>
    <w:p>
      <w:pPr>
        <w:spacing w:after="0" w:line="229" w:lineRule="exact"/>
        <w:rPr>
          <w:sz w:val="20"/>
          <w:szCs w:val="20"/>
          <w:color w:val="auto"/>
        </w:rPr>
      </w:pPr>
    </w:p>
    <w:p>
      <w:pPr>
        <w:ind w:right="40" w:firstLine="518"/>
        <w:spacing w:after="0" w:line="261" w:lineRule="auto"/>
        <w:rPr>
          <w:sz w:val="20"/>
          <w:szCs w:val="20"/>
          <w:color w:val="auto"/>
        </w:rPr>
      </w:pPr>
      <w:r>
        <w:rPr>
          <w:rFonts w:ascii="Times New Roman" w:cs="Times New Roman" w:eastAsia="Times New Roman" w:hAnsi="Times New Roman"/>
          <w:sz w:val="18"/>
          <w:szCs w:val="18"/>
          <w:color w:val="auto"/>
        </w:rPr>
        <w:t>Our management has broad discretion to use our cash reserves and could use our cash reserves in ways that do not improve our results of operations or enhance the value of our common stock. The failure by our management to apply these funds effectively could result in financial losses and these financial losses could have a material adverse effect on our business, cause the price of our common stock to decline and delay the development of our product candidates. Pending their use, we may invest our cash reserves in a manner that does not produce income or that loses value.</w:t>
      </w:r>
    </w:p>
    <w:p>
      <w:pPr>
        <w:spacing w:after="0" w:line="176" w:lineRule="exact"/>
        <w:rPr>
          <w:sz w:val="20"/>
          <w:szCs w:val="20"/>
          <w:color w:val="auto"/>
        </w:rPr>
      </w:pPr>
    </w:p>
    <w:p>
      <w:pPr>
        <w:ind w:right="60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159" w:lineRule="exact"/>
        <w:rPr>
          <w:sz w:val="20"/>
          <w:szCs w:val="20"/>
          <w:color w:val="auto"/>
        </w:rPr>
      </w:pPr>
    </w:p>
    <w:p>
      <w:pPr>
        <w:ind w:right="20" w:firstLine="518"/>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and may remain an emerging growth company through 2019.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68" w:lineRule="exact"/>
        <w:rPr>
          <w:sz w:val="20"/>
          <w:szCs w:val="20"/>
          <w:color w:val="auto"/>
        </w:rPr>
      </w:pPr>
    </w:p>
    <w:p>
      <w:pPr>
        <w:ind w:left="820" w:right="120" w:hanging="294"/>
        <w:spacing w:after="0" w:line="200" w:lineRule="auto"/>
        <w:tabs>
          <w:tab w:leader="none" w:pos="820" w:val="left"/>
        </w:tabs>
        <w:numPr>
          <w:ilvl w:val="0"/>
          <w:numId w:val="4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providing only two years of audited financial statements, in addition to any required unaudited interim financial statements, with correspondingly reduced “Management’s Discussion and Analysis of Financial Condition and Results of Operations” disclosure;</w:t>
      </w:r>
    </w:p>
    <w:p>
      <w:pPr>
        <w:spacing w:after="0" w:line="31" w:lineRule="exact"/>
        <w:rPr>
          <w:rFonts w:ascii="Times New Roman" w:cs="Times New Roman" w:eastAsia="Times New Roman" w:hAnsi="Times New Roman"/>
          <w:sz w:val="29"/>
          <w:szCs w:val="29"/>
          <w:color w:val="auto"/>
          <w:vertAlign w:val="superscript"/>
        </w:rPr>
      </w:pPr>
    </w:p>
    <w:p>
      <w:pPr>
        <w:ind w:left="820" w:hanging="294"/>
        <w:spacing w:after="0"/>
        <w:tabs>
          <w:tab w:leader="none" w:pos="820" w:val="left"/>
        </w:tabs>
        <w:numPr>
          <w:ilvl w:val="0"/>
          <w:numId w:val="4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not being required to comply with the auditor attestation requirements in the assessment of our internal control over financial reporting;</w:t>
      </w:r>
    </w:p>
    <w:p>
      <w:pPr>
        <w:spacing w:after="0" w:line="141" w:lineRule="exact"/>
        <w:rPr>
          <w:rFonts w:ascii="Times New Roman" w:cs="Times New Roman" w:eastAsia="Times New Roman" w:hAnsi="Times New Roman"/>
          <w:sz w:val="29"/>
          <w:szCs w:val="29"/>
          <w:color w:val="auto"/>
          <w:vertAlign w:val="superscript"/>
        </w:rPr>
      </w:pPr>
    </w:p>
    <w:p>
      <w:pPr>
        <w:ind w:left="820" w:hanging="294"/>
        <w:spacing w:after="0" w:line="194" w:lineRule="auto"/>
        <w:tabs>
          <w:tab w:leader="none" w:pos="820" w:val="left"/>
        </w:tabs>
        <w:numPr>
          <w:ilvl w:val="0"/>
          <w:numId w:val="4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33" w:lineRule="exact"/>
        <w:rPr>
          <w:rFonts w:ascii="Times New Roman" w:cs="Times New Roman" w:eastAsia="Times New Roman" w:hAnsi="Times New Roman"/>
          <w:sz w:val="29"/>
          <w:szCs w:val="29"/>
          <w:color w:val="auto"/>
          <w:vertAlign w:val="superscript"/>
        </w:rPr>
      </w:pPr>
    </w:p>
    <w:p>
      <w:pPr>
        <w:ind w:left="820" w:hanging="294"/>
        <w:spacing w:after="0"/>
        <w:tabs>
          <w:tab w:leader="none" w:pos="820" w:val="left"/>
        </w:tabs>
        <w:numPr>
          <w:ilvl w:val="0"/>
          <w:numId w:val="4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reduced disclosure obligations regarding executive compensation; and</w:t>
      </w:r>
    </w:p>
    <w:p>
      <w:pPr>
        <w:spacing w:after="0" w:line="141" w:lineRule="exact"/>
        <w:rPr>
          <w:rFonts w:ascii="Times New Roman" w:cs="Times New Roman" w:eastAsia="Times New Roman" w:hAnsi="Times New Roman"/>
          <w:sz w:val="29"/>
          <w:szCs w:val="29"/>
          <w:color w:val="auto"/>
          <w:vertAlign w:val="superscript"/>
        </w:rPr>
      </w:pPr>
    </w:p>
    <w:p>
      <w:pPr>
        <w:ind w:left="820" w:right="420" w:hanging="294"/>
        <w:spacing w:after="0" w:line="194" w:lineRule="auto"/>
        <w:tabs>
          <w:tab w:leader="none" w:pos="820" w:val="left"/>
        </w:tabs>
        <w:numPr>
          <w:ilvl w:val="0"/>
          <w:numId w:val="4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exemptions from the requirements of holding a nonbinding advisory vote on executive compensation and shareholder approval of any golden parachute payments not previously approved.</w:t>
      </w:r>
    </w:p>
    <w:p>
      <w:pPr>
        <w:spacing w:after="0" w:line="200" w:lineRule="exact"/>
        <w:rPr>
          <w:sz w:val="20"/>
          <w:szCs w:val="20"/>
          <w:color w:val="auto"/>
        </w:rPr>
      </w:pPr>
    </w:p>
    <w:p>
      <w:pPr>
        <w:ind w:right="40" w:firstLine="518"/>
        <w:spacing w:after="0" w:line="266" w:lineRule="auto"/>
        <w:rPr>
          <w:sz w:val="20"/>
          <w:szCs w:val="20"/>
          <w:color w:val="auto"/>
        </w:rPr>
      </w:pPr>
      <w:r>
        <w:rPr>
          <w:rFonts w:ascii="Times New Roman" w:cs="Times New Roman" w:eastAsia="Times New Roman" w:hAnsi="Times New Roman"/>
          <w:sz w:val="18"/>
          <w:szCs w:val="18"/>
          <w:color w:val="auto"/>
        </w:rPr>
        <w:t>We may choose to take advantage of some, but not all, of the available exemptions.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76" w:lineRule="exact"/>
        <w:rPr>
          <w:sz w:val="20"/>
          <w:szCs w:val="20"/>
          <w:color w:val="auto"/>
        </w:rPr>
      </w:pPr>
    </w:p>
    <w:p>
      <w:pPr>
        <w:ind w:right="160" w:firstLine="518"/>
        <w:spacing w:after="0" w:line="281" w:lineRule="auto"/>
        <w:rPr>
          <w:sz w:val="20"/>
          <w:szCs w:val="20"/>
          <w:color w:val="auto"/>
        </w:rPr>
      </w:pPr>
      <w:r>
        <w:rPr>
          <w:rFonts w:ascii="Times New Roman" w:cs="Times New Roman" w:eastAsia="Times New Roman" w:hAnsi="Times New Roman"/>
          <w:sz w:val="17"/>
          <w:szCs w:val="17"/>
          <w:color w:val="auto"/>
        </w:rPr>
        <w:t>In addition, the JOBS Act also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irrevocably elected not to avail ourselves of this exemption from new or revised accounting standards and, therefore, we are subject to the same new or revised accounting standards as other public companies that are not emerging growth companies.</w:t>
      </w:r>
    </w:p>
    <w:p>
      <w:pPr>
        <w:spacing w:after="0" w:line="161" w:lineRule="exact"/>
        <w:rPr>
          <w:sz w:val="20"/>
          <w:szCs w:val="20"/>
          <w:color w:val="auto"/>
        </w:rPr>
      </w:pPr>
    </w:p>
    <w:p>
      <w:pPr>
        <w:ind w:right="8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currently incurring and expect to continue to incur increased costs as a result of operating as a public company, and our management will be required to devote substantial time to new compliance initiatives and corporate governance practices.</w:t>
      </w:r>
    </w:p>
    <w:p>
      <w:pPr>
        <w:spacing w:after="0" w:line="159" w:lineRule="exact"/>
        <w:rPr>
          <w:sz w:val="20"/>
          <w:szCs w:val="20"/>
          <w:color w:val="auto"/>
        </w:rPr>
      </w:pPr>
    </w:p>
    <w:p>
      <w:pPr>
        <w:ind w:right="80" w:firstLine="518"/>
        <w:spacing w:after="0" w:line="266" w:lineRule="auto"/>
        <w:rPr>
          <w:sz w:val="20"/>
          <w:szCs w:val="20"/>
          <w:color w:val="auto"/>
        </w:rPr>
      </w:pPr>
      <w:r>
        <w:rPr>
          <w:rFonts w:ascii="Times New Roman" w:cs="Times New Roman" w:eastAsia="Times New Roman" w:hAnsi="Times New Roman"/>
          <w:sz w:val="18"/>
          <w:szCs w:val="18"/>
          <w:color w:val="auto"/>
        </w:rPr>
        <w:t>As a newly public company, we are incurring and expect to continue to incur additional significant legal, accounting and other expenses that we did not incur as a private company. We expect that these expenses will further increase after we are no longer an “emerging growth company.” We expect that we will need to hire additional accounting, finance and other personnel in connection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337" w:right="239" w:bottom="1440" w:gutter="0" w:footer="0" w:header="0"/>
        </w:sectPr>
      </w:pPr>
    </w:p>
    <w:bookmarkStart w:id="54" w:name="page55"/>
    <w:bookmarkEnd w:id="54"/>
    <w:p>
      <w:pPr>
        <w:ind w:right="200"/>
        <w:spacing w:after="0" w:line="256" w:lineRule="auto"/>
        <w:rPr>
          <w:sz w:val="20"/>
          <w:szCs w:val="20"/>
          <w:color w:val="auto"/>
        </w:rPr>
      </w:pPr>
      <w:r>
        <w:rPr>
          <w:rFonts w:ascii="Times New Roman" w:cs="Times New Roman" w:eastAsia="Times New Roman" w:hAnsi="Times New Roman"/>
          <w:sz w:val="18"/>
          <w:szCs w:val="18"/>
          <w:color w:val="auto"/>
        </w:rPr>
        <w:t>with our continuing efforts to comply with the requirements of being a public company, and our management and other personnel will need to continue to devote a substantial amount of time towards maintaining compliance with these requirements. In addition, the Sarbanes-Oxley Act of 2002 and rules subsequently implemented by the Securities and Exchange Commission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w:t>
      </w:r>
    </w:p>
    <w:p>
      <w:pPr>
        <w:spacing w:after="0" w:line="188" w:lineRule="exact"/>
        <w:rPr>
          <w:sz w:val="20"/>
          <w:szCs w:val="20"/>
          <w:color w:val="auto"/>
        </w:rPr>
      </w:pPr>
    </w:p>
    <w:p>
      <w:pPr>
        <w:ind w:firstLine="518"/>
        <w:spacing w:after="0" w:line="271" w:lineRule="auto"/>
        <w:rPr>
          <w:sz w:val="20"/>
          <w:szCs w:val="20"/>
          <w:color w:val="auto"/>
        </w:rPr>
      </w:pPr>
      <w:r>
        <w:rPr>
          <w:rFonts w:ascii="Times New Roman" w:cs="Times New Roman" w:eastAsia="Times New Roman" w:hAnsi="Times New Roman"/>
          <w:sz w:val="17"/>
          <w:szCs w:val="17"/>
          <w:color w:val="auto"/>
        </w:rPr>
        <w:t>Pursuant to Section 404 of the Sarbanes-Oxley Act of 2002, or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If we identify one or more material weaknesses, it could result in an adverse reaction in the financial markets due to a loss of confidence in the reliability of our financial statements.</w:t>
      </w:r>
    </w:p>
    <w:p>
      <w:pPr>
        <w:spacing w:after="0" w:line="170" w:lineRule="exact"/>
        <w:rPr>
          <w:sz w:val="20"/>
          <w:szCs w:val="20"/>
          <w:color w:val="auto"/>
        </w:rPr>
      </w:pPr>
    </w:p>
    <w:p>
      <w:pPr>
        <w:ind w:right="2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159" w:lineRule="exact"/>
        <w:rPr>
          <w:sz w:val="20"/>
          <w:szCs w:val="20"/>
          <w:color w:val="auto"/>
        </w:rPr>
      </w:pPr>
    </w:p>
    <w:p>
      <w:pPr>
        <w:ind w:right="80" w:firstLine="518"/>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plan to retain all of our future earnings, if any, to finance the growth and development of our business. Furthermore, the terms of the Hercules Loan Agreement prohibit us from paying any dividends without the prior written consent of Hercules, and any future debt agreements may also preclude us from paying dividends. Accordingly, capital appreciation, if any, of our common stock will be the sole source of gain for our stockholders for the foreseeable future.</w:t>
      </w:r>
    </w:p>
    <w:p>
      <w:pPr>
        <w:spacing w:after="0" w:line="176" w:lineRule="exact"/>
        <w:rPr>
          <w:sz w:val="20"/>
          <w:szCs w:val="20"/>
          <w:color w:val="auto"/>
        </w:rPr>
      </w:pPr>
    </w:p>
    <w:p>
      <w:pPr>
        <w:ind w:right="4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certificate of incorporation, our by-laws or Delaware law might discourage, delay or prevent a change in control of our company or changes in our management and, therefore, depress the trading price of our common stock.</w:t>
      </w:r>
    </w:p>
    <w:p>
      <w:pPr>
        <w:spacing w:after="0" w:line="159" w:lineRule="exact"/>
        <w:rPr>
          <w:sz w:val="20"/>
          <w:szCs w:val="20"/>
          <w:color w:val="auto"/>
        </w:rPr>
      </w:pPr>
    </w:p>
    <w:p>
      <w:pPr>
        <w:ind w:right="80" w:firstLine="518"/>
        <w:spacing w:after="0" w:line="256" w:lineRule="auto"/>
        <w:rPr>
          <w:sz w:val="20"/>
          <w:szCs w:val="20"/>
          <w:color w:val="auto"/>
        </w:rPr>
      </w:pPr>
      <w:r>
        <w:rPr>
          <w:rFonts w:ascii="Times New Roman" w:cs="Times New Roman" w:eastAsia="Times New Roman" w:hAnsi="Times New Roman"/>
          <w:sz w:val="18"/>
          <w:szCs w:val="18"/>
          <w:color w:val="auto"/>
        </w:rPr>
        <w:t>Provisions in our certificate of incorporation, our bylaws or Delaware law may discourage, delay or prevent a merger, acquisition or other change in control that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might frustrate or prevent any attempts by our stockholders to replace or remove our current management by making it more difficult for stockholders to replace members of our board of directors. Among other things, these provisions:</w:t>
      </w:r>
    </w:p>
    <w:p>
      <w:pPr>
        <w:ind w:left="820" w:hanging="294"/>
        <w:spacing w:after="0" w:line="226" w:lineRule="auto"/>
        <w:tabs>
          <w:tab w:leader="none" w:pos="820" w:val="left"/>
        </w:tabs>
        <w:numPr>
          <w:ilvl w:val="0"/>
          <w:numId w:val="4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establish a classified board of directors such that all members of the board are not elected at one time;</w:t>
      </w:r>
    </w:p>
    <w:p>
      <w:pPr>
        <w:spacing w:after="0" w:line="142" w:lineRule="exact"/>
        <w:rPr>
          <w:rFonts w:ascii="Times New Roman" w:cs="Times New Roman" w:eastAsia="Times New Roman" w:hAnsi="Times New Roman"/>
          <w:sz w:val="29"/>
          <w:szCs w:val="29"/>
          <w:color w:val="auto"/>
          <w:vertAlign w:val="superscript"/>
        </w:rPr>
      </w:pPr>
    </w:p>
    <w:p>
      <w:pPr>
        <w:ind w:left="820" w:hanging="294"/>
        <w:spacing w:after="0" w:line="185" w:lineRule="auto"/>
        <w:tabs>
          <w:tab w:leader="none" w:pos="820" w:val="left"/>
        </w:tabs>
        <w:numPr>
          <w:ilvl w:val="0"/>
          <w:numId w:val="4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allow the authorized number of our directors to be changed only by resolution of our board of directors;</w:t>
      </w:r>
    </w:p>
    <w:p>
      <w:pPr>
        <w:spacing w:after="0" w:line="143" w:lineRule="exact"/>
        <w:rPr>
          <w:rFonts w:ascii="Times New Roman" w:cs="Times New Roman" w:eastAsia="Times New Roman" w:hAnsi="Times New Roman"/>
          <w:sz w:val="25"/>
          <w:szCs w:val="25"/>
          <w:color w:val="auto"/>
          <w:vertAlign w:val="superscript"/>
        </w:rPr>
      </w:pPr>
    </w:p>
    <w:p>
      <w:pPr>
        <w:ind w:left="820" w:hanging="294"/>
        <w:spacing w:after="0" w:line="185" w:lineRule="auto"/>
        <w:tabs>
          <w:tab w:leader="none" w:pos="820" w:val="left"/>
        </w:tabs>
        <w:numPr>
          <w:ilvl w:val="0"/>
          <w:numId w:val="4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limit the manner in which stockholders can remove directors from the board;</w:t>
      </w:r>
    </w:p>
    <w:p>
      <w:pPr>
        <w:spacing w:after="0" w:line="143" w:lineRule="exact"/>
        <w:rPr>
          <w:rFonts w:ascii="Times New Roman" w:cs="Times New Roman" w:eastAsia="Times New Roman" w:hAnsi="Times New Roman"/>
          <w:sz w:val="25"/>
          <w:szCs w:val="25"/>
          <w:color w:val="auto"/>
          <w:vertAlign w:val="superscript"/>
        </w:rPr>
      </w:pPr>
    </w:p>
    <w:p>
      <w:pPr>
        <w:ind w:left="820" w:right="580" w:hanging="294"/>
        <w:spacing w:after="0" w:line="194" w:lineRule="auto"/>
        <w:tabs>
          <w:tab w:leader="none" w:pos="820" w:val="left"/>
        </w:tabs>
        <w:numPr>
          <w:ilvl w:val="0"/>
          <w:numId w:val="4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establish advance notice requirements for nominations for election to the board or for proposing matters that can be acted on at stockholder meetings;</w:t>
      </w:r>
    </w:p>
    <w:p>
      <w:pPr>
        <w:sectPr>
          <w:pgSz w:w="11900" w:h="16838" w:orient="portrait"/>
          <w:cols w:equalWidth="0" w:num="1">
            <w:col w:w="11420"/>
          </w:cols>
          <w:pgMar w:left="240" w:top="337" w:right="239" w:bottom="1440" w:gutter="0" w:footer="0" w:header="0"/>
        </w:sectPr>
      </w:pPr>
    </w:p>
    <w:p>
      <w:pPr>
        <w:spacing w:after="0" w:line="12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require that stockholder actions must be effected at a duly called stockholder meeting and prohibit actions by our consent;</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by written</w:t>
      </w:r>
    </w:p>
    <w:p>
      <w:pPr>
        <w:spacing w:after="0" w:line="280" w:lineRule="exact"/>
        <w:rPr>
          <w:sz w:val="20"/>
          <w:szCs w:val="20"/>
          <w:color w:val="auto"/>
        </w:rPr>
      </w:pPr>
    </w:p>
    <w:p>
      <w:pPr>
        <w:sectPr>
          <w:pgSz w:w="11900" w:h="16838" w:orient="portrait"/>
          <w:cols w:equalWidth="0" w:num="3">
            <w:col w:w="560" w:space="260"/>
            <w:col w:w="8140" w:space="120"/>
            <w:col w:w="2340"/>
          </w:cols>
          <w:pgMar w:left="240" w:top="337" w:right="239" w:bottom="1440" w:gutter="0" w:footer="0" w:header="0"/>
          <w:type w:val="continuous"/>
        </w:sectPr>
      </w:pPr>
    </w:p>
    <w:p>
      <w:pPr>
        <w:ind w:left="820" w:hanging="294"/>
        <w:spacing w:after="0" w:line="236" w:lineRule="auto"/>
        <w:tabs>
          <w:tab w:leader="none" w:pos="820" w:val="left"/>
        </w:tabs>
        <w:numPr>
          <w:ilvl w:val="0"/>
          <w:numId w:val="4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limit who may call a special meeting of stockholders;</w:t>
      </w:r>
    </w:p>
    <w:p>
      <w:pPr>
        <w:spacing w:after="0" w:line="142" w:lineRule="exact"/>
        <w:rPr>
          <w:rFonts w:ascii="Times New Roman" w:cs="Times New Roman" w:eastAsia="Times New Roman" w:hAnsi="Times New Roman"/>
          <w:sz w:val="29"/>
          <w:szCs w:val="29"/>
          <w:color w:val="auto"/>
          <w:vertAlign w:val="superscript"/>
        </w:rPr>
      </w:pPr>
    </w:p>
    <w:p>
      <w:pPr>
        <w:ind w:left="820" w:right="440" w:hanging="294"/>
        <w:spacing w:after="0" w:line="203" w:lineRule="auto"/>
        <w:tabs>
          <w:tab w:leader="none" w:pos="820" w:val="left"/>
        </w:tabs>
        <w:numPr>
          <w:ilvl w:val="0"/>
          <w:numId w:val="46"/>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authorize our board to issue preferred stock without stockholder approval, which could be used to institute a “poison pill” that would work to dilute the stock ownership of a potential hostile acquirer, effectively preventing acquisitions that have not been approved by our board; and</w:t>
      </w:r>
    </w:p>
    <w:p>
      <w:pPr>
        <w:spacing w:after="0" w:line="131" w:lineRule="exact"/>
        <w:rPr>
          <w:rFonts w:ascii="Times New Roman" w:cs="Times New Roman" w:eastAsia="Times New Roman" w:hAnsi="Times New Roman"/>
          <w:sz w:val="28"/>
          <w:szCs w:val="28"/>
          <w:color w:val="auto"/>
          <w:vertAlign w:val="superscript"/>
        </w:rPr>
      </w:pPr>
    </w:p>
    <w:p>
      <w:pPr>
        <w:ind w:left="820" w:right="600" w:hanging="294"/>
        <w:spacing w:after="0" w:line="200" w:lineRule="auto"/>
        <w:tabs>
          <w:tab w:leader="none" w:pos="820" w:val="left"/>
        </w:tabs>
        <w:numPr>
          <w:ilvl w:val="0"/>
          <w:numId w:val="4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require the approval of the holders of at least 75% of the votes that all our stockholders would be entitled to cast to amend or repeal certain provisions of our charter or bylaws.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337" w:right="239" w:bottom="1440" w:gutter="0" w:footer="0" w:header="0"/>
          <w:type w:val="continuous"/>
        </w:sectPr>
      </w:pPr>
    </w:p>
    <w:bookmarkStart w:id="55" w:name="page56"/>
    <w:bookmarkEnd w:id="55"/>
    <w:p>
      <w:pPr>
        <w:ind w:firstLine="518"/>
        <w:spacing w:after="0" w:line="258" w:lineRule="auto"/>
        <w:rPr>
          <w:sz w:val="20"/>
          <w:szCs w:val="20"/>
          <w:color w:val="auto"/>
        </w:rPr>
      </w:pPr>
      <w:r>
        <w:rPr>
          <w:rFonts w:ascii="Times New Roman" w:cs="Times New Roman" w:eastAsia="Times New Roman" w:hAnsi="Times New Roman"/>
          <w:sz w:val="18"/>
          <w:szCs w:val="18"/>
          <w:color w:val="auto"/>
        </w:rPr>
        <w:t>In addition, we are governed by Section 203 of the Delaware General Corporation Law, which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This could discourage, delay or prevent someone from acquiring or merging with us, whether or not it is desired by, or beneficial to, our stockholders.</w:t>
      </w:r>
    </w:p>
    <w:p>
      <w:pPr>
        <w:spacing w:after="0" w:line="180" w:lineRule="exact"/>
        <w:rPr>
          <w:sz w:val="20"/>
          <w:szCs w:val="20"/>
          <w:color w:val="auto"/>
        </w:rPr>
      </w:pPr>
    </w:p>
    <w:p>
      <w:pPr>
        <w:ind w:right="340" w:firstLine="51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159"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industry or financial analysts publish about us or our business. We do not have any control over these analysts. If one or more of the analysts covering our business downgrade their evaluations of our stock, the price of our stock could decline. In addition, if one or more of these analysts cease coverage of our company or fail to regularly publish reports on us, we could lose visibility in the financial markets, which in turn could cause our stock price or trading volume to decline.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Sales of Unregistered Equity Securities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January 8, 2015, we entered into a stock purchase agreement with Hercules Technology Growth Capital, Inc., or Hercules, pursuant to which we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issued to Hercules 135,501 shares of Common Stock, or the Hercules Shares, at a price per share of $7.38 for an aggregate purchase price of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million. The Hercules Shares were issued pursuant to the exemption provided by Section 4(a)(2) of the Securities Act of 1933, as amended. Accordingly,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Hercules Shares will be subject to resale limitations and may be resold only pursuant to an effective registration statement or an exemption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w:t>
      </w:r>
    </w:p>
    <w:p>
      <w:pPr>
        <w:spacing w:after="0" w:line="207" w:lineRule="exact"/>
        <w:rPr>
          <w:sz w:val="20"/>
          <w:szCs w:val="20"/>
          <w:color w:val="auto"/>
        </w:rPr>
      </w:pPr>
    </w:p>
    <w:p>
      <w:pPr>
        <w:ind w:right="60" w:firstLine="518"/>
        <w:spacing w:after="0" w:line="261" w:lineRule="auto"/>
        <w:rPr>
          <w:sz w:val="20"/>
          <w:szCs w:val="20"/>
          <w:color w:val="auto"/>
        </w:rPr>
      </w:pPr>
      <w:r>
        <w:rPr>
          <w:rFonts w:ascii="Times New Roman" w:cs="Times New Roman" w:eastAsia="Times New Roman" w:hAnsi="Times New Roman"/>
          <w:sz w:val="18"/>
          <w:szCs w:val="18"/>
          <w:color w:val="auto"/>
        </w:rPr>
        <w:t>On January 8, 2015, we issued to Hercules a warrant to purchase shares of our common stock at a purchase price of $6.05 per share. The warrant is initially exercisable for 137,521 shares of our common stock and will be exercisable for up to an additional 34,380 shares of our common stock in the event that we draw down certain amounts under our term loan with Hercules. The issuance of the warrant was exempt from registration pursuant to Section 4(a)(2) of the Securities Act of 1933, as amended.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Proceeds</w:t>
      </w:r>
    </w:p>
    <w:p>
      <w:pPr>
        <w:spacing w:after="0" w:line="227" w:lineRule="exact"/>
        <w:rPr>
          <w:sz w:val="20"/>
          <w:szCs w:val="20"/>
          <w:color w:val="auto"/>
        </w:rPr>
      </w:pPr>
    </w:p>
    <w:p>
      <w:pPr>
        <w:ind w:right="300" w:firstLine="518"/>
        <w:spacing w:after="0" w:line="266" w:lineRule="auto"/>
        <w:rPr>
          <w:sz w:val="20"/>
          <w:szCs w:val="20"/>
          <w:color w:val="auto"/>
        </w:rPr>
      </w:pPr>
      <w:r>
        <w:rPr>
          <w:rFonts w:ascii="Times New Roman" w:cs="Times New Roman" w:eastAsia="Times New Roman" w:hAnsi="Times New Roman"/>
          <w:sz w:val="18"/>
          <w:szCs w:val="18"/>
          <w:color w:val="auto"/>
        </w:rPr>
        <w:t>We completed the initial public offering of our common stock pursuant to a Registration Statement on Form S-1 (File No. 333-194442), which was declared effective by the SEC on April 10, 2014. The net offering proceeds to us, after deducting underwriting discounts and commissions and offering expenses, were approximately $59.9 million.</w:t>
      </w:r>
    </w:p>
    <w:p>
      <w:pPr>
        <w:spacing w:after="0" w:line="176" w:lineRule="exact"/>
        <w:rPr>
          <w:sz w:val="20"/>
          <w:szCs w:val="20"/>
          <w:color w:val="auto"/>
        </w:rPr>
      </w:pPr>
    </w:p>
    <w:p>
      <w:pPr>
        <w:ind w:right="40" w:firstLine="518"/>
        <w:spacing w:after="0" w:line="258" w:lineRule="auto"/>
        <w:rPr>
          <w:sz w:val="20"/>
          <w:szCs w:val="20"/>
          <w:color w:val="auto"/>
        </w:rPr>
      </w:pPr>
      <w:r>
        <w:rPr>
          <w:rFonts w:ascii="Times New Roman" w:cs="Times New Roman" w:eastAsia="Times New Roman" w:hAnsi="Times New Roman"/>
          <w:sz w:val="18"/>
          <w:szCs w:val="18"/>
          <w:color w:val="auto"/>
        </w:rPr>
        <w:t>As of March 31, 2015, we have used approximately $17.1million of the net proceeds from our IPO, primarily to fund the clinical development of CRLX101, to fund research and development of CRLX301 and for working capital and other general corporate purposes. We have invested the balance of the net proceeds from the offering in a variety of capital preservation investments, including short-term, investment grade, interest bearing instruments and U.S. government securities in accordance with our investment policy. There has been no material change in our planned use of the net proceeds from our IPO as described in our final prospectus filed with the SEC pursuant to Rule 424(b)(4) under the Securities Act.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right="100" w:firstLine="518"/>
        <w:spacing w:after="0" w:line="257" w:lineRule="auto"/>
        <w:rPr>
          <w:sz w:val="20"/>
          <w:szCs w:val="20"/>
          <w:color w:val="auto"/>
        </w:rPr>
      </w:pPr>
      <w:r>
        <w:rPr>
          <w:rFonts w:ascii="Times New Roman" w:cs="Times New Roman" w:eastAsia="Times New Roman" w:hAnsi="Times New Roman"/>
          <w:sz w:val="18"/>
          <w:szCs w:val="18"/>
          <w:color w:val="auto"/>
        </w:rPr>
        <w:t>On May 1, 2015, we delivered a notice of termination to the Massachusetts Institute of Technology, or MIT, with respect to the Exclusive License Agreement, dated December 21, 2006, as amended, by and between the Company and MIT, or the MIT License Agreement, pursuant to which we license 12 patents relating to polymeric nanoparticle technology. The termination will become effective on November 1, 2015 or sooner, as we may agree with</w:t>
      </w:r>
    </w:p>
    <w:p>
      <w:pPr>
        <w:spacing w:after="0" w:line="2" w:lineRule="exact"/>
        <w:rPr>
          <w:sz w:val="20"/>
          <w:szCs w:val="20"/>
          <w:color w:val="auto"/>
        </w:rPr>
      </w:pPr>
    </w:p>
    <w:p>
      <w:pPr>
        <w:jc w:val="both"/>
        <w:ind w:right="220"/>
        <w:spacing w:after="0" w:line="255" w:lineRule="auto"/>
        <w:rPr>
          <w:sz w:val="20"/>
          <w:szCs w:val="20"/>
          <w:color w:val="auto"/>
        </w:rPr>
      </w:pPr>
      <w:r>
        <w:rPr>
          <w:rFonts w:ascii="Times New Roman" w:cs="Times New Roman" w:eastAsia="Times New Roman" w:hAnsi="Times New Roman"/>
          <w:sz w:val="18"/>
          <w:szCs w:val="18"/>
          <w:color w:val="auto"/>
        </w:rPr>
        <w:t>MIT. Neither our Dynamic Tumor Targeting platform, nor any of our product candidates, utilize technologies covered by the MIT License Agreement, and the termination will not adversely affect the Dynamic Tumor Targeting platform or any of our product candidates. One of our directors, Ram Sasisekharan, serves as a Professor of Biological Engineering at MIT.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exhibits listed in the Exhibit Index to this Quarterly Report on Form 10-Q are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337" w:right="2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20" w:firstLine="51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7680" w:type="dxa"/>
            <w:vAlign w:val="bottom"/>
            <w:gridSpan w:val="2"/>
          </w:tcPr>
          <w:p>
            <w:pPr>
              <w:ind w:left="2380"/>
              <w:spacing w:after="0"/>
              <w:rPr>
                <w:sz w:val="20"/>
                <w:szCs w:val="20"/>
                <w:color w:val="auto"/>
              </w:rPr>
            </w:pPr>
            <w:r>
              <w:rPr>
                <w:rFonts w:ascii="Times New Roman" w:cs="Times New Roman" w:eastAsia="Times New Roman" w:hAnsi="Times New Roman"/>
                <w:sz w:val="18"/>
                <w:szCs w:val="18"/>
                <w:b w:val="1"/>
                <w:bCs w:val="1"/>
                <w:color w:val="auto"/>
              </w:rPr>
              <w:t>CERULEAN PHARMA INC.</w:t>
            </w:r>
          </w:p>
        </w:tc>
      </w:tr>
      <w:tr>
        <w:trPr>
          <w:trHeight w:val="432"/>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2015</w:t>
            </w:r>
          </w:p>
        </w:tc>
        <w:tc>
          <w:tcPr>
            <w:tcW w:w="292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By:</w:t>
            </w:r>
          </w:p>
        </w:tc>
        <w:tc>
          <w:tcPr>
            <w:tcW w:w="4760" w:type="dxa"/>
            <w:vAlign w:val="bottom"/>
            <w:tcBorders>
              <w:bottom w:val="single" w:sz="8" w:color="auto"/>
            </w:tcBorders>
          </w:tcPr>
          <w:p>
            <w:pPr>
              <w:jc w:val="center"/>
              <w:ind w:right="30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8"/>
                <w:szCs w:val="18"/>
                <w:color w:val="auto"/>
              </w:rPr>
              <w:t>/   Christopher D.T. Guiffre</w:t>
            </w:r>
          </w:p>
        </w:tc>
      </w:tr>
      <w:tr>
        <w:trPr>
          <w:trHeight w:val="117"/>
        </w:trPr>
        <w:tc>
          <w:tcPr>
            <w:tcW w:w="374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47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Christopher D.T. Guiffre, J.D.</w:t>
            </w:r>
          </w:p>
        </w:tc>
      </w:tr>
      <w:tr>
        <w:trPr>
          <w:trHeight w:val="149"/>
        </w:trPr>
        <w:tc>
          <w:tcPr>
            <w:tcW w:w="37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4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President and Chief Executive Officer</w:t>
            </w:r>
          </w:p>
        </w:tc>
      </w:tr>
      <w:tr>
        <w:trPr>
          <w:trHeight w:val="190"/>
        </w:trPr>
        <w:tc>
          <w:tcPr>
            <w:tcW w:w="374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4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tc>
      </w:tr>
      <w:tr>
        <w:trPr>
          <w:trHeight w:val="415"/>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2015</w:t>
            </w:r>
          </w:p>
        </w:tc>
        <w:tc>
          <w:tcPr>
            <w:tcW w:w="292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By:</w:t>
            </w:r>
          </w:p>
        </w:tc>
        <w:tc>
          <w:tcPr>
            <w:tcW w:w="4760" w:type="dxa"/>
            <w:vAlign w:val="bottom"/>
            <w:tcBorders>
              <w:bottom w:val="single" w:sz="8" w:color="auto"/>
            </w:tcBorders>
          </w:tcPr>
          <w:p>
            <w:pPr>
              <w:jc w:val="center"/>
              <w:ind w:right="32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S</w:t>
            </w:r>
            <w:r>
              <w:rPr>
                <w:rFonts w:ascii="Times New Roman" w:cs="Times New Roman" w:eastAsia="Times New Roman" w:hAnsi="Times New Roman"/>
                <w:sz w:val="18"/>
                <w:szCs w:val="18"/>
                <w:color w:val="auto"/>
              </w:rPr>
              <w:t>/   Karen L. Roberts</w:t>
            </w:r>
          </w:p>
        </w:tc>
      </w:tr>
      <w:tr>
        <w:trPr>
          <w:trHeight w:val="135"/>
        </w:trPr>
        <w:tc>
          <w:tcPr>
            <w:tcW w:w="374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47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Karen L. Roberts</w:t>
            </w:r>
          </w:p>
        </w:tc>
      </w:tr>
    </w:tbl>
    <w:p>
      <w:pPr>
        <w:jc w:val="center"/>
        <w:ind w:left="6660"/>
        <w:spacing w:after="0" w:line="221" w:lineRule="auto"/>
        <w:rPr>
          <w:sz w:val="20"/>
          <w:szCs w:val="20"/>
          <w:color w:val="auto"/>
        </w:rPr>
      </w:pPr>
      <w:r>
        <w:rPr>
          <w:rFonts w:ascii="Times New Roman" w:cs="Times New Roman" w:eastAsia="Times New Roman" w:hAnsi="Times New Roman"/>
          <w:sz w:val="14"/>
          <w:szCs w:val="14"/>
          <w:b w:val="1"/>
          <w:bCs w:val="1"/>
          <w:color w:val="auto"/>
        </w:rPr>
        <w:t>Senior Vice President, Finance and Administration</w:t>
      </w:r>
    </w:p>
    <w:p>
      <w:pPr>
        <w:jc w:val="center"/>
        <w:ind w:left="6660"/>
        <w:spacing w:after="0"/>
        <w:rPr>
          <w:sz w:val="20"/>
          <w:szCs w:val="20"/>
          <w:color w:val="auto"/>
        </w:rPr>
      </w:pPr>
      <w:r>
        <w:rPr>
          <w:rFonts w:ascii="Times New Roman" w:cs="Times New Roman" w:eastAsia="Times New Roman" w:hAnsi="Times New Roman"/>
          <w:sz w:val="14"/>
          <w:szCs w:val="14"/>
          <w:b w:val="1"/>
          <w:b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117" w:right="2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2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0" w:type="dxa"/>
            <w:vAlign w:val="bottom"/>
          </w:tcPr>
          <w:p>
            <w:pPr>
              <w:spacing w:after="0"/>
              <w:rPr>
                <w:sz w:val="15"/>
                <w:szCs w:val="15"/>
                <w:color w:val="auto"/>
              </w:rPr>
            </w:pPr>
          </w:p>
        </w:tc>
        <w:tc>
          <w:tcPr>
            <w:tcW w:w="12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2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04"/>
        </w:trPr>
        <w:tc>
          <w:tcPr>
            <w:tcW w:w="1220" w:type="dxa"/>
            <w:vAlign w:val="bottom"/>
            <w:gridSpan w:val="2"/>
            <w:vMerge w:val="continue"/>
          </w:tcPr>
          <w:p>
            <w:pPr>
              <w:spacing w:after="0"/>
              <w:rPr>
                <w:sz w:val="9"/>
                <w:szCs w:val="9"/>
                <w:color w:val="auto"/>
              </w:rPr>
            </w:pPr>
          </w:p>
        </w:tc>
        <w:tc>
          <w:tcPr>
            <w:tcW w:w="444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100" w:type="dxa"/>
            <w:vAlign w:val="bottom"/>
            <w:vMerge w:val="restart"/>
          </w:tcPr>
          <w:p>
            <w:pPr>
              <w:spacing w:after="0"/>
              <w:rPr>
                <w:sz w:val="9"/>
                <w:szCs w:val="9"/>
                <w:color w:val="auto"/>
              </w:rPr>
            </w:pP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00" w:type="dxa"/>
            <w:vAlign w:val="bottom"/>
            <w:vMerge w:val="restart"/>
          </w:tcPr>
          <w:p>
            <w:pPr>
              <w:spacing w:after="0"/>
              <w:rPr>
                <w:sz w:val="9"/>
                <w:szCs w:val="9"/>
                <w:color w:val="auto"/>
              </w:rPr>
            </w:pPr>
          </w:p>
        </w:tc>
        <w:tc>
          <w:tcPr>
            <w:tcW w:w="11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Date of Filing</w:t>
            </w:r>
          </w:p>
        </w:tc>
        <w:tc>
          <w:tcPr>
            <w:tcW w:w="120" w:type="dxa"/>
            <w:vAlign w:val="bottom"/>
            <w:vMerge w:val="restart"/>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104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5"/>
                <w:szCs w:val="15"/>
                <w:color w:val="auto"/>
              </w:rPr>
            </w:pPr>
          </w:p>
        </w:tc>
        <w:tc>
          <w:tcPr>
            <w:tcW w:w="44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1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10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515"/>
        </w:trPr>
        <w:tc>
          <w:tcPr>
            <w:tcW w:w="104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24"/>
                <w:szCs w:val="24"/>
                <w:color w:val="auto"/>
              </w:rPr>
            </w:pPr>
          </w:p>
        </w:tc>
        <w:tc>
          <w:tcPr>
            <w:tcW w:w="4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Loan and Security Agreement, dated January 8, 2015,</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between the Registrant and Hercules Technology Growth</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January 8,</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Capital, Inc.</w:t>
            </w: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8-K</w:t>
            </w:r>
          </w:p>
        </w:tc>
        <w:tc>
          <w:tcPr>
            <w:tcW w:w="136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001-36395</w:t>
            </w:r>
          </w:p>
        </w:tc>
        <w:tc>
          <w:tcPr>
            <w:tcW w:w="100" w:type="dxa"/>
            <w:vAlign w:val="bottom"/>
          </w:tcPr>
          <w:p>
            <w:pPr>
              <w:spacing w:after="0"/>
              <w:rPr>
                <w:sz w:val="20"/>
                <w:szCs w:val="20"/>
                <w:color w:val="auto"/>
              </w:rPr>
            </w:pPr>
          </w:p>
        </w:tc>
        <w:tc>
          <w:tcPr>
            <w:tcW w:w="1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Pr>
          <w:p>
            <w:pPr>
              <w:spacing w:after="0"/>
              <w:rPr>
                <w:sz w:val="20"/>
                <w:szCs w:val="20"/>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04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tcPr>
          <w:p>
            <w:pPr>
              <w:spacing w:after="0"/>
              <w:rPr>
                <w:sz w:val="24"/>
                <w:szCs w:val="24"/>
                <w:color w:val="auto"/>
              </w:rPr>
            </w:pPr>
          </w:p>
        </w:tc>
        <w:tc>
          <w:tcPr>
            <w:tcW w:w="4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Stock Purchase Agreement, dated January 8, 2015, between</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 Registrant and Hercules Technology Growth Capital,</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January 8,</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Inc.</w:t>
            </w: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8-K</w:t>
            </w:r>
          </w:p>
        </w:tc>
        <w:tc>
          <w:tcPr>
            <w:tcW w:w="136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001-36395</w:t>
            </w:r>
          </w:p>
        </w:tc>
        <w:tc>
          <w:tcPr>
            <w:tcW w:w="100" w:type="dxa"/>
            <w:vAlign w:val="bottom"/>
          </w:tcPr>
          <w:p>
            <w:pPr>
              <w:spacing w:after="0"/>
              <w:rPr>
                <w:sz w:val="20"/>
                <w:szCs w:val="20"/>
                <w:color w:val="auto"/>
              </w:rPr>
            </w:pPr>
          </w:p>
        </w:tc>
        <w:tc>
          <w:tcPr>
            <w:tcW w:w="1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Pr>
          <w:p>
            <w:pPr>
              <w:spacing w:after="0"/>
              <w:rPr>
                <w:sz w:val="20"/>
                <w:szCs w:val="20"/>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04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tcPr>
          <w:p>
            <w:pPr>
              <w:spacing w:after="0"/>
              <w:rPr>
                <w:sz w:val="24"/>
                <w:szCs w:val="24"/>
                <w:color w:val="auto"/>
              </w:rPr>
            </w:pPr>
          </w:p>
        </w:tc>
        <w:tc>
          <w:tcPr>
            <w:tcW w:w="4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Right to Invest Letter, dated January 8, 2015, between the</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January 8,</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Registrant and Hercules Technology Growth Capital, Inc.</w:t>
            </w: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8-K</w:t>
            </w:r>
          </w:p>
        </w:tc>
        <w:tc>
          <w:tcPr>
            <w:tcW w:w="136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001-36395</w:t>
            </w:r>
          </w:p>
        </w:tc>
        <w:tc>
          <w:tcPr>
            <w:tcW w:w="100" w:type="dxa"/>
            <w:vAlign w:val="bottom"/>
          </w:tcPr>
          <w:p>
            <w:pPr>
              <w:spacing w:after="0"/>
              <w:rPr>
                <w:sz w:val="20"/>
                <w:szCs w:val="20"/>
                <w:color w:val="auto"/>
              </w:rPr>
            </w:pPr>
          </w:p>
        </w:tc>
        <w:tc>
          <w:tcPr>
            <w:tcW w:w="1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Pr>
          <w:p>
            <w:pPr>
              <w:spacing w:after="0"/>
              <w:rPr>
                <w:sz w:val="20"/>
                <w:szCs w:val="20"/>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04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24"/>
                <w:szCs w:val="24"/>
                <w:color w:val="auto"/>
              </w:rPr>
            </w:pPr>
          </w:p>
        </w:tc>
        <w:tc>
          <w:tcPr>
            <w:tcW w:w="4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Warrant, dated January 8, 2015, issued to Hercules</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January 8,</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Technology Growth Capital, Inc.</w:t>
            </w: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8-K</w:t>
            </w:r>
          </w:p>
        </w:tc>
        <w:tc>
          <w:tcPr>
            <w:tcW w:w="136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001-36395</w:t>
            </w:r>
          </w:p>
        </w:tc>
        <w:tc>
          <w:tcPr>
            <w:tcW w:w="100" w:type="dxa"/>
            <w:vAlign w:val="bottom"/>
          </w:tcPr>
          <w:p>
            <w:pPr>
              <w:spacing w:after="0"/>
              <w:rPr>
                <w:sz w:val="20"/>
                <w:szCs w:val="20"/>
                <w:color w:val="auto"/>
              </w:rPr>
            </w:pPr>
          </w:p>
        </w:tc>
        <w:tc>
          <w:tcPr>
            <w:tcW w:w="1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Pr>
          <w:p>
            <w:pPr>
              <w:spacing w:after="0"/>
              <w:rPr>
                <w:sz w:val="20"/>
                <w:szCs w:val="20"/>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04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tcPr>
          <w:p>
            <w:pPr>
              <w:spacing w:after="0"/>
              <w:rPr>
                <w:sz w:val="24"/>
                <w:szCs w:val="24"/>
                <w:color w:val="auto"/>
              </w:rPr>
            </w:pPr>
          </w:p>
        </w:tc>
        <w:tc>
          <w:tcPr>
            <w:tcW w:w="4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Fifth Amendment, dated as of February 17, 2015, to</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Exclusive Patent License Agreement, dated as of December</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21, 2006, as amended, between the Registrant and</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March 19,</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Massachusetts Institute of Technology</w:t>
            </w: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10-K</w:t>
            </w:r>
          </w:p>
        </w:tc>
        <w:tc>
          <w:tcPr>
            <w:tcW w:w="1360" w:type="dxa"/>
            <w:vAlign w:val="bottom"/>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001-36395</w:t>
            </w:r>
          </w:p>
        </w:tc>
        <w:tc>
          <w:tcPr>
            <w:tcW w:w="100" w:type="dxa"/>
            <w:vAlign w:val="bottom"/>
          </w:tcPr>
          <w:p>
            <w:pPr>
              <w:spacing w:after="0"/>
              <w:rPr>
                <w:sz w:val="20"/>
                <w:szCs w:val="20"/>
                <w:color w:val="auto"/>
              </w:rPr>
            </w:pPr>
          </w:p>
        </w:tc>
        <w:tc>
          <w:tcPr>
            <w:tcW w:w="1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Pr>
          <w:p>
            <w:pPr>
              <w:spacing w:after="0"/>
              <w:rPr>
                <w:sz w:val="20"/>
                <w:szCs w:val="20"/>
                <w:color w:val="auto"/>
              </w:rPr>
            </w:pPr>
          </w:p>
        </w:tc>
        <w:tc>
          <w:tcPr>
            <w:tcW w:w="1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10.31</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04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tcPr>
          <w:p>
            <w:pPr>
              <w:spacing w:after="0"/>
              <w:rPr>
                <w:sz w:val="24"/>
                <w:szCs w:val="24"/>
                <w:color w:val="auto"/>
              </w:rPr>
            </w:pPr>
          </w:p>
        </w:tc>
        <w:tc>
          <w:tcPr>
            <w:tcW w:w="4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Amendment, dated March 3, 2015, to Separation,</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Transition and Release of Claims Agreement between the</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March 4,</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Registrant and Oliver S. Fetzer, Ph. D</w:t>
            </w: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8-K</w:t>
            </w:r>
          </w:p>
        </w:tc>
        <w:tc>
          <w:tcPr>
            <w:tcW w:w="136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001-36395</w:t>
            </w:r>
          </w:p>
        </w:tc>
        <w:tc>
          <w:tcPr>
            <w:tcW w:w="100" w:type="dxa"/>
            <w:vAlign w:val="bottom"/>
          </w:tcPr>
          <w:p>
            <w:pPr>
              <w:spacing w:after="0"/>
              <w:rPr>
                <w:sz w:val="20"/>
                <w:szCs w:val="20"/>
                <w:color w:val="auto"/>
              </w:rPr>
            </w:pPr>
          </w:p>
        </w:tc>
        <w:tc>
          <w:tcPr>
            <w:tcW w:w="1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Pr>
          <w:p>
            <w:pPr>
              <w:spacing w:after="0"/>
              <w:rPr>
                <w:sz w:val="20"/>
                <w:szCs w:val="20"/>
                <w:color w:val="auto"/>
              </w:rPr>
            </w:pPr>
          </w:p>
        </w:tc>
        <w:tc>
          <w:tcPr>
            <w:tcW w:w="1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04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10.7</w:t>
            </w:r>
          </w:p>
        </w:tc>
        <w:tc>
          <w:tcPr>
            <w:tcW w:w="180" w:type="dxa"/>
            <w:vAlign w:val="bottom"/>
          </w:tcPr>
          <w:p>
            <w:pPr>
              <w:spacing w:after="0"/>
              <w:rPr>
                <w:sz w:val="24"/>
                <w:szCs w:val="24"/>
                <w:color w:val="auto"/>
              </w:rPr>
            </w:pPr>
          </w:p>
        </w:tc>
        <w:tc>
          <w:tcPr>
            <w:tcW w:w="4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Amended and Restated Employment Agreement dated</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March 27, 2015 between the Registrant and Christopher D.</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March 30,</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 Guiffre</w:t>
            </w:r>
          </w:p>
        </w:tc>
        <w:tc>
          <w:tcPr>
            <w:tcW w:w="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S-1</w:t>
            </w:r>
          </w:p>
        </w:tc>
        <w:tc>
          <w:tcPr>
            <w:tcW w:w="136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333-202917</w:t>
            </w:r>
          </w:p>
        </w:tc>
        <w:tc>
          <w:tcPr>
            <w:tcW w:w="100" w:type="dxa"/>
            <w:vAlign w:val="bottom"/>
          </w:tcPr>
          <w:p>
            <w:pPr>
              <w:spacing w:after="0"/>
              <w:rPr>
                <w:sz w:val="20"/>
                <w:szCs w:val="20"/>
                <w:color w:val="auto"/>
              </w:rPr>
            </w:pPr>
          </w:p>
        </w:tc>
        <w:tc>
          <w:tcPr>
            <w:tcW w:w="1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Pr>
          <w:p>
            <w:pPr>
              <w:spacing w:after="0"/>
              <w:rPr>
                <w:sz w:val="20"/>
                <w:szCs w:val="20"/>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10.26</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104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24"/>
                <w:szCs w:val="24"/>
                <w:color w:val="auto"/>
              </w:rPr>
            </w:pPr>
          </w:p>
        </w:tc>
        <w:tc>
          <w:tcPr>
            <w:tcW w:w="4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Rule 13a 14(a)/15d 14(a) of the Securities Exchange Act of</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vMerge w:val="restart"/>
          </w:tcPr>
          <w:p>
            <w:pPr>
              <w:ind w:left="900"/>
              <w:spacing w:after="0"/>
              <w:rPr>
                <w:sz w:val="20"/>
                <w:szCs w:val="20"/>
                <w:color w:val="auto"/>
              </w:rPr>
            </w:pPr>
            <w:r>
              <w:rPr>
                <w:rFonts w:ascii="Times New Roman" w:cs="Times New Roman" w:eastAsia="Times New Roman" w:hAnsi="Times New Roman"/>
                <w:sz w:val="18"/>
                <w:szCs w:val="18"/>
                <w:color w:val="auto"/>
                <w:w w:val="76"/>
              </w:rPr>
              <w:t>X</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1934, as amended</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04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24"/>
                <w:szCs w:val="24"/>
                <w:color w:val="auto"/>
              </w:rPr>
            </w:pPr>
          </w:p>
        </w:tc>
        <w:tc>
          <w:tcPr>
            <w:tcW w:w="4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Rule 13a-14(a)/15d-14(a) of the Securities Exchange Act of</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vMerge w:val="restart"/>
          </w:tcPr>
          <w:p>
            <w:pPr>
              <w:ind w:left="900"/>
              <w:spacing w:after="0"/>
              <w:rPr>
                <w:sz w:val="20"/>
                <w:szCs w:val="20"/>
                <w:color w:val="auto"/>
              </w:rPr>
            </w:pPr>
            <w:r>
              <w:rPr>
                <w:rFonts w:ascii="Times New Roman" w:cs="Times New Roman" w:eastAsia="Times New Roman" w:hAnsi="Times New Roman"/>
                <w:sz w:val="18"/>
                <w:szCs w:val="18"/>
                <w:color w:val="auto"/>
                <w:w w:val="76"/>
              </w:rPr>
              <w:t>X</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1934, as amended.</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04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tcPr>
          <w:p>
            <w:pPr>
              <w:spacing w:after="0"/>
              <w:rPr>
                <w:sz w:val="24"/>
                <w:szCs w:val="24"/>
                <w:color w:val="auto"/>
              </w:rPr>
            </w:pPr>
          </w:p>
        </w:tc>
        <w:tc>
          <w:tcPr>
            <w:tcW w:w="4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18 U.S.C. §1350, as adopted pursuant to Section 906 of the</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vMerge w:val="restart"/>
          </w:tcPr>
          <w:p>
            <w:pPr>
              <w:ind w:left="900"/>
              <w:spacing w:after="0"/>
              <w:rPr>
                <w:sz w:val="20"/>
                <w:szCs w:val="20"/>
                <w:color w:val="auto"/>
              </w:rPr>
            </w:pPr>
            <w:r>
              <w:rPr>
                <w:rFonts w:ascii="Times New Roman" w:cs="Times New Roman" w:eastAsia="Times New Roman" w:hAnsi="Times New Roman"/>
                <w:sz w:val="18"/>
                <w:szCs w:val="18"/>
                <w:color w:val="auto"/>
                <w:w w:val="76"/>
              </w:rPr>
              <w:t>X</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Sarbanes-Oxley Act of 2002.</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04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32.2</w:t>
            </w:r>
          </w:p>
        </w:tc>
        <w:tc>
          <w:tcPr>
            <w:tcW w:w="180" w:type="dxa"/>
            <w:vAlign w:val="bottom"/>
          </w:tcPr>
          <w:p>
            <w:pPr>
              <w:spacing w:after="0"/>
              <w:rPr>
                <w:sz w:val="24"/>
                <w:szCs w:val="24"/>
                <w:color w:val="auto"/>
              </w:rPr>
            </w:pPr>
          </w:p>
        </w:tc>
        <w:tc>
          <w:tcPr>
            <w:tcW w:w="4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18 U.S.C. §1350, as adopted pursuant to Section 906 of the</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vMerge w:val="restart"/>
          </w:tcPr>
          <w:p>
            <w:pPr>
              <w:ind w:left="900"/>
              <w:spacing w:after="0"/>
              <w:rPr>
                <w:sz w:val="20"/>
                <w:szCs w:val="20"/>
                <w:color w:val="auto"/>
              </w:rPr>
            </w:pPr>
            <w:r>
              <w:rPr>
                <w:rFonts w:ascii="Times New Roman" w:cs="Times New Roman" w:eastAsia="Times New Roman" w:hAnsi="Times New Roman"/>
                <w:sz w:val="18"/>
                <w:szCs w:val="18"/>
                <w:color w:val="auto"/>
                <w:w w:val="76"/>
              </w:rPr>
              <w:t>X</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Sarbanes-Oxley Act of 2002.</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101.INS</w:t>
            </w:r>
          </w:p>
        </w:tc>
        <w:tc>
          <w:tcPr>
            <w:tcW w:w="4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XBRL Instance Document*</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76"/>
              </w:rPr>
              <w:t>X</w:t>
            </w:r>
          </w:p>
        </w:tc>
        <w:tc>
          <w:tcPr>
            <w:tcW w:w="0" w:type="dxa"/>
            <w:vAlign w:val="bottom"/>
          </w:tcPr>
          <w:p>
            <w:pPr>
              <w:spacing w:after="0"/>
              <w:rPr>
                <w:sz w:val="1"/>
                <w:szCs w:val="1"/>
                <w:color w:val="auto"/>
              </w:rPr>
            </w:pPr>
          </w:p>
        </w:tc>
      </w:tr>
      <w:tr>
        <w:trPr>
          <w:trHeight w:val="338"/>
        </w:trPr>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101.SCH</w:t>
            </w:r>
          </w:p>
        </w:tc>
        <w:tc>
          <w:tcPr>
            <w:tcW w:w="4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76"/>
              </w:rPr>
              <w:t>X</w:t>
            </w:r>
          </w:p>
        </w:tc>
        <w:tc>
          <w:tcPr>
            <w:tcW w:w="0" w:type="dxa"/>
            <w:vAlign w:val="bottom"/>
          </w:tcPr>
          <w:p>
            <w:pPr>
              <w:spacing w:after="0"/>
              <w:rPr>
                <w:sz w:val="1"/>
                <w:szCs w:val="1"/>
                <w:color w:val="auto"/>
              </w:rPr>
            </w:pPr>
          </w:p>
        </w:tc>
      </w:tr>
      <w:tr>
        <w:trPr>
          <w:trHeight w:val="338"/>
        </w:trPr>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101.CAL</w:t>
            </w:r>
          </w:p>
        </w:tc>
        <w:tc>
          <w:tcPr>
            <w:tcW w:w="4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XBRL Taxonomy Calculation Linkbase Document*</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76"/>
              </w:rPr>
              <w:t>X</w:t>
            </w:r>
          </w:p>
        </w:tc>
        <w:tc>
          <w:tcPr>
            <w:tcW w:w="0" w:type="dxa"/>
            <w:vAlign w:val="bottom"/>
          </w:tcPr>
          <w:p>
            <w:pPr>
              <w:spacing w:after="0"/>
              <w:rPr>
                <w:sz w:val="1"/>
                <w:szCs w:val="1"/>
                <w:color w:val="auto"/>
              </w:rPr>
            </w:pPr>
          </w:p>
        </w:tc>
      </w:tr>
      <w:tr>
        <w:trPr>
          <w:trHeight w:val="319"/>
        </w:trPr>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101.DEF</w:t>
            </w:r>
          </w:p>
        </w:tc>
        <w:tc>
          <w:tcPr>
            <w:tcW w:w="4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vMerge w:val="restart"/>
          </w:tcPr>
          <w:p>
            <w:pPr>
              <w:ind w:left="900"/>
              <w:spacing w:after="0"/>
              <w:rPr>
                <w:sz w:val="20"/>
                <w:szCs w:val="20"/>
                <w:color w:val="auto"/>
              </w:rPr>
            </w:pPr>
            <w:r>
              <w:rPr>
                <w:rFonts w:ascii="Times New Roman" w:cs="Times New Roman" w:eastAsia="Times New Roman" w:hAnsi="Times New Roman"/>
                <w:sz w:val="18"/>
                <w:szCs w:val="18"/>
                <w:color w:val="auto"/>
                <w:w w:val="76"/>
              </w:rPr>
              <w:t>X</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Document*</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101.LAB</w:t>
            </w:r>
          </w:p>
        </w:tc>
        <w:tc>
          <w:tcPr>
            <w:tcW w:w="4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XBRL Taxonomy Label Linkbase Document*</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76"/>
              </w:rPr>
              <w:t>X</w:t>
            </w:r>
          </w:p>
        </w:tc>
        <w:tc>
          <w:tcPr>
            <w:tcW w:w="0" w:type="dxa"/>
            <w:vAlign w:val="bottom"/>
          </w:tcPr>
          <w:p>
            <w:pPr>
              <w:spacing w:after="0"/>
              <w:rPr>
                <w:sz w:val="1"/>
                <w:szCs w:val="1"/>
                <w:color w:val="auto"/>
              </w:rPr>
            </w:pPr>
          </w:p>
        </w:tc>
      </w:tr>
      <w:tr>
        <w:trPr>
          <w:trHeight w:val="338"/>
        </w:trPr>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101.PRE</w:t>
            </w:r>
          </w:p>
        </w:tc>
        <w:tc>
          <w:tcPr>
            <w:tcW w:w="4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XBRL Taxonomy Presentation Linkbase Document*</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76"/>
              </w:rPr>
              <w:t>X</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40" w:hanging="532"/>
        <w:spacing w:after="0"/>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Submitted electronically herewith</w:t>
      </w:r>
    </w:p>
    <w:p>
      <w:pPr>
        <w:sectPr>
          <w:pgSz w:w="11900" w:h="16838" w:orient="portrait"/>
          <w:cols w:equalWidth="0" w:num="1">
            <w:col w:w="11420"/>
          </w:cols>
          <w:pgMar w:left="240" w:top="117" w:right="2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D.T. Guiffre, certify that:</w:t>
      </w:r>
    </w:p>
    <w:p>
      <w:pPr>
        <w:spacing w:after="0" w:line="117" w:lineRule="exact"/>
        <w:rPr>
          <w:sz w:val="20"/>
          <w:szCs w:val="20"/>
          <w:color w:val="auto"/>
        </w:rPr>
      </w:pPr>
    </w:p>
    <w:p>
      <w:pPr>
        <w:ind w:left="1020" w:hanging="494"/>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Cerulean Pharma Inc.;</w:t>
      </w:r>
    </w:p>
    <w:p>
      <w:pPr>
        <w:spacing w:after="0" w:line="117" w:lineRule="exact"/>
        <w:rPr>
          <w:rFonts w:ascii="Times New Roman" w:cs="Times New Roman" w:eastAsia="Times New Roman" w:hAnsi="Times New Roman"/>
          <w:sz w:val="18"/>
          <w:szCs w:val="18"/>
          <w:color w:val="auto"/>
        </w:rPr>
      </w:pPr>
    </w:p>
    <w:p>
      <w:pPr>
        <w:jc w:val="both"/>
        <w:ind w:left="1020" w:right="180" w:hanging="494"/>
        <w:spacing w:after="0" w:line="266"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1020" w:right="160" w:hanging="494"/>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1020" w:right="120" w:hanging="494"/>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2120" w:right="80" w:hanging="438"/>
        <w:spacing w:after="0" w:line="266" w:lineRule="auto"/>
        <w:tabs>
          <w:tab w:leader="none" w:pos="21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2120" w:hanging="438"/>
        <w:spacing w:after="0" w:line="266" w:lineRule="auto"/>
        <w:tabs>
          <w:tab w:leader="none" w:pos="21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Times New Roman" w:cs="Times New Roman" w:eastAsia="Times New Roman" w:hAnsi="Times New Roman"/>
          <w:sz w:val="18"/>
          <w:szCs w:val="18"/>
          <w:color w:val="auto"/>
        </w:rPr>
      </w:pPr>
    </w:p>
    <w:p>
      <w:pPr>
        <w:ind w:left="2120" w:right="340" w:hanging="438"/>
        <w:spacing w:after="0" w:line="266" w:lineRule="auto"/>
        <w:tabs>
          <w:tab w:leader="none" w:pos="21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1020" w:right="2060" w:hanging="494"/>
        <w:spacing w:after="0" w:line="266"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Times New Roman" w:cs="Times New Roman" w:eastAsia="Times New Roman" w:hAnsi="Times New Roman"/>
          <w:sz w:val="18"/>
          <w:szCs w:val="18"/>
          <w:color w:val="auto"/>
        </w:rPr>
      </w:pPr>
    </w:p>
    <w:p>
      <w:pPr>
        <w:ind w:left="2120" w:right="80" w:hanging="438"/>
        <w:spacing w:after="0" w:line="266" w:lineRule="auto"/>
        <w:tabs>
          <w:tab w:leader="none" w:pos="21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rFonts w:ascii="Times New Roman" w:cs="Times New Roman" w:eastAsia="Times New Roman" w:hAnsi="Times New Roman"/>
          <w:sz w:val="18"/>
          <w:szCs w:val="18"/>
          <w:color w:val="auto"/>
        </w:rPr>
      </w:pPr>
    </w:p>
    <w:p>
      <w:pPr>
        <w:ind w:left="2120" w:right="100" w:hanging="438"/>
        <w:spacing w:after="0" w:line="282" w:lineRule="auto"/>
        <w:tabs>
          <w:tab w:leader="none" w:pos="21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2015</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Christopher D.T. Guiffre</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Christopher D.T. Guiffre, 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117" w:right="2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Karen L. Roberts, certify that:</w:t>
      </w:r>
    </w:p>
    <w:p>
      <w:pPr>
        <w:spacing w:after="0" w:line="117" w:lineRule="exact"/>
        <w:rPr>
          <w:sz w:val="20"/>
          <w:szCs w:val="20"/>
          <w:color w:val="auto"/>
        </w:rPr>
      </w:pPr>
    </w:p>
    <w:p>
      <w:pPr>
        <w:ind w:left="1020" w:hanging="494"/>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Cerulean Pharma Inc.;</w:t>
      </w:r>
    </w:p>
    <w:p>
      <w:pPr>
        <w:spacing w:after="0" w:line="117" w:lineRule="exact"/>
        <w:rPr>
          <w:rFonts w:ascii="Times New Roman" w:cs="Times New Roman" w:eastAsia="Times New Roman" w:hAnsi="Times New Roman"/>
          <w:sz w:val="18"/>
          <w:szCs w:val="18"/>
          <w:color w:val="auto"/>
        </w:rPr>
      </w:pPr>
    </w:p>
    <w:p>
      <w:pPr>
        <w:jc w:val="both"/>
        <w:ind w:left="1020" w:right="180" w:hanging="494"/>
        <w:spacing w:after="0" w:line="266"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1020" w:right="160" w:hanging="494"/>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1020" w:right="120" w:hanging="494"/>
        <w:spacing w:after="0" w:line="282"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2120" w:right="80" w:hanging="438"/>
        <w:spacing w:after="0" w:line="266" w:lineRule="auto"/>
        <w:tabs>
          <w:tab w:leader="none" w:pos="21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2120" w:hanging="438"/>
        <w:spacing w:after="0" w:line="266" w:lineRule="auto"/>
        <w:tabs>
          <w:tab w:leader="none" w:pos="21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8" w:lineRule="exact"/>
        <w:rPr>
          <w:rFonts w:ascii="Times New Roman" w:cs="Times New Roman" w:eastAsia="Times New Roman" w:hAnsi="Times New Roman"/>
          <w:sz w:val="18"/>
          <w:szCs w:val="18"/>
          <w:color w:val="auto"/>
        </w:rPr>
      </w:pPr>
    </w:p>
    <w:p>
      <w:pPr>
        <w:ind w:left="2120" w:right="340" w:hanging="438"/>
        <w:spacing w:after="0" w:line="266" w:lineRule="auto"/>
        <w:tabs>
          <w:tab w:leader="none" w:pos="21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1020" w:right="2060" w:hanging="494"/>
        <w:spacing w:after="0" w:line="266" w:lineRule="auto"/>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Times New Roman" w:cs="Times New Roman" w:eastAsia="Times New Roman" w:hAnsi="Times New Roman"/>
          <w:sz w:val="18"/>
          <w:szCs w:val="18"/>
          <w:color w:val="auto"/>
        </w:rPr>
      </w:pPr>
    </w:p>
    <w:p>
      <w:pPr>
        <w:ind w:left="2120" w:right="80" w:hanging="438"/>
        <w:spacing w:after="0" w:line="266" w:lineRule="auto"/>
        <w:tabs>
          <w:tab w:leader="none" w:pos="21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8" w:lineRule="exact"/>
        <w:rPr>
          <w:rFonts w:ascii="Times New Roman" w:cs="Times New Roman" w:eastAsia="Times New Roman" w:hAnsi="Times New Roman"/>
          <w:sz w:val="18"/>
          <w:szCs w:val="18"/>
          <w:color w:val="auto"/>
        </w:rPr>
      </w:pPr>
    </w:p>
    <w:p>
      <w:pPr>
        <w:ind w:left="2120" w:right="100" w:hanging="438"/>
        <w:spacing w:after="0" w:line="282" w:lineRule="auto"/>
        <w:tabs>
          <w:tab w:leader="none" w:pos="212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2015</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Karen L. Roberts</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Karen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Senior Vice President, Finance and Administration</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420"/>
          </w:cols>
          <w:pgMar w:left="240" w:top="117" w:right="2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Cerulean Pharma Inc. (the “Company”) for the fiscal quarter ended March 31, 2015, as filed with the Securities and Exchange Commission on the date hereof (the “Report”), the undersigned, Christopher D.T. Guiffre, President and Chief Executive Officer of the Company, hereby certifies, pursuant to 18 U.S.C. Section 1350, that, to his knowledge on the date hereof:</w:t>
      </w:r>
    </w:p>
    <w:p>
      <w:pPr>
        <w:spacing w:after="0" w:line="176" w:lineRule="exact"/>
        <w:rPr>
          <w:sz w:val="20"/>
          <w:szCs w:val="20"/>
          <w:color w:val="auto"/>
        </w:rPr>
      </w:pPr>
    </w:p>
    <w:p>
      <w:pPr>
        <w:ind w:left="780" w:hanging="254"/>
        <w:spacing w:after="0"/>
        <w:tabs>
          <w:tab w:leader="none" w:pos="7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200" w:firstLine="526"/>
        <w:spacing w:after="0" w:line="516" w:lineRule="auto"/>
        <w:tabs>
          <w:tab w:leader="none" w:pos="77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May 6, 2015</w:t>
      </w:r>
    </w:p>
    <w:p>
      <w:pPr>
        <w:spacing w:after="0" w:line="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Christopher D.T. Guiffre</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Christopher D.T. Guiffre, 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117" w:right="2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Cerulean Pharma Inc. (the “Company”) for the fiscal quarter ended March 31, 2015, as filed with the Securities and Exchange Commission on the date hereof (the “Report”), the undersigned, Karen L. Roberts, Senior Vice President, Finance and Administration of the Company, hereby certifies, pursuant to 18 U.S.C. Section 1350, that, to his knowledge on the date hereof:</w:t>
      </w:r>
    </w:p>
    <w:p>
      <w:pPr>
        <w:spacing w:after="0" w:line="176" w:lineRule="exact"/>
        <w:rPr>
          <w:sz w:val="20"/>
          <w:szCs w:val="20"/>
          <w:color w:val="auto"/>
        </w:rPr>
      </w:pPr>
    </w:p>
    <w:p>
      <w:pPr>
        <w:ind w:left="780" w:hanging="254"/>
        <w:spacing w:after="0"/>
        <w:tabs>
          <w:tab w:leader="none" w:pos="7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200" w:firstLine="526"/>
        <w:spacing w:after="0" w:line="516" w:lineRule="auto"/>
        <w:tabs>
          <w:tab w:leader="none" w:pos="77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May 6, 2015</w:t>
      </w:r>
    </w:p>
    <w:p>
      <w:pPr>
        <w:spacing w:after="0" w:line="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Karen L. Roberts</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Karen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Senior Vice President, Finance and Administration</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financial and accounting officer)</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o"/>
      <w:numFmt w:val="bullet"/>
      <w:start w:val="1"/>
    </w:lvl>
  </w:abstractNum>
  <w:abstractNum w:abstractNumId="2">
    <w:nsid w:val="54E49EB4"/>
    <w:multiLevelType w:val="hybridMultilevel"/>
    <w:lvl w:ilvl="0">
      <w:lvlJc w:val="left"/>
      <w:lvlText w:val="%1."/>
      <w:numFmt w:val="decimal"/>
      <w:start w:val="1"/>
    </w:lvl>
  </w:abstractNum>
  <w:abstractNum w:abstractNumId="3">
    <w:nsid w:val="71F32454"/>
    <w:multiLevelType w:val="hybridMultilevel"/>
    <w:lvl w:ilvl="0">
      <w:lvlJc w:val="left"/>
      <w:lvlText w:val="%1."/>
      <w:numFmt w:val="decimal"/>
      <w:start w:val="2"/>
    </w:lvl>
  </w:abstractNum>
  <w:abstractNum w:abstractNumId="4">
    <w:nsid w:val="2CA88611"/>
    <w:multiLevelType w:val="hybridMultilevel"/>
    <w:lvl w:ilvl="0">
      <w:lvlJc w:val="left"/>
      <w:lvlText w:val="%1."/>
      <w:numFmt w:val="decimal"/>
      <w:start w:val="3"/>
    </w:lvl>
  </w:abstractNum>
  <w:abstractNum w:abstractNumId="5">
    <w:nsid w:val="836C40E"/>
    <w:multiLevelType w:val="hybridMultilevel"/>
    <w:lvl w:ilvl="0">
      <w:lvlJc w:val="left"/>
      <w:lvlText w:val="%1."/>
      <w:numFmt w:val="decimal"/>
      <w:start w:val="5"/>
    </w:lvl>
  </w:abstractNum>
  <w:abstractNum w:abstractNumId="6">
    <w:nsid w:val="2901D82"/>
    <w:multiLevelType w:val="hybridMultilevel"/>
    <w:lvl w:ilvl="0">
      <w:lvlJc w:val="left"/>
      <w:lvlText w:val="%1."/>
      <w:numFmt w:val="decimal"/>
      <w:start w:val="6"/>
    </w:lvl>
  </w:abstractNum>
  <w:abstractNum w:abstractNumId="7">
    <w:nsid w:val="3A95F874"/>
    <w:multiLevelType w:val="hybridMultilevel"/>
    <w:lvl w:ilvl="0">
      <w:lvlJc w:val="left"/>
      <w:lvlText w:val="%1."/>
      <w:numFmt w:val="decimal"/>
      <w:start w:val="7"/>
    </w:lvl>
  </w:abstractNum>
  <w:abstractNum w:abstractNumId="8">
    <w:nsid w:val="8138641"/>
    <w:multiLevelType w:val="hybridMultilevel"/>
    <w:lvl w:ilvl="0">
      <w:lvlJc w:val="left"/>
      <w:lvlText w:val="%1."/>
      <w:numFmt w:val="decimal"/>
      <w:start w:val="8"/>
    </w:lvl>
  </w:abstractNum>
  <w:abstractNum w:abstractNumId="9">
    <w:nsid w:val="1E7FF521"/>
    <w:multiLevelType w:val="hybridMultilevel"/>
    <w:lvl w:ilvl="0">
      <w:lvlJc w:val="left"/>
      <w:lvlText w:val="%1."/>
      <w:numFmt w:val="decimal"/>
      <w:start w:val="9"/>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lvl w:ilvl="1">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1)"/>
      <w:numFmt w:val="lowerRoman"/>
      <w:start w:val="2"/>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
      <w:numFmt w:val="bullet"/>
      <w:start w:val="1"/>
    </w:lvl>
  </w:abstractNum>
  <w:abstractNum w:abstractNumId="44">
    <w:nsid w:val="7644A45C"/>
    <w:multiLevelType w:val="hybridMultilevel"/>
    <w:lvl w:ilvl="0">
      <w:lvlJc w:val="left"/>
      <w:lvlText w:val="·"/>
      <w:numFmt w:val="bullet"/>
      <w:start w:val="1"/>
    </w:lvl>
  </w:abstractNum>
  <w:abstractNum w:abstractNumId="45">
    <w:nsid w:val="32FFF902"/>
    <w:multiLevelType w:val="hybridMultilevel"/>
    <w:lvl w:ilvl="0">
      <w:lvlJc w:val="left"/>
      <w:lvlText w:val="·"/>
      <w:numFmt w:val="bullet"/>
      <w:start w:val="1"/>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abstractNum>
  <w:abstractNum w:abstractNumId="50">
    <w:nsid w:val="1BA026F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2019-12-29T17:49:43Z</dcterms:created>
  <dcterms:modified xsi:type="dcterms:W3CDTF">2019-12-29T17:49:43Z</dcterms:modified>
</cp:coreProperties>
</file>