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4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March 31, 2025 </w:t>
      </w:r>
    </w:p>
    <w:p>
      <w:pPr>
        <w:pStyle w:val="TextBody"/>
        <w:bidi w:val="0"/>
        <w:spacing w:lineRule="auto" w:line="288" w:before="40" w:after="283"/>
        <w:ind w:left="0" w:right="0" w:firstLine="945"/>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Arial;sans-serif" w:hAnsi="Arial;sans-serif"/>
          <w:b/>
          <w:color w:val="000000"/>
          <w:sz w:val="20"/>
        </w:rPr>
        <w:t xml:space="preserve">For the transition period from </w:t>
      </w:r>
      <w:r>
        <w:rPr>
          <w:color w:val="000000"/>
          <w:u w:val="single"/>
        </w:rPr>
        <w:t>                    </w:t>
      </w:r>
      <w:r>
        <w:rPr>
          <w:color w:val="000000"/>
        </w:rPr>
        <w:t xml:space="preserve"> </w:t>
      </w:r>
      <w:r>
        <w:rPr>
          <w:rFonts w:ascii="Arial;sans-serif" w:hAnsi="Arial;sans-serif"/>
          <w:b/>
          <w:color w:val="000000"/>
          <w:sz w:val="20"/>
        </w:rPr>
        <w:t xml:space="preserve">to </w:t>
      </w:r>
      <w:r>
        <w:rPr>
          <w:color w:val="000000"/>
          <w:u w:val="single"/>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Commission File Number: 001-36395</w:t>
      </w:r>
    </w:p>
    <w:p>
      <w:pPr>
        <w:pStyle w:val="TextBody"/>
        <w:bidi w:val="0"/>
        <w:spacing w:before="0" w:after="0"/>
        <w:jc w:val="center"/>
        <w:rPr/>
      </w:pPr>
      <w:r>
        <w:rPr/>
        <w:drawing>
          <wp:inline distT="0" distB="0" distL="0" distR="0">
            <wp:extent cx="22479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47900" cy="933450"/>
                    </a:xfrm>
                    <a:prstGeom prst="rect">
                      <a:avLst/>
                    </a:prstGeom>
                  </pic:spPr>
                </pic:pic>
              </a:graphicData>
            </a:graphic>
          </wp:inline>
        </w:drawing>
      </w:r>
      <w:bookmarkStart w:id="0" w:name="i-1"/>
      <w:bookmarkEnd w:id="0"/>
    </w:p>
    <w:tbl>
      <w:tblPr>
        <w:tblW w:w="10205" w:type="dxa"/>
        <w:jc w:val="center"/>
        <w:tblInd w:w="0" w:type="dxa"/>
        <w:tblLayout w:type="fixed"/>
        <w:tblCellMar>
          <w:top w:w="28" w:type="dxa"/>
          <w:left w:w="28" w:type="dxa"/>
          <w:bottom w:w="28" w:type="dxa"/>
          <w:right w:w="28" w:type="dxa"/>
        </w:tblCellMar>
      </w:tblPr>
      <w:tblGrid>
        <w:gridCol w:w="1046"/>
        <w:gridCol w:w="918"/>
        <w:gridCol w:w="923"/>
        <w:gridCol w:w="1348"/>
        <w:gridCol w:w="1348"/>
        <w:gridCol w:w="1350"/>
        <w:gridCol w:w="956"/>
        <w:gridCol w:w="956"/>
        <w:gridCol w:w="1360"/>
      </w:tblGrid>
      <w:tr>
        <w:trPr/>
        <w:tc>
          <w:tcPr>
            <w:tcW w:w="10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36"/>
              </w:rPr>
            </w:pPr>
            <w:r>
              <w:rPr>
                <w:rFonts w:ascii="Arial;sans-serif" w:hAnsi="Arial;sans-serif"/>
                <w:b/>
                <w:color w:val="000000"/>
                <w:sz w:val="36"/>
              </w:rPr>
              <w:t>DARÉ BIOSCIENCE, INC.</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Delaware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of Incorporation)</w:t>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20-4139823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3655 Nobel Drive, Suite 260</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San Diego, CA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(858) 926-7655</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92122</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DARE</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Nasdaq Capital Market</w:t>
            </w:r>
          </w:p>
        </w:tc>
      </w:tr>
    </w:tbl>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w:t>
      </w:r>
      <w:r>
        <w:rPr>
          <w:rFonts w:ascii="Arial;sans-serif" w:hAnsi="Arial;sans-serif"/>
          <w:b w:val="false"/>
          <w:color w:val="000000"/>
          <w:sz w:val="18"/>
        </w:rPr>
        <w:t>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32" w:type="dxa"/>
        <w:jc w:val="center"/>
        <w:tblInd w:w="0" w:type="dxa"/>
        <w:tblLayout w:type="fixed"/>
        <w:tblCellMar>
          <w:top w:w="28" w:type="dxa"/>
          <w:left w:w="28" w:type="dxa"/>
          <w:bottom w:w="28" w:type="dxa"/>
          <w:right w:w="28" w:type="dxa"/>
        </w:tblCellMar>
      </w:tblPr>
      <w:tblGrid>
        <w:gridCol w:w="858"/>
        <w:gridCol w:w="755"/>
        <w:gridCol w:w="756"/>
        <w:gridCol w:w="109"/>
        <w:gridCol w:w="109"/>
        <w:gridCol w:w="109"/>
        <w:gridCol w:w="109"/>
        <w:gridCol w:w="109"/>
        <w:gridCol w:w="109"/>
        <w:gridCol w:w="109"/>
        <w:gridCol w:w="109"/>
        <w:gridCol w:w="109"/>
        <w:gridCol w:w="769"/>
        <w:gridCol w:w="769"/>
        <w:gridCol w:w="772"/>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Emerging growth company</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60" w:after="283"/>
        <w:ind w:left="0" w:right="0" w:firstLine="36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pursuant to Section 13(a) of the Exchange Act.    </w:t>
      </w:r>
      <w:r>
        <w:rPr>
          <w:rFonts w:ascii="Wingdings;sans-serif" w:hAnsi="Wingdings;sans-serif"/>
          <w:b w:val="false"/>
          <w:color w:val="000000"/>
          <w:sz w:val="18"/>
        </w:rPr>
        <w:t xml:space="preserve">o </w:t>
      </w:r>
    </w:p>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is a shell company (as defined in Rule 12b-2 of the Act).    Yes  </w:t>
      </w:r>
      <w:r>
        <w:rPr>
          <w:color w:val="000000"/>
        </w:rPr>
        <w:t>☐    </w:t>
      </w:r>
      <w:r>
        <w:rPr>
          <w:rFonts w:ascii="Arial;sans-serif" w:hAnsi="Arial;sans-serif"/>
          <w:b w:val="false"/>
          <w:color w:val="000000"/>
          <w:sz w:val="18"/>
        </w:rPr>
        <w:t>No  </w:t>
      </w:r>
      <w:r>
        <w:rPr>
          <w:rFonts w:ascii="Wingdings;sans-serif" w:hAnsi="Wingdings;sans-serif"/>
          <w:b w:val="false"/>
          <w:color w:val="000000"/>
          <w:sz w:val="18"/>
        </w:rPr>
        <w:t xml:space="preserve">x </w:t>
      </w:r>
    </w:p>
    <w:p>
      <w:pPr>
        <w:pStyle w:val="TextBody"/>
        <w:bidi w:val="0"/>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As of May 12, 2025, 8,850,386 shares of the Registrant’s Common Stock, par value $0.0001,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“believe,” “may,” “will,” “estimate,” “continue,” “anticipate,” “design,” “intend,” “expect,” “could,” “plan,” “potential,” “predict,” “seek,” "pursue," “should,” “would,” “contemplate,” "project,” “target,” “tend to,” or the negative version of these words and similar expressions.</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Inability to raise additional capital, under favorable terms or at all, to fund our operating needs and continue as a going concern;</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Failure to maintain the listing of our common stock on the Nasdaq Capital Market or another nationally recognized exchange;</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The number and scope of product development programs we pursue;</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Difficulties or delays in commencement or completion, or the termination or suspension, of our current or planned clinical or preclinical studies;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Clinical trial outcomes and results of preclinical development;</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 xml:space="preserve">Failure to complete development of our product candidates or submit and obtain United States Food and Drug Administration, or FDA, or foreign regulatory authority approval for our product candidates on projected timelines or budgets, or at all;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The performance of third parties on which we rely to conduct nonclinical studies and clinical trials of our product candidates;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Inability to enter into and maintain arrangements with third parties, including outsourcing facilities, on commercially reasonable terms required to compound and distribute the compounded drugs that we seek to make available under Section 503B of the Federal Food, Drug, and Cosmetic Act, or FDCA;</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The removal of sildenafil citrate or any other bulk drug substance needed to compound the compounded drugs that we seek to make available under Section 503B of the FDCA from the FDA’s list of bulk drug substances that can be compounded under Section 503B of the FDCA;</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Inability to enter into and maintain arrangements with third-parties on commercially reasonable terms with respect to the consumer health products we seek to bring to market;</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The performance of third parties on which we will rely to bring to market, or assist us in bringing to market, compounded drugs and consumer health products;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The degree of market demand and acceptance that any compounded drug or consumer health product we bring to market achieves;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A change in regulatory requirements related to compounded drugs under Section 503B of the FDCA or consumer health products;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Our failure, or a failure of a strategic collaborator, to successfully commercialize our product candidates, if approved, or our failure to otherwise monetize our portfolio programs and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 xml:space="preserve">Termination by a collaborator of our respective out-license agreements for commercialization of XACIATO™ (clindamycin phosphate) vaginal gel 2%, or XACIATO, and Ovaprene®, or, in the case of Ovaprene, a decision by the collaborator not to make the license grant fully effective following its review of the results of the ongoing pivotal clinical trial of Ovaprene;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The timing and amount of future royalty, milestone or other payments to us, if any, under our out-license agreement for Ovaprene, and of upside-sharing milestone payments from XOMA under our traditional and synthetic royalty purchase agreements, if any;</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The performance of third parties on which we rely to commercialize, or assist us in commercializing, XACIATO and any future product;</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Difficulties with maintaining existing collaborations relating to the development and/or commercialization of our product candidates, or establishing new ones on a timely basis or on acceptable terms, or at all;</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The terms and conditions of any future strategic collaborations relating to our product candidates;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The degree of market acceptance that XACIATO and any future product achieves;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Coverage and reimbursement levels for XACIATO and any future product by government health care programs, private health insurance companies and other third-party payors;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Our loss of, or inability to attract, key personnel;</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 xml:space="preserve">A change in the FDA's prior determination that the Center for Devices and Radiological Health would lead the review of a premarket approval application for potential marketing approval of Ovaprene;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A change in regulatory requirements for our product candidates, including the development pathway pursuant to Section 505(b)(2) of the F</w:t>
      </w:r>
      <w:r>
        <w:rPr>
          <w:rFonts w:ascii="Times New Roman;sans-serif" w:hAnsi="Times New Roman;sans-serif"/>
          <w:b w:val="false"/>
          <w:i/>
          <w:color w:val="000000"/>
          <w:sz w:val="20"/>
        </w:rPr>
        <w:t>DCA</w:t>
      </w:r>
      <w:r>
        <w:rPr>
          <w:rFonts w:ascii="Arial;sans-serif" w:hAnsi="Arial;sans-serif"/>
          <w:b w:val="false"/>
          <w:i/>
          <w:color w:val="000000"/>
          <w:sz w:val="20"/>
        </w:rPr>
        <w:t>, or the FDA's 505(b)(2) pathway;</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Unfavorable differences between preliminary, interim or topline clinical study data reported by us and final study results;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Failure to select product candidates that capitalize on the most scientifically, clinically or commercially promising or profitable indications or therapeutic areas within women's health including due to our limited financial resources;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Loss or impairment of our in-licensed rights to develop and commercialize XACIATO and our product candidates;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The timing and amount of our payment and other obligations under our in-license and acquisition agreements for XACIATO and our product candidates;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Developments by our competitors that make XACIATO, or any potential product we develop, less competitive or obsolete;</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Unfavorable or unanticipated macroeconomic factors, geopolitical events or conflicts, public health emergencies, or natural disasters;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Weak interest in women's health relative to other healthcare sectors from the investment community or from pharmaceutical companies and other potential development and commercialization collaborators;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 xml:space="preserve">Cyber-attacks, security breaches or similar events compromising our technology systems and data, our financial resources and other assets, or the technology systems and data of third parties on which we rely;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Difficulty in introducing branded products in a market made up of generic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Inability to adequately protect or enforce our, or our licensor’s, intellectual property rights;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 xml:space="preserve">Lack of patent protection for the active ingredients in XACIATO and certain of our product candidates that expose them to competition from other formulations using the same active ingredients;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Higher risk of failure associated with product candidates in preclinical stages of development that may lead investors to assign them little to no value and make these assets difficult to fund;</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Dependence on grants and other financial awards from governmental entities and private foundations to advance the development of several of our product candidates;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Disputes or other developments concerning our intellectual property rights;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Actual and anticipated fluctuations in our quarterly or annual operating results or results that differ from investors' expectations for such results;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 xml:space="preserve">Price and volume fluctuations in the stock market, and in our stock in particular, which could cause investors to experience losses and subject us to securities class-action litigation;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Product liability claims or governmental investigations;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p>
      <w:pPr>
        <w:pStyle w:val="TextBody"/>
        <w:bidi w:val="0"/>
        <w:spacing w:lineRule="auto" w:line="288" w:before="60" w:after="180"/>
        <w:ind w:left="0" w:right="0" w:hanging="360"/>
        <w:jc w:val="both"/>
        <w:rPr/>
      </w:pPr>
      <w:r>
        <w:rPr>
          <w:color w:val="000000"/>
        </w:rPr>
        <w:t>•</w:t>
      </w:r>
      <w:r>
        <w:rPr>
          <w:rFonts w:ascii="Arial;sans-serif" w:hAnsi="Arial;sans-serif"/>
          <w:b w:val="false"/>
          <w:i/>
          <w:color w:val="000000"/>
          <w:sz w:val="20"/>
        </w:rPr>
        <w:t>Increased costs as a result of operating as a public company, and substantial time devoted by our management to compliance initiatives and corporate governance practices.</w:t>
      </w:r>
    </w:p>
    <w:p>
      <w:pPr>
        <w:pStyle w:val="TextBody"/>
        <w:bidi w:val="0"/>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062" w:type="dxa"/>
        <w:jc w:val="left"/>
        <w:tblInd w:w="0" w:type="dxa"/>
        <w:tblLayout w:type="fixed"/>
        <w:tblCellMar>
          <w:top w:w="28" w:type="dxa"/>
          <w:left w:w="28" w:type="dxa"/>
          <w:bottom w:w="28" w:type="dxa"/>
          <w:right w:w="28" w:type="dxa"/>
        </w:tblCellMar>
      </w:tblPr>
      <w:tblGrid>
        <w:gridCol w:w="619"/>
        <w:gridCol w:w="544"/>
        <w:gridCol w:w="544"/>
        <w:gridCol w:w="2605"/>
        <w:gridCol w:w="2605"/>
        <w:gridCol w:w="2619"/>
        <w:gridCol w:w="154"/>
        <w:gridCol w:w="154"/>
        <w:gridCol w:w="21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95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1ccd4dcc01a43a4be9f43e98514e077_13">
              <w:r>
                <w:rPr>
                  <w:rStyle w:val="InternetLink"/>
                  <w:rFonts w:ascii="Arial;sans-serif" w:hAnsi="Arial;sans-serif"/>
                  <w:b/>
                  <w:color w:val="0000FF"/>
                  <w:sz w:val="20"/>
                  <w:u w:val="single"/>
                </w:rPr>
                <w:t>PART I. FINANCIAL INFORMATION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cd4dcc01a43a4be9f43e98514e077_16">
              <w:r>
                <w:rPr>
                  <w:rStyle w:val="InternetLink"/>
                  <w:rFonts w:ascii="Arial;sans-serif" w:hAnsi="Arial;sans-serif"/>
                  <w:b w:val="false"/>
                  <w:color w:val="0000FF"/>
                  <w:sz w:val="20"/>
                  <w:u w:val="single"/>
                </w:rPr>
                <w:t>Condensed Consolidated Financial Statements (Unaudited)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cd4dcc01a43a4be9f43e98514e077_13">
              <w:r>
                <w:rPr>
                  <w:rStyle w:val="InternetLink"/>
                  <w:rFonts w:ascii="Arial;sans-serif" w:hAnsi="Arial;sans-serif"/>
                  <w:b w:val="false"/>
                  <w:color w:val="0000FF"/>
                  <w:sz w:val="20"/>
                  <w:u w:val="single"/>
                </w:rPr>
                <w:t>1</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cd4dcc01a43a4be9f43e98514e077_67">
              <w:r>
                <w:rPr>
                  <w:rStyle w:val="InternetLink"/>
                  <w:rFonts w:ascii="Arial;sans-serif" w:hAnsi="Arial;sans-serif"/>
                  <w:b w:val="false"/>
                  <w:color w:val="0000FF"/>
                  <w:sz w:val="20"/>
                  <w:u w:val="single"/>
                </w:rPr>
                <w:t>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cd4dcc01a43a4be9f43e98514e077_67">
              <w:r>
                <w:rPr>
                  <w:rStyle w:val="InternetLink"/>
                  <w:rFonts w:ascii="Arial;sans-serif" w:hAnsi="Arial;sans-serif"/>
                  <w:b w:val="false"/>
                  <w:color w:val="0000FF"/>
                  <w:sz w:val="20"/>
                  <w:u w:val="single"/>
                </w:rPr>
                <w:t>27</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cd4dcc01a43a4be9f43e98514e077_91">
              <w:r>
                <w:rPr>
                  <w:rStyle w:val="InternetLink"/>
                  <w:rFonts w:ascii="Arial;sans-serif" w:hAnsi="Arial;sans-serif"/>
                  <w:b w:val="false"/>
                  <w:color w:val="0000FF"/>
                  <w:sz w:val="20"/>
                  <w:u w:val="single"/>
                </w:rPr>
                <w:t>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cd4dcc01a43a4be9f43e98514e077_91">
              <w:r>
                <w:rPr>
                  <w:rStyle w:val="InternetLink"/>
                  <w:rFonts w:ascii="Arial;sans-serif" w:hAnsi="Arial;sans-serif"/>
                  <w:b w:val="false"/>
                  <w:color w:val="0000FF"/>
                  <w:sz w:val="20"/>
                  <w:u w:val="single"/>
                </w:rPr>
                <w:t>42</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cd4dcc01a43a4be9f43e98514e077_94">
              <w:r>
                <w:rPr>
                  <w:rStyle w:val="InternetLink"/>
                  <w:rFonts w:ascii="Arial;sans-serif" w:hAnsi="Arial;sans-serif"/>
                  <w:b w:val="false"/>
                  <w:color w:val="0000FF"/>
                  <w:sz w:val="20"/>
                  <w:u w:val="single"/>
                </w:rPr>
                <w:t>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cd4dcc01a43a4be9f43e98514e077_94">
              <w:r>
                <w:rPr>
                  <w:rStyle w:val="InternetLink"/>
                  <w:rFonts w:ascii="Arial;sans-serif" w:hAnsi="Arial;sans-serif"/>
                  <w:b w:val="false"/>
                  <w:color w:val="0000FF"/>
                  <w:sz w:val="20"/>
                  <w:u w:val="single"/>
                </w:rPr>
                <w:t>42</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1ccd4dcc01a43a4be9f43e98514e077_97">
              <w:r>
                <w:rPr>
                  <w:rStyle w:val="InternetLink"/>
                  <w:rFonts w:ascii="Arial;sans-serif" w:hAnsi="Arial;sans-serif"/>
                  <w:b/>
                  <w:color w:val="0000FF"/>
                  <w:sz w:val="20"/>
                  <w:u w:val="single"/>
                </w:rPr>
                <w:t>PART II. OTHER INFORMATION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cd4dcc01a43a4be9f43e98514e077_100">
              <w:r>
                <w:rPr>
                  <w:rStyle w:val="InternetLink"/>
                  <w:rFonts w:ascii="Arial;sans-serif" w:hAnsi="Arial;sans-serif"/>
                  <w:b w:val="false"/>
                  <w:color w:val="0000FF"/>
                  <w:sz w:val="20"/>
                  <w:u w:val="single"/>
                </w:rPr>
                <w:t>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cd4dcc01a43a4be9f43e98514e077_100">
              <w:r>
                <w:rPr>
                  <w:rStyle w:val="InternetLink"/>
                  <w:rFonts w:ascii="Arial;sans-serif" w:hAnsi="Arial;sans-serif"/>
                  <w:b w:val="false"/>
                  <w:color w:val="0000FF"/>
                  <w:sz w:val="20"/>
                  <w:u w:val="single"/>
                </w:rPr>
                <w:t>43</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cd4dcc01a43a4be9f43e98514e077_103">
              <w:r>
                <w:rPr>
                  <w:rStyle w:val="InternetLink"/>
                  <w:rFonts w:ascii="Arial;sans-serif" w:hAnsi="Arial;sans-serif"/>
                  <w:b w:val="false"/>
                  <w:color w:val="0000FF"/>
                  <w:sz w:val="20"/>
                  <w:u w:val="single"/>
                </w:rPr>
                <w:t>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cd4dcc01a43a4be9f43e98514e077_103">
              <w:r>
                <w:rPr>
                  <w:rStyle w:val="InternetLink"/>
                  <w:rFonts w:ascii="Arial;sans-serif" w:hAnsi="Arial;sans-serif"/>
                  <w:b w:val="false"/>
                  <w:color w:val="0000FF"/>
                  <w:sz w:val="20"/>
                  <w:u w:val="single"/>
                </w:rPr>
                <w:t>43</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cd4dcc01a43a4be9f43e98514e077_106">
              <w:r>
                <w:rPr>
                  <w:rStyle w:val="InternetLink"/>
                  <w:rFonts w:ascii="Arial;sans-serif" w:hAnsi="Arial;sans-serif"/>
                  <w:b w:val="false"/>
                  <w:color w:val="0000FF"/>
                  <w:sz w:val="20"/>
                  <w:u w:val="single"/>
                </w:rPr>
                <w:t>Unregistered Sales of Equity Securities and Use of Proceeds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cd4dcc01a43a4be9f43e98514e077_106">
              <w:r>
                <w:rPr>
                  <w:rStyle w:val="InternetLink"/>
                  <w:rFonts w:ascii="Arial;sans-serif" w:hAnsi="Arial;sans-serif"/>
                  <w:b w:val="false"/>
                  <w:color w:val="0000FF"/>
                  <w:sz w:val="20"/>
                  <w:u w:val="single"/>
                </w:rPr>
                <w:t>44</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cd4dcc01a43a4be9f43e98514e077_109">
              <w:r>
                <w:rPr>
                  <w:rStyle w:val="InternetLink"/>
                  <w:rFonts w:ascii="Arial;sans-serif" w:hAnsi="Arial;sans-serif"/>
                  <w:b w:val="false"/>
                  <w:color w:val="0000FF"/>
                  <w:sz w:val="20"/>
                  <w:u w:val="single"/>
                </w:rPr>
                <w:t>Defaults Upon Senior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cd4dcc01a43a4be9f43e98514e077_109">
              <w:r>
                <w:rPr>
                  <w:rStyle w:val="InternetLink"/>
                  <w:rFonts w:ascii="Arial;sans-serif" w:hAnsi="Arial;sans-serif"/>
                  <w:b w:val="false"/>
                  <w:color w:val="0000FF"/>
                  <w:sz w:val="20"/>
                  <w:u w:val="single"/>
                </w:rPr>
                <w:t>44</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cd4dcc01a43a4be9f43e98514e077_112">
              <w:r>
                <w:rPr>
                  <w:rStyle w:val="InternetLink"/>
                  <w:rFonts w:ascii="Arial;sans-serif" w:hAnsi="Arial;sans-serif"/>
                  <w:b w:val="false"/>
                  <w:color w:val="0000FF"/>
                  <w:sz w:val="20"/>
                  <w:u w:val="single"/>
                </w:rPr>
                <w:t>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cd4dcc01a43a4be9f43e98514e077_112">
              <w:r>
                <w:rPr>
                  <w:rStyle w:val="InternetLink"/>
                  <w:rFonts w:ascii="Arial;sans-serif" w:hAnsi="Arial;sans-serif"/>
                  <w:b w:val="false"/>
                  <w:color w:val="0000FF"/>
                  <w:sz w:val="20"/>
                  <w:u w:val="single"/>
                </w:rPr>
                <w:t>44</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cd4dcc01a43a4be9f43e98514e077_115">
              <w:r>
                <w:rPr>
                  <w:rStyle w:val="InternetLink"/>
                  <w:rFonts w:ascii="Arial;sans-serif" w:hAnsi="Arial;sans-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cd4dcc01a43a4be9f43e98514e077_115">
              <w:r>
                <w:rPr>
                  <w:rStyle w:val="InternetLink"/>
                  <w:rFonts w:ascii="Arial;sans-serif" w:hAnsi="Arial;sans-serif"/>
                  <w:b w:val="false"/>
                  <w:color w:val="0000FF"/>
                  <w:sz w:val="20"/>
                  <w:u w:val="single"/>
                </w:rPr>
                <w:t>44</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cd4dcc01a43a4be9f43e98514e077_118">
              <w:r>
                <w:rPr>
                  <w:rStyle w:val="InternetLink"/>
                  <w:rFonts w:ascii="Arial;sans-serif" w:hAnsi="Arial;sans-serif"/>
                  <w:b w:val="false"/>
                  <w:color w:val="0000FF"/>
                  <w:sz w:val="20"/>
                  <w:u w:val="single"/>
                </w:rPr>
                <w:t>Exhibits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cd4dcc01a43a4be9f43e98514e077_118">
              <w:r>
                <w:rPr>
                  <w:rStyle w:val="InternetLink"/>
                  <w:rFonts w:ascii="Arial;sans-serif" w:hAnsi="Arial;sans-serif"/>
                  <w:b w:val="false"/>
                  <w:color w:val="0000FF"/>
                  <w:sz w:val="20"/>
                  <w:u w:val="single"/>
                </w:rPr>
                <w:t>45</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ccd4dcc01a43a4be9f43e98514e077_121">
              <w:r>
                <w:rPr>
                  <w:rStyle w:val="InternetLink"/>
                  <w:rFonts w:ascii="Arial;sans-serif" w:hAnsi="Arial;sans-serif"/>
                  <w:b w:val="false"/>
                  <w:color w:val="0000FF"/>
                  <w:sz w:val="20"/>
                  <w:u w:val="single"/>
                </w:rPr>
                <w:t>SIGNATURES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ccd4dcc01a43a4be9f43e98514e077_121">
              <w:r>
                <w:rPr>
                  <w:rStyle w:val="InternetLink"/>
                  <w:rFonts w:ascii="Arial;sans-serif" w:hAnsi="Arial;sans-serif"/>
                  <w:b w:val="false"/>
                  <w:color w:val="0000FF"/>
                  <w:sz w:val="20"/>
                  <w:u w:val="singl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hanging="1260"/>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 Condensed Consolidated Financial Statements (Unaudited)</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698"/>
        <w:gridCol w:w="2143"/>
        <w:gridCol w:w="2098"/>
        <w:gridCol w:w="211"/>
        <w:gridCol w:w="1126"/>
        <w:gridCol w:w="109"/>
        <w:gridCol w:w="109"/>
        <w:gridCol w:w="109"/>
        <w:gridCol w:w="109"/>
        <w:gridCol w:w="211"/>
        <w:gridCol w:w="1126"/>
        <w:gridCol w:w="156"/>
      </w:tblGrid>
      <w:tr>
        <w:trPr/>
        <w:tc>
          <w:tcPr>
            <w:tcW w:w="269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10,329,967 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15,698,174 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2,519,707 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11,822,549 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18,447,863 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1,335,732 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 right-of-use asset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3,149,882 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18,618,941 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22,101,131 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Liabilities and stockholders’ deficit</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1,455,832 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3,042,918 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16,561,625 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liability related to the sale of future royalties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of lease liabilities, operating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of lease liability, finance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21,188,074 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21,609,013 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non-current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related to the sale of future royalties,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4,749,824 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Lease liabilities long-term, operating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754,383 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Lease liability long-term, finance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28,182,642 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28,113,220 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9)</w:t>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Stockholders' deficit</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$0.01 par value, 5,000,000 shares authorized; None issued and outstanding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240,000,000 shares authorized; 8,850,386 and 8,700,386 shares issued and outstanding at March 31, 2025 and December 31, 2024, respectively</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170,519,070 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169,705,480 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(428,809)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(179,667,937)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(175,289,630)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stockholders' deficit</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(9,563,701)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(6,012,089)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liabilities and stockholders' deficit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18,618,941 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22,101,131 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0"/>
        </w:rPr>
        <w:t>Daré Bioscience</w:t>
      </w:r>
      <w:r>
        <w:rPr>
          <w:rFonts w:ascii="Times New Roman;sans-serif" w:hAnsi="Times New Roman;sans-serif"/>
          <w:b w:val="false"/>
          <w:color w:val="000000"/>
          <w:sz w:val="20"/>
        </w:rPr>
        <w:t xml:space="preserve">, </w:t>
      </w:r>
      <w:r>
        <w:rPr>
          <w:rFonts w:ascii="Arial;sans-serif" w:hAnsi="Arial;sans-serif"/>
          <w:b/>
          <w:color w:val="000000"/>
          <w:sz w:val="20"/>
        </w:rPr>
        <w:t>Inc</w:t>
      </w:r>
      <w:r>
        <w:rPr>
          <w:rFonts w:ascii="Times New Roman;sans-serif" w:hAnsi="Times New Roman;sans-serif"/>
          <w:b w:val="false"/>
          <w:color w:val="000000"/>
          <w:sz w:val="2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Subsidiaries</w:t>
      </w:r>
    </w:p>
    <w:p>
      <w:pPr>
        <w:pStyle w:val="TextBody"/>
        <w:bidi w:val="0"/>
        <w:spacing w:lineRule="auto" w:line="288" w:before="0" w:after="0"/>
        <w:jc w:val="center"/>
        <w:rPr/>
      </w:pPr>
      <w:r>
        <w:rPr>
          <w:rFonts w:ascii="Arial;sans-serif" w:hAnsi="Arial;sans-serif"/>
          <w:b/>
          <w:color w:val="000000"/>
          <w:sz w:val="20"/>
        </w:rPr>
        <w:t>Condensed Consolidated</w:t>
      </w:r>
      <w:r>
        <w:rPr>
          <w:color w:val="000000"/>
        </w:rPr>
        <w:t xml:space="preserve"> </w:t>
      </w:r>
      <w:r>
        <w:rPr>
          <w:rFonts w:ascii="Arial;sans-serif" w:hAnsi="Arial;sans-serif"/>
          <w:b/>
          <w:color w:val="000000"/>
          <w:sz w:val="20"/>
        </w:rPr>
        <w:t>Statements</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Operations</w:t>
      </w:r>
      <w:r>
        <w:rPr>
          <w:color w:val="00000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Comprehensive Loss</w:t>
      </w:r>
    </w:p>
    <w:p>
      <w:pPr>
        <w:pStyle w:val="TextBody"/>
        <w:bidi w:val="0"/>
        <w:spacing w:lineRule="auto" w:line="288" w:before="0" w:after="0"/>
        <w:jc w:val="center"/>
        <w:rPr/>
      </w:pPr>
      <w:r>
        <w:rPr>
          <w:rFonts w:ascii="Times New Roman;sans-serif" w:hAnsi="Times New Roman;sans-serif"/>
          <w:b w:val="false"/>
          <w:color w:val="000000"/>
          <w:sz w:val="20"/>
        </w:rPr>
        <w:t>(</w:t>
      </w:r>
      <w:r>
        <w:rPr>
          <w:rFonts w:ascii="Arial;sans-serif" w:hAnsi="Arial;sans-serif"/>
          <w:b/>
          <w:color w:val="000000"/>
          <w:sz w:val="20"/>
        </w:rPr>
        <w:t>Unaudited</w:t>
      </w:r>
      <w:r>
        <w:rPr>
          <w:rFonts w:ascii="Times New Roman;sans-serif" w:hAnsi="Times New Roman;sans-serif"/>
          <w:b w:val="false"/>
          <w:color w:val="000000"/>
          <w:sz w:val="20"/>
        </w:rPr>
        <w:t>)</w:t>
      </w:r>
    </w:p>
    <w:tbl>
      <w:tblPr>
        <w:tblW w:w="7989" w:type="dxa"/>
        <w:jc w:val="left"/>
        <w:tblInd w:w="0" w:type="dxa"/>
        <w:tblLayout w:type="fixed"/>
        <w:tblCellMar>
          <w:top w:w="28" w:type="dxa"/>
          <w:left w:w="28" w:type="dxa"/>
          <w:bottom w:w="28" w:type="dxa"/>
          <w:right w:w="28" w:type="dxa"/>
        </w:tblCellMar>
      </w:tblPr>
      <w:tblGrid>
        <w:gridCol w:w="1587"/>
        <w:gridCol w:w="1392"/>
        <w:gridCol w:w="1400"/>
        <w:gridCol w:w="211"/>
        <w:gridCol w:w="1081"/>
        <w:gridCol w:w="109"/>
        <w:gridCol w:w="109"/>
        <w:gridCol w:w="109"/>
        <w:gridCol w:w="109"/>
        <w:gridCol w:w="211"/>
        <w:gridCol w:w="1081"/>
        <w:gridCol w:w="109"/>
        <w:gridCol w:w="109"/>
        <w:gridCol w:w="109"/>
        <w:gridCol w:w="109"/>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2,670,581 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3,353,520 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expense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6,031,775 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from operations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(4,581,118)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(6,022,473)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(6,755,356)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(4,365,217)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(6,794,583)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per common share -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outstanding:</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w:t>
            </w:r>
          </w:p>
        </w:tc>
        <w:tc>
          <w:tcPr>
            <w:tcW w:w="129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8,759,053 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8,376,189 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818" w:type="dxa"/>
        <w:jc w:val="center"/>
        <w:tblInd w:w="0" w:type="dxa"/>
        <w:tblLayout w:type="fixed"/>
        <w:tblCellMar>
          <w:top w:w="28" w:type="dxa"/>
          <w:left w:w="28" w:type="dxa"/>
          <w:bottom w:w="28" w:type="dxa"/>
          <w:right w:w="28" w:type="dxa"/>
        </w:tblCellMar>
      </w:tblPr>
      <w:tblGrid>
        <w:gridCol w:w="666"/>
        <w:gridCol w:w="334"/>
        <w:gridCol w:w="336"/>
        <w:gridCol w:w="510"/>
        <w:gridCol w:w="511"/>
        <w:gridCol w:w="216"/>
        <w:gridCol w:w="109"/>
        <w:gridCol w:w="109"/>
        <w:gridCol w:w="109"/>
        <w:gridCol w:w="211"/>
        <w:gridCol w:w="481"/>
        <w:gridCol w:w="109"/>
        <w:gridCol w:w="109"/>
        <w:gridCol w:w="109"/>
        <w:gridCol w:w="109"/>
        <w:gridCol w:w="211"/>
        <w:gridCol w:w="1231"/>
        <w:gridCol w:w="109"/>
        <w:gridCol w:w="109"/>
        <w:gridCol w:w="109"/>
        <w:gridCol w:w="109"/>
        <w:gridCol w:w="237"/>
        <w:gridCol w:w="961"/>
        <w:gridCol w:w="123"/>
        <w:gridCol w:w="109"/>
        <w:gridCol w:w="109"/>
        <w:gridCol w:w="109"/>
        <w:gridCol w:w="211"/>
        <w:gridCol w:w="1231"/>
        <w:gridCol w:w="109"/>
        <w:gridCol w:w="109"/>
        <w:gridCol w:w="109"/>
        <w:gridCol w:w="109"/>
        <w:gridCol w:w="211"/>
        <w:gridCol w:w="102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8"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2025</w:t>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deficit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Balance at December 31, 2024</w:t>
            </w:r>
          </w:p>
        </w:tc>
        <w:tc>
          <w:tcPr>
            <w:tcW w:w="10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8,700,386</w:t>
            </w: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169,705,480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(428,809)</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(175,289,630)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(6,012,089)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Balance at March 31, 2025</w:t>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8,850,386</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170,519,070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(415,719)</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(179,667,937)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(9,563,701)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200" w:after="283"/>
        <w:jc w:val="center"/>
        <w:rPr/>
      </w:pPr>
      <w:r>
        <w:rPr/>
      </w:r>
    </w:p>
    <w:tbl>
      <w:tblPr>
        <w:tblW w:w="10923" w:type="dxa"/>
        <w:jc w:val="center"/>
        <w:tblInd w:w="0" w:type="dxa"/>
        <w:tblLayout w:type="fixed"/>
        <w:tblCellMar>
          <w:top w:w="28" w:type="dxa"/>
          <w:left w:w="28" w:type="dxa"/>
          <w:bottom w:w="28" w:type="dxa"/>
          <w:right w:w="28" w:type="dxa"/>
        </w:tblCellMar>
      </w:tblPr>
      <w:tblGrid>
        <w:gridCol w:w="666"/>
        <w:gridCol w:w="334"/>
        <w:gridCol w:w="336"/>
        <w:gridCol w:w="510"/>
        <w:gridCol w:w="511"/>
        <w:gridCol w:w="216"/>
        <w:gridCol w:w="109"/>
        <w:gridCol w:w="109"/>
        <w:gridCol w:w="109"/>
        <w:gridCol w:w="211"/>
        <w:gridCol w:w="481"/>
        <w:gridCol w:w="109"/>
        <w:gridCol w:w="109"/>
        <w:gridCol w:w="109"/>
        <w:gridCol w:w="109"/>
        <w:gridCol w:w="211"/>
        <w:gridCol w:w="1231"/>
        <w:gridCol w:w="109"/>
        <w:gridCol w:w="109"/>
        <w:gridCol w:w="109"/>
        <w:gridCol w:w="109"/>
        <w:gridCol w:w="237"/>
        <w:gridCol w:w="961"/>
        <w:gridCol w:w="123"/>
        <w:gridCol w:w="109"/>
        <w:gridCol w:w="109"/>
        <w:gridCol w:w="109"/>
        <w:gridCol w:w="211"/>
        <w:gridCol w:w="1231"/>
        <w:gridCol w:w="109"/>
        <w:gridCol w:w="109"/>
        <w:gridCol w:w="109"/>
        <w:gridCol w:w="109"/>
        <w:gridCol w:w="211"/>
        <w:gridCol w:w="112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23"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2024</w:t>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deficit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Balance at December 31, 2023</w:t>
            </w:r>
          </w:p>
        </w:tc>
        <w:tc>
          <w:tcPr>
            <w:tcW w:w="10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8,331,161</w:t>
            </w: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166,548,454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(360,896)</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(171,236,031)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(5,047,640)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(6,755,356)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(6,755,356)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Balance at March 31, 2024</w:t>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8,381,825</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167,391,262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(400,123)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(177,991,387)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(10,999,410)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pPr>
      <w:r>
        <w:rPr>
          <w:rFonts w:ascii="Arial;sans-serif" w:hAnsi="Arial;sans-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478"/>
        <w:gridCol w:w="2086"/>
        <w:gridCol w:w="2099"/>
        <w:gridCol w:w="232"/>
        <w:gridCol w:w="1244"/>
        <w:gridCol w:w="120"/>
        <w:gridCol w:w="120"/>
        <w:gridCol w:w="120"/>
        <w:gridCol w:w="120"/>
        <w:gridCol w:w="232"/>
        <w:gridCol w:w="1180"/>
        <w:gridCol w:w="174"/>
      </w:tblGrid>
      <w:tr>
        <w:trPr/>
        <w:tc>
          <w:tcPr>
            <w:tcW w:w="2478"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(4,378,307)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(6,755,356)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financing cost amortization</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Right-of-use asset - operating lease</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disposal of property and equipment</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royalty revenue related to sale of future royalties</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(23,180)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interest expense</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Accounts receivable </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(67,644)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(368,817)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673,510 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1,304,190 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(152,204)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345,450 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(120,802)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(31,539)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654,958 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(1,084,031)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(1,318,149)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Royalties payable </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payable</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117,213 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(1,439,663)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(1,901,283)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(5,470,543)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(6,812,962)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5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(157,331)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(157,331)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(7,296)</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proceeds from issuance of common stock </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215,113 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666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liability on sale of future royalties</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note payable</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(187,221)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(200,391)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246,577 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Effect of exchange rate changes on cash and cash equivalents and restricted cash </w:t>
            </w:r>
          </w:p>
        </w:tc>
        <w:tc>
          <w:tcPr>
            <w:tcW w:w="1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(39,227)</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(5,368,207)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(6,845,453)</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15,998,174 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10,811,056 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10,629,967 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3,965,603 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cash, cash equivalents and restricted cash to amounts reported in the condensed consolidated balance sheets:</w:t>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10,329,967 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3,630,603 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other non-current assets</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cash, cash equivalents and restricted cash</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10,629,967 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3,965,603 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right-of-use assets obtained in exchange for new operating lease liabilities, net</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358,315 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right-of-use asset obtained in exchange for new finance lease liability</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2,841,027 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rent reclassified to finance lease right-of-use asset</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458,850 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 payment due included in accounts payable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458,850 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1.    ORGANIZATION AND DESCRIPTION OF BUSINESS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Daré Bioscience, Inc. is a biopharmaceutical company driven by a mission to challenge the status quo, making women's health a priority. Daré Bioscience, Inc. and its wholly-owned subsidiaries operate one segment. In this report, the “Company” refers collectively to Daré Bioscience, Inc. and its wholly-owned subsidiaries, unless otherwise stated or the context otherwise requires.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began assembling its diverse portfolio of assets in 2017 through acquisitions, exclusive in-licenses and other collaborations. The Company's programs target unmet needs in women's health, primarily in the areas of contraception, sexual health, pelvic pain, fertility, infectious disease, vaginal health and menopause, and aim to enhance outcomes and convenience.</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primary operations have consisted of, and are expected to continue to consist primarily of, research and development activities to advance its product candidates through clinical development and regulatory approval. In March 2025, the Company announced that it was expanding its business strategy to include Section 503B compounding as a dual-path approach to bring certain of its proprietary formulations to market as soon as practicable while it continues to pursue FDA approval of its product candidates. The Company uses the term "Section 503B compounding" to refer to the production and supply of compounded drugs by outsourcing facilities registered under Section 503B of the Federal Food, Drug, and Cosmetic Act, or FDCA, without patient-specific prescriptions in accordance with Section 503B of the FDCA.</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portfolio of product candidates includes drug and drug/device product candidates and potential product candidates in various stages of development.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first U.S. Food and Drug Administration (FDA)-approved product to emerge from the Company's portfolio is XACIATO™ (clindamycin phosphate) vaginal gel 2%, or XACIATO. In 2022, the Company licensed exclusive worldwide rights to develop, manufacture and commercialize XACIATO to an affiliate of Organon &amp; Co., Organon International GmbH, or Organon. Organon commenced U.S. marketing of XACIATO in the fourth quarter of 2023 and, in January 2024, Organon announced that XACIATO was available nationwide. In April 2024, the Company sold its rights to all royalty and potential milestone payments based on net sales of XACIATO under its agreement with Organon, net of its obligations to certain third parties, to XOMA (US) LLC, or XOMA, until XOMA receives a specified return on its investment, after which the Company will share equally in the royalty and milestone payments earned on net sales of XACIATO from Organon.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accompanying condensed consolidated financial statements have been prepared in accordance with generally accepted accounting principles in the United States, or U.S.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Company's Annual Report on Form 10-K for the year ended December 31, 2024, or the 2024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Going Concern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prepared its condensed consolidated financial statements on a going concern basis, which assumes that the Company will realize its assets and satisfy its liabilities in the normal course of business. The Company has a history of losses from operations, net losses and negative cash flows from operations, and expects significant losses from operations and negative cash flows from operations until such time that it generates revenue to cover its operating expenses that results in net income. Because the Company is in the early stages of executing against its expanded business strategy announced in March 2025 (see Note 1. Organization and Description of Business), it is not possible to predict when this will occur and there could be significant losses from operations and negative cash flows from operations for the next several years. These circumstances and those described below raise substantial doubt about the Company's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As of March 31, 2025, the Company had an accumulated deficit of approximately $179.7 million, unrestricted cash and cash equivalents of approximately $10.3 million, and a working capital deficit of approximately $9.4 million. The Company's unrestricted cash and cash equivalents at March 31, 2025 represented funds received under grant agreements that generally may be applied solely toward direct costs for carrying out the respective projects under those grant agreements. See Note 10, Grant Awards. For the three months ended March 31, 2025, the Company incurred a net loss of approximately $4.4 million and had negative cash flow from operations of approximately $5.5 million.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the Company's current operating plan estimates, the Company does not have sufficient cash to satisfy its working capital needs and other liquidity requirements over at least the next 12 months from the date of issuance of the accompanying condensed consolidated financial statements. The Company will need to raise substantial additional capital to continue to fund its operations and to successfully execute its current strategy. The Company is in ongoing discussions with potential third-party sources of additional capital, and the Company will continue to evaluate and may pursue a variety of capital raising options, including sales of equity, debt financings, government or other grant funding, collaborations, structured financings, and strategic alliances or other similar types of arrangements. However, the Company's ability to raise additional capital will depend on a variety of factors, many aspects of which are not entirely within its control, and there can be no assurance that capital will be available when needed or that, if available, it will be obtained on terms favorable to the Company and its stockholders. In addition, the delisting of the Company's common stock from Nasdaq could substantially impair its ability to raise capital.</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condensed consolidated financial statements, and stockholders may lose all or part of their investment in the Company's common stock. The Company's condensed consolidated financial statements do not include any adjustments that might result from the outcome of these uncertainties.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segments are defined as components of an enterprise about which discrete financial information is available for evaluation the Chief Operating Decision Maker, or CODM, or decision-making group in making decisions on how to allocate resources and assess performance. The Company's CODM is the Chief Executive Officer, or CEO. The CEO views the Company's operations and manages its business as one reportable and operating segment, Women's Health. See Note 12, "Segment Information," for additional information.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Reclassification of Prior Year Presentation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prior year amounts have been reclassified for consistency with the current year presentation. These reclassifications had no effect on the reported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Reverse Stock Split</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effected a 1-for-12 reverse split of its issued common stock on July 1, 2024. At the effective time of the reverse stock split, every 12 shares of the Company’s common stock was automatically reclassified and combined into one share of common stock. No fractional shares were issued as a result of the reverse stock split. Stockholders who would have otherwise been entitled to receive a fractional share instead automatically had their fractional interests rounded up to the next whole share. The reverse stock split did not change the number of authorized shares or the par value per share of the Company’s common stock.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All common stock share and per share data presented in the accompanying condensed consolidated financial statements have been retroactively adjusted to reflect the impact of the reverse stock split for all periods presented, without giving effect to whole shares issued in lieu of fractional shares. In addition, proportionate adjustments were made in accordance with the applicable terms of outstanding stock options and warrants, the Company’s stock incentive plans and an existing agreement to the (a) per share exercise prices of, and the number of shares underlying, the Company’s outstanding stock options, (b) number of shares available for the grant of awards under the Company’s stock incentive plans, and (c) per share exercise prices of, and the number of shares underlying, outstanding warrants to purchase shares of the Company’s common stock and warrants potentially issuable by the Company in its sole discretion pursuant to an existing agreement.</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significant accounting policies are described in Note 2 to the consolidated financial statements included in the 2024 10-K. Since the date on which the 2024 10-K was filed with the U.S. Securities and Exchange Commission, or the SEC, there have been no material changes to the Company’s significant accounting policies. Selected significant account policies are discussed in further detail below: </w:t>
      </w:r>
    </w:p>
    <w:p>
      <w:pPr>
        <w:pStyle w:val="TextBody"/>
        <w:bidi w:val="0"/>
        <w:spacing w:lineRule="auto" w:line="288" w:before="160" w:after="283"/>
        <w:ind w:left="0" w:right="0" w:firstLine="720"/>
        <w:jc w:val="both"/>
        <w:rPr>
          <w:rFonts w:ascii="Arial;sans-serif" w:hAnsi="Arial;sans-serif"/>
          <w:b/>
          <w:color w:val="000000"/>
          <w:sz w:val="20"/>
        </w:rPr>
      </w:pPr>
      <w:r>
        <w:rPr>
          <w:rFonts w:ascii="Arial;sans-serif" w:hAnsi="Arial;sans-serif"/>
          <w:b/>
          <w:color w:val="000000"/>
          <w:sz w:val="20"/>
        </w:rPr>
        <w:t>Cash, Cash Equivalents, and Restricted Cash</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considers cash and all highly liquid investments with an original maturity of three months or less to be cash and cash equivalents. The Company has an aggregate of approximately $0.3 million in restricted cash as of March 31, 2025, related to (i) letters of credit established under real property leases for the Company's wholly-owned subsidiary, Dare MB Inc., that serve as security for potential future default of lease payments, and (ii) collateralized cash for the Company's credit cards. The restricted cash is unavailable for withdrawal or for general obligations and is included in other non-current assets on the Company's condensed consolidated balance sheet. </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 liability related to the sale of future royalties, valuation of stock-based awards and the accrual of research and development expenses. Estimates are periodically reviewed in light of changes in circumstances, facts and experience. Actual results could differ from those estimates and could materially affect the reported amounts of assets, liabilities and future operating results.</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Fair Value of Financial Instruments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1: inputs are unadjusted quoted prices in active markets for identical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3: unobservable inputs that are supported by little or no market activity and that are significant to the fair value of the assets or liabilities.</w:t>
      </w:r>
    </w:p>
    <w:p>
      <w:pPr>
        <w:pStyle w:val="TextBody"/>
        <w:bidi w:val="0"/>
        <w:spacing w:lineRule="auto" w:line="288" w:before="200" w:after="283"/>
        <w:ind w:left="0" w:right="0" w:firstLine="720"/>
        <w:jc w:val="both"/>
        <w:rPr/>
      </w:pPr>
      <w:r>
        <w:rPr>
          <w:rFonts w:ascii="Arial;sans-serif" w:hAnsi="Arial;sans-serif"/>
          <w:b w:val="false"/>
          <w:color w:val="000000"/>
          <w:sz w:val="20"/>
        </w:rPr>
        <w:t>The</w:t>
      </w:r>
      <w:r>
        <w:rPr>
          <w:color w:val="191C1F"/>
        </w:rPr>
        <w:t xml:space="preserve"> </w:t>
      </w:r>
      <w:r>
        <w:rPr>
          <w:rFonts w:ascii="Arial;sans-serif" w:hAnsi="Arial;sans-serif"/>
          <w:b w:val="false"/>
          <w:color w:val="191C1F"/>
          <w:sz w:val="20"/>
        </w:rPr>
        <w:t>following tables present the classification within the fair value hierarchy of financial assets and liabilities that are remeasured on a recurring basis as of March 31, 2025 and December 31, 2024. There were no financial assets or liabilities that were remeasured using a quoted price in active markets for identical assets (Level 2) or using unobservable inputs (Level 3) as of March 31, 2025 or December 31, 2024.</w:t>
      </w:r>
    </w:p>
    <w:tbl>
      <w:tblPr>
        <w:tblW w:w="8250" w:type="dxa"/>
        <w:jc w:val="center"/>
        <w:tblInd w:w="0" w:type="dxa"/>
        <w:tblLayout w:type="fixed"/>
        <w:tblCellMar>
          <w:top w:w="28" w:type="dxa"/>
          <w:left w:w="28" w:type="dxa"/>
          <w:bottom w:w="28" w:type="dxa"/>
          <w:right w:w="28" w:type="dxa"/>
        </w:tblCellMar>
      </w:tblPr>
      <w:tblGrid>
        <w:gridCol w:w="1044"/>
        <w:gridCol w:w="917"/>
        <w:gridCol w:w="919"/>
        <w:gridCol w:w="211"/>
        <w:gridCol w:w="1126"/>
        <w:gridCol w:w="109"/>
        <w:gridCol w:w="109"/>
        <w:gridCol w:w="109"/>
        <w:gridCol w:w="109"/>
        <w:gridCol w:w="211"/>
        <w:gridCol w:w="406"/>
        <w:gridCol w:w="109"/>
        <w:gridCol w:w="109"/>
        <w:gridCol w:w="109"/>
        <w:gridCol w:w="109"/>
        <w:gridCol w:w="211"/>
        <w:gridCol w:w="406"/>
        <w:gridCol w:w="109"/>
        <w:gridCol w:w="109"/>
        <w:gridCol w:w="109"/>
        <w:gridCol w:w="109"/>
        <w:gridCol w:w="211"/>
        <w:gridCol w:w="1126"/>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March 31, 2025</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9,945,546 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2024</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15,283,784 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15,283,784 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24"/>
            <w:tcBorders/>
            <w:tcMar>
              <w:top w:w="0" w:type="dxa"/>
              <w:left w:w="0" w:type="dxa"/>
              <w:bottom w:w="0" w:type="dxa"/>
              <w:right w:w="0" w:type="dxa"/>
            </w:tcMar>
            <w:vAlign w:val="center"/>
          </w:tcPr>
          <w:p>
            <w:pPr>
              <w:pStyle w:val="TableContents"/>
              <w:bidi w:val="0"/>
              <w:spacing w:lineRule="auto" w:line="276" w:before="240" w:after="283"/>
              <w:jc w:val="left"/>
              <w:rPr/>
            </w:pPr>
            <w:r>
              <w:rPr>
                <w:rFonts w:ascii="Arial;sans-serif" w:hAnsi="Arial;sans-serif"/>
                <w:b w:val="false"/>
                <w:color w:val="000000"/>
                <w:sz w:val="13"/>
              </w:rPr>
              <w:t xml:space="preserve">(1) </w:t>
            </w:r>
            <w:r>
              <w:rPr>
                <w:rFonts w:ascii="Arial;sans-serif" w:hAnsi="Arial;sans-serif"/>
                <w:b w:val="false"/>
                <w:color w:val="000000"/>
                <w:sz w:val="18"/>
              </w:rPr>
              <w:t>Represents cash held in money market funds.</w:t>
            </w:r>
          </w:p>
        </w:tc>
      </w:tr>
    </w:tbl>
    <w:p>
      <w:pPr>
        <w:pStyle w:val="TextBody"/>
        <w:bidi w:val="0"/>
        <w:spacing w:lineRule="auto" w:line="276" w:before="160" w:after="283"/>
        <w:ind w:left="0" w:right="0" w:firstLine="720"/>
        <w:jc w:val="both"/>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76"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November 2024, the FASB issued ASU 2024-03, Disaggregation of Income Statement Expenses. ASU 2024-03 requires new financial statement disclosures in tabular format, disaggregating information about prescribed categories underlying any relevant income statement expense captions. Additionally, in January 2025, the FASB issued ASU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 is assessing the guidance, noting the adoption impacts disclosure only.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2023, the FASB issued ASU 2023-09, Income Taxes (Topic 740): Improvements to Income Tax Disclosures,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is effective for annual periods beginning January 1, 2025 and will be applied on a prospective basis with the option to apply the standard retrospectively. The Company is evaluating the disclosure impact of ASU 2023-09 on its consolidated financial statements.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does not believe other recently issued but not yet effective accounting standards, if currently adopted, would have a material effect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900"/>
        <w:jc w:val="both"/>
        <w:rPr>
          <w:rFonts w:ascii="Arial;sans-serif" w:hAnsi="Arial;sans-serif"/>
          <w:b/>
          <w:color w:val="000000"/>
          <w:sz w:val="20"/>
        </w:rPr>
      </w:pPr>
      <w:r>
        <w:rPr>
          <w:rFonts w:ascii="Arial;sans-serif" w:hAnsi="Arial;sans-serif"/>
          <w:b/>
          <w:color w:val="000000"/>
          <w:sz w:val="20"/>
        </w:rPr>
        <w:t>3.     STRATEGIC AGREEMENTS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Strategic Agreements for Product Commercialization</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Organon Exclusive License Agreement</w:t>
      </w:r>
    </w:p>
    <w:p>
      <w:pPr>
        <w:pStyle w:val="TextBody"/>
        <w:bidi w:val="0"/>
        <w:spacing w:lineRule="auto" w:line="288" w:before="200" w:after="200"/>
        <w:ind w:left="0" w:right="0" w:firstLine="720"/>
        <w:jc w:val="both"/>
        <w:rPr/>
      </w:pPr>
      <w:r>
        <w:rPr>
          <w:rFonts w:ascii="Arial;sans-serif" w:hAnsi="Arial;sans-serif"/>
          <w:b w:val="false"/>
          <w:color w:val="000000"/>
          <w:sz w:val="20"/>
        </w:rPr>
        <w:t xml:space="preserve">In March 2022, the Company entered into an exclusive license agreement with Organon which became effective in June 2022, whereby Organon licensed exclusive worldwide rights to develop, manufacture and commercialize XACIATO and other future intravaginal or urological products for human use formulated with clindamycin that rely on intellectual property controlled by the Company. As of </w:t>
      </w:r>
      <w:r>
        <w:rPr>
          <w:rFonts w:ascii="Arial;sans-serif" w:hAnsi="Arial;sans-serif"/>
          <w:b w:val="false"/>
          <w:color w:val="191C1F"/>
          <w:sz w:val="20"/>
        </w:rPr>
        <w:t>March 31, 2025</w:t>
      </w:r>
      <w:r>
        <w:rPr>
          <w:rFonts w:ascii="Arial;sans-serif" w:hAnsi="Arial;sans-serif"/>
          <w:b w:val="false"/>
          <w:color w:val="000000"/>
          <w:sz w:val="20"/>
        </w:rPr>
        <w:t xml:space="preserve">, the Company has received a total of $12.8 million in non-refundable payments, all of which have been recorded as license fee revenue in historical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as amended, the Company is entitled to receive tiered double-digit royalties based on net sales and up to $180.0 million in tiered commercial sales milestones and regulatory milestones. Royalty payments will be subject to customary reductions and offsets.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At the inception of the license agreement, the Company concluded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As a result of a $1.0 million payment in connection with the license agreement amendment and a $1.8 million milestone payment, both of which occurred in 2023, the transaction price was $12.8 million as of March 31, 2025.</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Refer to Note 8, Royalty Purchase Agreements, regarding the Company's sale to XOMA of all the Company's right, title and interest in and to, from and after April 1, 2024, all net royalty and potential net milestone payments from Organon based on net sales of XACIATO.</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was responsible for regulatory interactions and for providing product supply on an interim basis until Organon assumed such responsibilities, which occurred in December 2023. Prior to that time, Organon purchased all of its product requirements of XACIATO from the Company at a transfer price equal to the Company's manufacturing costs plus a single-digit percentage markup.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Unless terminated earlier, the agreement will expire on a product-by-product and country-by-country basis upon expiration of the applicable royalty period for each licensed product. In addition to customary termination rights for both parties, Organon may terminate the agreement in its entirety or on a country-by-country basis at any time in Organon's sole discretion on 120 days' advance written notice.</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Bayer HealthCare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January 2020, the Company entered into a license agreement with Bayer, regarding the further development and commercialization of Ovaprene in the U.S. The Company received a $1.0 million upfront non-refundable license fee payment from Bayer and Bayer agreed to support the Company in development and regulatory activities by providing the equivalent of two experts to advise the Company in clinical, regulatory, preclinical, commercial, CMC and product supply matters. The Company is responsible for the pivotal trial for Ovaprene and for its development and regulatory activities and has product supply obligations. Bayer, in its sole discretion, has the right to make the license effective by paying the Company an additional $20.0 million, referred to as the $20.0 million fee. After payment of the $20.0 million fee, Bayer will be responsible for the commercialization of Ovaprene for human contraception in the U.S. Such license would be exclusive as to the commercialization of Ovaprene for human contraception in the U.S. and co-exclusive with the Company with regard to development.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concluded there was one significant performance obligation related to the $1.0 million upfront payment: a distinct license to commercialize Ovaprene effective upon the receipt of the $20.0 million fee. The $1.0 million upfront payment will be recorded as license revenue at the earlier of (i) the point in time the Company receives the $20.0 million fee, the license is transferred to Bayer and Bayer is able to use and benefit from the license and (ii) the termination of the agreement. As of March 31, 2025, neither of the foregoing had occurred. The $1.0 million payment is recorded as long-term deferred license revenue in the Company's condensed consolidated balance sheets at March 31, 2025 and December 31, 2024.</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Bayer elects to make the license effective, the Company will be entitled to receive (a) a milestone payment in the low double-digit millions upon 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Refer to Note 8, Royalty Purchase Agreements, regarding XOMA's rights to a portion of potential future payments from Bayer under the Company's license agreement with Bayer.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initial term of the agreement, which is subject to automatic renewal terms, continues until the later of the expiration of any valid claim covering the manufacture, use, sale or import of Ovaprene in the U.S. or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Strategic Agreements for Pipeline Development</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Theramex Co-Development and Licensing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2025, the Company entered into a co-development and licensing agreement with Theramex for a potential first-in-category biodegradable contraceptive implant called Casea S recently acquired by Theramex. Under the agreement, the Company received a royalty-free, exclusive, fully paid up, sublicensable license to the U.S. patents Theramex recently acquired for Casea S, in exchange for 50% of the purchase price Theramex paid for Casea S. The license fee paid by the Company during the three months ended March 31, 2025 was recorded as research and development expense. Given that the product is in an ongoing Phase 1 study that is funded by a grant, there are no development costs for the Company or Theramex at this time. If the Company determines that the results from the study are positive, it would be responsible for conducting a Phase II study in the U.S., and funding for such study and for a future Phase III study in the U.S. will be shared by the Company and Theramex on terms to be agreed upon by the parties, taking into account the size of the opportunity for Casea S in the respective markets.</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Douglas License Agreement / The University of Manchester Stand-by Direct License Arrangement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August 2023, the Company entered into a license agreement with Douglas Pharmaceuticals Limited, or Douglas, under which the Company acquired the exclusive rights to develop and commercialize a lopinavir and ritonavir combination soft gel vaginal insert for the treatment of cervical intraepithelial neoplasia and other HPV-related pathologies, and an agreement with The University of Manchester, pursuant to which The University of Manchester consented to Douglas' sublicense to the Company of certain rights it previously granted to Douglas and agreed to grant the Company a direct license to such rights if its license agreement with Douglas is terminated. Under the Company's agreement with Douglas, it received an exclusive, royalty-bearing license to research, develop and commercialize the licensed intellectual property in the United States for the treatment or prevention of all indications for women in female reproductive health. As a result of this license, the Company commenced its DARE-HPV program. The Company is entitled to sublicense the rights granted to it under the agreement. </w:t>
      </w:r>
    </w:p>
    <w:p>
      <w:pPr>
        <w:pStyle w:val="TextBody"/>
        <w:bidi w:val="0"/>
        <w:spacing w:lineRule="auto" w:line="288" w:before="200" w:after="283"/>
        <w:ind w:left="0" w:right="0" w:firstLine="720"/>
        <w:jc w:val="both"/>
        <w:rPr/>
      </w:pPr>
      <w:r>
        <w:rPr>
          <w:rFonts w:ascii="Arial;sans-serif" w:hAnsi="Arial;sans-serif"/>
          <w:b w:val="false"/>
          <w:color w:val="000000"/>
          <w:sz w:val="20"/>
        </w:rPr>
        <w:t>Under the terms of the Douglas agreement, the Company agreed to make potential future payments of up to $5.25 million in the aggregate upon achievement of certain development and regulatory milestones, and of up to $64.0 million in the aggregate upon achievement of certain commercial sales milestones for each product covered by the licenses granted under the agreement. The development and regulatory milestones may be paid in shares of the Company’s common stock, in the Company's sole discretion subject to specified limitations. Additionally, Douglas is eligible to receive tiered royalties in low single-digit to low double-digit percentages based on annual net sales of products and processes covered by the licenses granted under the agreement.</w:t>
      </w:r>
      <w:r>
        <w:rPr>
          <w:color w:val="000000"/>
        </w:rPr>
        <w:t xml:space="preserve"> </w:t>
      </w:r>
      <w:r>
        <w:rPr>
          <w:rFonts w:ascii="Arial;sans-serif" w:hAnsi="Arial;sans-serif"/>
          <w:b w:val="false"/>
          <w:color w:val="000000"/>
          <w:sz w:val="20"/>
        </w:rPr>
        <w:t>As of March 31, 2025, no payments had been made under the Douglas agreement.</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Hennepin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As a result of this license, the Company commenced its DARE-GML program. Under the agreement, the Company received an exclusive, worldwide, royalty-bearing license to research, develop and commercialize the licensed technology. The Company is entitled to sublicense the rights granted to it under the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pPr>
      <w:r>
        <w:rPr>
          <w:rFonts w:ascii="Arial;sans-serif" w:hAnsi="Arial;sans-serif"/>
          <w:b w:val="false"/>
          <w:color w:val="000000"/>
          <w:sz w:val="20"/>
        </w:rPr>
        <w:t>Under the terms of the license agreement, the Company agreed to make potential future payments of up to $6.25 million in the aggregate upon achievement of certain development and regulatory milestones, and up to $45.0 million in the aggregate upon achievement of certain commercial sales milestones for each product covered by the licenses granted under the agreement, which may be paid, in the Company’s sole discretion, in cash or shares of the Company’s common stock.</w:t>
      </w:r>
      <w:r>
        <w:rPr>
          <w:color w:val="000000"/>
        </w:rPr>
        <w:t xml:space="preserve"> </w:t>
      </w:r>
      <w:r>
        <w:rPr>
          <w:rFonts w:ascii="Arial;sans-serif" w:hAnsi="Arial;sans-serif"/>
          <w:b w:val="false"/>
          <w:color w:val="000000"/>
          <w:sz w:val="20"/>
        </w:rPr>
        <w:t>Additionally, Hennepin is eligible to receive tiered royalties in low single-digit to low double-digit percentages based on worldwide net sales of products and processes covered by the licenses granted under the agreement.</w:t>
      </w:r>
      <w:r>
        <w:rPr>
          <w:color w:val="000000"/>
        </w:rPr>
        <w:t xml:space="preserve"> </w:t>
      </w:r>
      <w:r>
        <w:rPr>
          <w:rFonts w:ascii="Arial;sans-serif" w:hAnsi="Arial;sans-serif"/>
          <w:b w:val="false"/>
          <w:color w:val="000000"/>
          <w:sz w:val="20"/>
        </w:rPr>
        <w:t>As of March 31, 2025, no payments have been made under this agreement.</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MBI Acquisition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November 2019, the Company acquired Dare MB Inc., or MBI, to secure the rights to develop a long-acting reversible contraception method, that a woman can turn on or off herself, according to her own needs. This candidate is now known as DARE-LARC1.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June 2021, a total of $1.25 million of the contingent consideration became payable upon the achievement of certain of the funding and product development milestone events. In accordance with the terms of the merger agreement, the Company’s board of directors elected to pay a portion of these milestone payments in shares of the Company’s common stock, and in September 2021, the Company issued approximately 58,334 shares of its common stock to former stockholders of MBI and paid $75,000 in cash to the stockholders’ representative in satisfaction of the $1.25 million in milestone payments associated with milestones achieved in June 2021. As of March 31, 2025, no additional payments have been made under this agreement.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TriLogic and MilanaPharm License Agreement / Hammock Assignment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March 2022, the Company entered into a Consent, Waiver and Stand-By License Agreement with TriLogic, MilanaPharm and Organon, which further amended the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the Company paid clinical and regulatory development milestones of $300,000 in the aggregate to MilanaPharm, the final payment of which was made in 2021, and $500,000 in connection with the first commercial sale in the United States of XACIATO in the fourth quarter of 2023. Additionally, the Company may pay up to $250,000 upon the first commercial sale in the United States of successive licensed products for each vaginal or urological use.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 in the aggregate upon achievement of certain clinical and regulatory development milestones, $850,000 of which had been paid as of March 31, 2025.</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Pear Tree Acquisition</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merger agreement, the Company agreed to pay the former stockholders of Pear Tree: (a) up to $15.5 million in the aggregate upon achievement of certain clinical development and regulatory milestones by licensed products, and (b) up to $47.0 million in the aggregate upon achievement of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The Company agreed to pay licensors of Pear Tree (a) up to approximately $3.2 million in the aggregate upon achievement of certain clinical development, regulatory and commercial milestones by each licensed product, and (b) semi-annual royalties based on a single-digit percentage of net sales of licensed products by the Company or 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common stock in accordance with the terms of the license agreements. Portions of certain milestone payments made to Pear Tree's licensors may be creditable against royalty payments due to Pear Tree's licensors. As of March 31, 2025, no payments have been made under this agreement.</w:t>
      </w:r>
    </w:p>
    <w:p>
      <w:pPr>
        <w:pStyle w:val="TextBody"/>
        <w:bidi w:val="0"/>
        <w:spacing w:lineRule="auto" w:line="288" w:before="240" w:after="200"/>
        <w:ind w:left="0" w:right="0" w:firstLine="720"/>
        <w:jc w:val="left"/>
        <w:rPr>
          <w:rFonts w:ascii="Arial;sans-serif" w:hAnsi="Arial;sans-serif"/>
          <w:b/>
          <w:color w:val="000000"/>
          <w:sz w:val="20"/>
        </w:rPr>
      </w:pPr>
      <w:r>
        <w:rPr>
          <w:rFonts w:ascii="Arial;sans-serif" w:hAnsi="Arial;sans-serif"/>
          <w:b/>
          <w:color w:val="000000"/>
          <w:sz w:val="20"/>
        </w:rPr>
        <w:t>Catalent JNP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2018, the Company entered into an exclusive license agreement with Catalent JNP, Inc., or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As a result of this license agreement, the Company commenced its DARE-HRT1, DARE-FRT1 and DARE-PTB1 programs. The Company is entitled to sublicense the rights granted to it under this agreement.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$1.0 million of which had been paid as of March 31, 2025;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Adare Development and Option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2018, the Company entered into an exclusive development and option agreement with Adare Pharmaceuticals USA, Inc., or Adare, for the development and potential exclusive worldwide license of injectable formulations of etonogestrel for contraceptive protection over 6-month and 12-month periods (which the Company 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SST License and Collaboration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and/or female sexual interest/arousal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SST will be eligible to receive payments of up to $18.0 million in the aggregate upon achievement of certain clinical and regulatory milestones in the U.S. and worldwide, and up to $100.0 million in the aggregate upon achievement of certain commercial sales milestones. If the Company enters into strategic development or distribution partnerships related to the Licensed Products, additional milestone payments would be due to SST. Additionally, SST is eligible to receive tiered royalties based on percentages of annual net sales of licensed products in the single-digit to mid double-digits subject to customary royalty reductions and offsets, and a percentage of sublicense revenue. As of December 31, 2024, $1.0 million became due under this agreement and was subsequently paid in February 2025.</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 xml:space="preserve">ADVA-Tec License Agreement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2017, the Company entered into a license agreement with ADVA-Tec, Inc., or ADVA-Tec, under which the Company was granted the exclusive right to develop and commercialize Ovaprene for human contraceptive use worldwide.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the Company will pay ADVA-Tec (a) up to $14.6 million in the aggregate based on the achievement of specified development and regulatory milestones, $1.2 million of which has been paid; and (b) up to $20.0 million in the aggregate based on the achievement of certain worldwide net sales milestones.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the Company sublicenses its rights under the agreement, in lieu of royalty payments to ADVA-Tec, ADVA-Tec is eligible to receive a double-digit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 As of March 31, 2025, only the $1.2 million in aggregate milestone payments noted above have been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4.    STOCKHOLDERS’ EQUITY</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Equity Line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On October 21, 2024, the Company entered into a purchase agreement and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shares of the Company’s common stock. Sales of such shares by the Company, if any, are subject to certain limitations, and may occur from time to time, at the Company’s sole discretion, over the 24-month period commencing on November 27, 2024, which is referred to as the "Commencement Date."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after the Commencement Date, at the Company’s sole discretion, on any business day selected by the Company on which the closing sale price of the Company’s common stock is not below $0.50 per share, the Company may direct Lincoln Park to purchase up to 30,000 shares of the Company’s common stock (or up to 35,000 and 40,000 shares if the closing sale price of the Company’s common stock on the day on which the Company initiates a purchase is not below $5.00 or $7.50, respectively, subject to customary adjustments for stock splits and similar transactions) at a purchase price equal to the lower of (i) the lowest sale price of the Company’s common stock on the business day on which the Company initiates the purchase and (ii) the average of the three lowest closing sale prices of the Company’s common stock during the 10-business day period immediately preceding the business day on which the Company initiates the purchase. However, Lincoln Park’s maximum commitment in any single purchase may not exceed $500,000. In addition, the Company may also direct Lincoln Park to purchase other amounts of common stock as accelerated purchases and as additional accelerated purchases, subject to limits specified in the purchase agreement, at a purchase price per share calculated as specified in the purchase agreement, but in no case lower than the minimum price per share the Company stipulates in its notice to Lincoln Park initiating these purchases.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under applicable Nasdaq rules, the Company may not issue or sell to Lincoln Park under the purchase agreement more than 1,711,172 shares of the Company’s common stock, which is referred to as the Exchange Cap, unless (i) the Company obtains stockholder approval to issue shares in excess of the Exchange Cap or (ii) the average price of all applicable sales of the Company’s common stock to Lincoln Park under the purchase agreement equals or exceeds $3.59 per share (which represents the lower of (A) the official closing price per share of the Company’s common stock on Nasdaq immediately preceding the signing of the purchase agreement and (B) the average official closing price of the Company’s common stock on Nasdaq for the five consecutive trading days ending on the trading day immediately preceding the date of the purchase agreement). The Company may also not sell shares to Lincoln Park under the purchase agreement if it would result in Lincoln Park beneficially owning more than 4.99% of the Company’s then outstanding shares of common stock, which limitation is referred to as the beneficial ownership cap. Lincoln Park, upon written notice to the Company, may increase the beneficial ownership cap to up to 9.99%. Any increase in the beneficial ownership cap will not be effective until the 61st day after such written notice is delivered to the Company.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entering into the purchase agreement, the Company issued 137,614 shares of its common stock to Lincoln Park in consideration for its commitment to purchase shares thereunder. During the three months ended March 31, 2025, the Company sold 150,000 shares of common stock under this agreement for net proceeds of approximately $0.4 million.</w:t>
      </w:r>
    </w:p>
    <w:p>
      <w:pPr>
        <w:pStyle w:val="TextBody"/>
        <w:bidi w:val="0"/>
        <w:spacing w:lineRule="auto" w:line="276" w:before="200" w:after="283"/>
        <w:jc w:val="both"/>
        <w:rPr>
          <w:rFonts w:ascii="Arial;sans-serif" w:hAnsi="Arial;sans-serif"/>
          <w:b/>
          <w:i/>
          <w:color w:val="000000"/>
          <w:sz w:val="20"/>
        </w:rPr>
      </w:pPr>
      <w:r>
        <w:rPr>
          <w:rFonts w:ascii="Arial;sans-serif" w:hAnsi="Arial;sans-serif"/>
          <w:b/>
          <w:i/>
          <w:color w:val="000000"/>
          <w:sz w:val="20"/>
        </w:rPr>
        <w:t>March 2023 ATM Sales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March 2023, the Company entered into a sales agreement with Stifel, Nicolaus &amp; Company, Incorporated, or Stifel, and Cantor Fitzgerald &amp; Co., or Cantor, to sell shares of its common stock from time to time through an "at-the-market," or ATM, equity offering program under which Stifel and Cantor act as the Company's agent. The Company agreed to pay a commission equal to 3% of the gross proceeds of any common stock sold under the agreement or such lower amount as the Company and Stifel and Cantor agree, plus certain legal expenses. In April 2024, the Company and Cantor mutually agreed to terminate the sales agreement with respect to Cantor. During the three months ended March 31, 2025 and 2024, the Company sold 0 and 50,664 shares of common stock under this agreement,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Common Stock Warrants</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 xml:space="preserve">December 2023 Warrant </w:t>
      </w:r>
    </w:p>
    <w:p>
      <w:pPr>
        <w:pStyle w:val="TextBody"/>
        <w:bidi w:val="0"/>
        <w:spacing w:lineRule="auto" w:line="288" w:before="120" w:after="283"/>
        <w:ind w:left="0" w:right="0" w:firstLine="720"/>
        <w:jc w:val="both"/>
        <w:rPr/>
      </w:pPr>
      <w:r>
        <w:rPr>
          <w:rFonts w:ascii="Arial;sans-serif" w:hAnsi="Arial;sans-serif"/>
          <w:b w:val="false"/>
          <w:color w:val="000000"/>
          <w:sz w:val="20"/>
        </w:rPr>
        <w:t>In connection with the royalty interest financing agreement the Company entered into in December 2023 (see Note 7), the Company issued a warrant to purchase up to an aggregate of 422,805 shares of the Company's common stock. The warrant has a term of five years from the date of issuance and an exercise price of $4.10 per share, subject to customary adjustment for stock splits and similar transactions. The holder (together with its affiliates) may not exercise any portion of the warrant to the extent that the holder would own more than 4.99% (or, at the election of the holder 9.99%) of the Company's outstanding common stock immediately after exercise. The warrant includes certain rights in favor of the holder upon a “fundamental transaction” as described in the warrant, including the right of the holder to receive from the Company or the successor entity the number of shares of common stock of the Company or the successor entity that would have been issuable upon exercise of the warrant immediately prior to such transaction and any additional consideration receivable as a result of such transaction by the Company's stockholders, without regard to any limitation on the exercise of the warrant.</w:t>
      </w:r>
      <w:r>
        <w:rPr>
          <w:color w:val="000000"/>
        </w:rPr>
        <w:t xml:space="preserve"> </w:t>
      </w:r>
      <w:r>
        <w:rPr>
          <w:rFonts w:ascii="Arial;sans-serif" w:hAnsi="Arial;sans-serif"/>
          <w:b w:val="false"/>
          <w:color w:val="000000"/>
          <w:sz w:val="20"/>
        </w:rPr>
        <w:t>The warrant may be exercised for cash, or if at the time of exercise there is no effective registration statement registering for resale the shares underlying the warrant, then in lieu of paying the exercise price in cash, the holder may elect to exercise on a cashless basis. The warrant was deemed to be an equity classified warrant and recorded as additional paid in capital. As of March 31, 2025, no portion of the warrant had been exercised.</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September 2023 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a registered direct offering completed in September 2023, the Company issued warrants to purchase up to an aggregate of 845,225 shares of the Company's common stock. The warrants became exercisable on March 1, 2024, expire March 1, 2029 and have an exercise price of $9.11 per share, subject to customary adjustment for stock splits and similar transactions. A holder (together with its affiliates) may not exercise any portion of a warrant to the extent that the holder would own more than 4.99% (or, at the election of the holder 9.99%) of the Company's outstanding common stock immediately after exercise. The warrants include certain rights in favor of the holders upon a “fundamental transaction” as described in the warrants, including the right of the holders to receive from the Company or the successor entity an amount of cash equal to the Black-Scholes value (as described in the warrants) of the unexercised portion of the warrants on the date of the consummation of such fundamental transaction. As of March 31, 2025, none of the warrants have been exercised.</w:t>
      </w:r>
    </w:p>
    <w:p>
      <w:pPr>
        <w:pStyle w:val="TextBody"/>
        <w:bidi w:val="0"/>
        <w:spacing w:lineRule="auto" w:line="288" w:before="120" w:after="120"/>
        <w:ind w:left="0" w:right="0" w:firstLine="720"/>
        <w:jc w:val="both"/>
        <w:rPr>
          <w:rFonts w:ascii="Arial;sans-serif" w:hAnsi="Arial;sans-serif"/>
          <w:b/>
          <w:color w:val="000000"/>
          <w:sz w:val="20"/>
        </w:rPr>
      </w:pPr>
      <w:r>
        <w:rPr>
          <w:rFonts w:ascii="Arial;sans-serif" w:hAnsi="Arial;sans-serif"/>
          <w:b/>
          <w:color w:val="000000"/>
          <w:sz w:val="20"/>
        </w:rPr>
        <w:t>Summary of Warrant Activity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 summary of warrant activity during the three months ended March 31, 2025 is presented below:</w:t>
      </w:r>
    </w:p>
    <w:tbl>
      <w:tblPr>
        <w:tblW w:w="10205" w:type="dxa"/>
        <w:jc w:val="center"/>
        <w:tblInd w:w="0" w:type="dxa"/>
        <w:tblLayout w:type="fixed"/>
        <w:tblCellMar>
          <w:top w:w="28" w:type="dxa"/>
          <w:left w:w="28" w:type="dxa"/>
          <w:bottom w:w="28" w:type="dxa"/>
          <w:right w:w="28" w:type="dxa"/>
        </w:tblCellMar>
      </w:tblPr>
      <w:tblGrid>
        <w:gridCol w:w="904"/>
        <w:gridCol w:w="793"/>
        <w:gridCol w:w="797"/>
        <w:gridCol w:w="848"/>
        <w:gridCol w:w="632"/>
        <w:gridCol w:w="633"/>
        <w:gridCol w:w="109"/>
        <w:gridCol w:w="109"/>
        <w:gridCol w:w="109"/>
        <w:gridCol w:w="396"/>
        <w:gridCol w:w="1017"/>
        <w:gridCol w:w="204"/>
        <w:gridCol w:w="109"/>
        <w:gridCol w:w="109"/>
        <w:gridCol w:w="109"/>
        <w:gridCol w:w="666"/>
        <w:gridCol w:w="666"/>
        <w:gridCol w:w="668"/>
        <w:gridCol w:w="109"/>
        <w:gridCol w:w="109"/>
        <w:gridCol w:w="109"/>
        <w:gridCol w:w="271"/>
        <w:gridCol w:w="523"/>
        <w:gridCol w:w="206"/>
      </w:tblGrid>
      <w:tr>
        <w:trPr/>
        <w:tc>
          <w:tcPr>
            <w:tcW w:w="90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r>
      <w:tr>
        <w:trPr/>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Underlying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Intrinsic Value</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Outstanding December 31, 2024, </w:t>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expired</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Outstanding and exercisable March 31, 2025, </w:t>
            </w:r>
          </w:p>
        </w:tc>
        <w:tc>
          <w:tcPr>
            <w:tcW w:w="1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5.    STOCK-BASED COMPENSATION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2014 Employee Stock Purchase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2014 Employee Stock Purchase Plan, or the ESPP, became effective in April 2014, but no offering period has been initiated thereunder since January 2017. In June 2024, the Company's board of directors suspended the ESPP. There was no stock-based compensation related to the ESPP for the three months ended March 31, 2025 or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Amended and Restated 2014 Stock Incentive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Amended and Restated 2014 Stock Incentive Plan, or the Amended 2014 Plan, provided for the grant of stock-based awards to employees, directors, consultants and advisors. As a result of the approval of the 2022 Plan (as defined below) by the Company's stockholders on June 23, 2022, no further awards have been or will be granted under the Amended 2014 Plan since June 23, 2022. Outstanding awards previously granted under the Amended 2014 Plan continue to remain outstanding in accordance with their terms.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2022 Stock Incentive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2022, the Company's board of directors approved the Daré Bioscience, Inc. 2022 Stock Incentive Plan, or the 2022 Plan, which was subsequently approved by the Company's stockholders on June 23, 2022, and became effective as of that date. The 2022 Plan provides for the grant of stock-based incentive awards to employees, directors, consultants, and advisors.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As of March 31, 2025, the number of shares of common stock authorized for issuance under the 2022 Plan was 1,349,085, which is the sum of:</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(a)230,075 shares available for awards that may be granted under the 2022 Plan, plus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(b)725,443 shares underlying awards granted under the 2022 Plan, plus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(c)393,567 shares underlying awards granted under the Amended 2014 Plan, which if they expire, terminate or are otherwise forfeited will become available for issuance under the 2022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Options granted are exercisable at various dates as determined upon grant and will expire no more than ten years from their date of grant. Stock options generally vest over a four-year term. The exercise price of each option is determined by the Company's board of directors or its compensation committee based on the estimated fair value of the Company's stock on the date of grant.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Summary of Stock Option Activity</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table below summarizes stock option activity under the Company's stock incentive plans and related information for the three months ended March 31, 2025. The exercise price of all options granted during the three months ended March 31, 2025 was equal to the market value of the Company’s common stock on the date of grant. As of March 31, 2025, unamortized stock-based compensation expense of approximately $2.5 million will be amortized over a weighted average period of 1.27 years. The number of shares of common stock available for future awards granted under the 2022 Plan as of March 31, 2025 was 230,075.</w:t>
      </w:r>
    </w:p>
    <w:tbl>
      <w:tblPr>
        <w:tblW w:w="6693" w:type="dxa"/>
        <w:jc w:val="center"/>
        <w:tblInd w:w="0" w:type="dxa"/>
        <w:tblLayout w:type="fixed"/>
        <w:tblCellMar>
          <w:top w:w="28" w:type="dxa"/>
          <w:left w:w="28" w:type="dxa"/>
          <w:bottom w:w="28" w:type="dxa"/>
          <w:right w:w="28" w:type="dxa"/>
        </w:tblCellMar>
      </w:tblPr>
      <w:tblGrid>
        <w:gridCol w:w="1140"/>
        <w:gridCol w:w="1003"/>
        <w:gridCol w:w="1006"/>
        <w:gridCol w:w="607"/>
        <w:gridCol w:w="509"/>
        <w:gridCol w:w="511"/>
        <w:gridCol w:w="109"/>
        <w:gridCol w:w="109"/>
        <w:gridCol w:w="109"/>
        <w:gridCol w:w="332"/>
        <w:gridCol w:w="1016"/>
        <w:gridCol w:w="242"/>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Exercise Price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2024</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883,334 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293,550 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Cancelled/forfeited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(57,109)</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2025</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1,119,010 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March 31, 2025</w:t>
            </w:r>
          </w:p>
        </w:tc>
        <w:tc>
          <w:tcPr>
            <w:tcW w:w="11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579,484 </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544" w:type="dxa"/>
            <w:gridSpan w:val="9"/>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weighted average grant-date fair value of stock options granted during the three months ended March 31, 2025 and 2024 was $2.51 and $4.19, respectively.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Compensation Expense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Total stock-based compensation expense related to stock options granted to employees and directors recognized in the condensed consolidated statements of operations and comprehensive loss is as follows:</w:t>
      </w:r>
    </w:p>
    <w:tbl>
      <w:tblPr>
        <w:tblW w:w="5650" w:type="dxa"/>
        <w:jc w:val="center"/>
        <w:tblInd w:w="0" w:type="dxa"/>
        <w:tblLayout w:type="fixed"/>
        <w:tblCellMar>
          <w:top w:w="28" w:type="dxa"/>
          <w:left w:w="28" w:type="dxa"/>
          <w:bottom w:w="28" w:type="dxa"/>
          <w:right w:w="28" w:type="dxa"/>
        </w:tblCellMar>
      </w:tblPr>
      <w:tblGrid>
        <w:gridCol w:w="902"/>
        <w:gridCol w:w="793"/>
        <w:gridCol w:w="795"/>
        <w:gridCol w:w="211"/>
        <w:gridCol w:w="856"/>
        <w:gridCol w:w="109"/>
        <w:gridCol w:w="109"/>
        <w:gridCol w:w="109"/>
        <w:gridCol w:w="109"/>
        <w:gridCol w:w="211"/>
        <w:gridCol w:w="856"/>
        <w:gridCol w:w="109"/>
        <w:gridCol w:w="109"/>
        <w:gridCol w:w="109"/>
        <w:gridCol w:w="109"/>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ind w:left="0" w:right="0" w:hanging="900"/>
        <w:jc w:val="both"/>
        <w:rPr>
          <w:rFonts w:ascii="Arial;sans-serif" w:hAnsi="Arial;sans-serif"/>
          <w:b/>
          <w:color w:val="000000"/>
          <w:sz w:val="20"/>
        </w:rPr>
      </w:pPr>
      <w:r>
        <w:rPr>
          <w:rFonts w:ascii="Arial;sans-serif" w:hAnsi="Arial;sans-serif"/>
          <w:b/>
          <w:color w:val="000000"/>
          <w:sz w:val="20"/>
        </w:rPr>
        <w:t>6.     LEASED PROPERTIES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Finance Lease - Clean Room Space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24, 2024, the Company entered into a scope of work (the "SOW") with an unrelated third party for a controlled clean room space in Burlington, Massachusetts. The SOW became effective upon the execution of an associated License and Services Agreement (the "LSA") which governs the SOW. On February 25, 2025, the parties entered into a termination agreement related to the original LSA and SOW and concurrently entered into a revised LSA and revised SOW, collectively, the Clean Room Agreement, primarily to clarify the location of the clean room subject to the arrangement. The term of the Clean Room Agreement is 22 months and commenced on March 1, 2025. Fixed payments are due at the beginning of each calendar quarter and variable amounts related to support services are due monthly based on services provided during the preceding month. Upon execution of the SOW, the Company made a prepayment of approximately $459,000. The Clean Room Agreement may be renewed each year and if renewed, the fixed payment amount may increase yearly by up to 5%.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determined that the Clean Room Agreement is a finance lease. On the commencement date, the Company recorded an initial finance lease right-of-use asset and related lease liability of approximately $3.3 million and $2.8 million, respectively. Included in the $3.3 million finance right-of-use asset is the $459,000 prepayment which was reclassified to the finance lease right-of-use asset on the commencement date. The lease does not provide an implicit rate and therefore the Company used its incremental borrowing rate as the discount rate when measuring the finance lease liability. The incremental borrowing rate represents an estimate of the interest rate the Company would incur at lease commencement to borrow an amount equal to the lease payments on a collateralized basis over the term of the lease within a particular currency environment. The Company used an incremental borrowing rate consisting of the current prime rate plus 200 basis points for its finance lease. </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Operating Leases - General Office Space</w:t>
      </w:r>
    </w:p>
    <w:p>
      <w:pPr>
        <w:pStyle w:val="TextBody"/>
        <w:bidi w:val="0"/>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lease for its corporate headquarters (3,169 square feet of office space) commenced on July 1, 2018. In February 2022, the Company entered into an amendment to extend the term of the lease through August 31, 2024. On March 8, 2024, the Company entered into another amendment to extend the term of the lease for three years such that the term now expires on October 31, 2027, and which resulted in additional operating lease liabilities and ROU assets of approximately $0.4 million in March 2024.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MBI, a wholly-owned subsidiary the Company acquired in November 2019, leases general office and laboratory space in Lexington, Massachusetts. The lease commenced on November 1, 2023 for a term of three years, expiring on December 31, 2026.</w:t>
      </w:r>
    </w:p>
    <w:p>
      <w:pPr>
        <w:pStyle w:val="TextBody"/>
        <w:bidi w:val="0"/>
        <w:spacing w:lineRule="auto" w:line="288" w:before="120" w:after="283"/>
        <w:ind w:left="0" w:right="0" w:firstLine="720"/>
        <w:jc w:val="both"/>
        <w:rPr/>
      </w:pPr>
      <w:r>
        <w:rPr>
          <w:rFonts w:ascii="Arial;sans-serif" w:hAnsi="Arial;sans-serif"/>
          <w:b w:val="false"/>
          <w:color w:val="000000"/>
          <w:sz w:val="20"/>
        </w:rPr>
        <w:t>Under</w:t>
      </w:r>
      <w:r>
        <w:rPr>
          <w:color w:val="191C1F"/>
        </w:rPr>
        <w:t xml:space="preserve"> </w:t>
      </w:r>
      <w:r>
        <w:rPr>
          <w:rFonts w:ascii="Arial;sans-serif" w:hAnsi="Arial;sans-serif"/>
          <w:b w:val="false"/>
          <w:color w:val="191C1F"/>
          <w:sz w:val="20"/>
        </w:rPr>
        <w:t xml:space="preserve">the terms of each lease, the lessee pays base annual rent (subject to an annual fixed percentage increase), plus property taxes, and other normal and necessary expenses, such as utilities, repairs, and maintenance. </w:t>
      </w:r>
      <w:r>
        <w:rPr>
          <w:rFonts w:ascii="Arial;sans-serif" w:hAnsi="Arial;sans-serif"/>
          <w:b w:val="false"/>
          <w:color w:val="000000"/>
          <w:sz w:val="20"/>
        </w:rPr>
        <w:t xml:space="preserve">The Company evaluates renewal options at 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The depreciable lives of operating leases and leasehold improvements are limited by the expected lease term.</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Aggregate Lease Information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components of lease cost recorded in our condensed consolidated statements of operations were as follows: </w:t>
      </w:r>
    </w:p>
    <w:tbl>
      <w:tblPr>
        <w:tblW w:w="7015" w:type="dxa"/>
        <w:jc w:val="center"/>
        <w:tblInd w:w="0" w:type="dxa"/>
        <w:tblLayout w:type="fixed"/>
        <w:tblCellMar>
          <w:top w:w="28" w:type="dxa"/>
          <w:left w:w="28" w:type="dxa"/>
          <w:bottom w:w="28" w:type="dxa"/>
          <w:right w:w="28" w:type="dxa"/>
        </w:tblCellMar>
      </w:tblPr>
      <w:tblGrid>
        <w:gridCol w:w="1059"/>
        <w:gridCol w:w="931"/>
        <w:gridCol w:w="934"/>
        <w:gridCol w:w="333"/>
        <w:gridCol w:w="1354"/>
        <w:gridCol w:w="172"/>
        <w:gridCol w:w="109"/>
        <w:gridCol w:w="109"/>
        <w:gridCol w:w="109"/>
        <w:gridCol w:w="329"/>
        <w:gridCol w:w="1336"/>
        <w:gridCol w:w="240"/>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 2024</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cost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197,000 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 cost</w:t>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finance lease</w:t>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on finance lease liability</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lease cost</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366,000 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Maturities of our finance and operating lease liabilities as of March 31, 2025 were as follows:</w:t>
      </w:r>
    </w:p>
    <w:tbl>
      <w:tblPr>
        <w:tblW w:w="8667" w:type="dxa"/>
        <w:jc w:val="center"/>
        <w:tblInd w:w="0" w:type="dxa"/>
        <w:tblLayout w:type="fixed"/>
        <w:tblCellMar>
          <w:top w:w="28" w:type="dxa"/>
          <w:left w:w="28" w:type="dxa"/>
          <w:bottom w:w="28" w:type="dxa"/>
          <w:right w:w="28" w:type="dxa"/>
        </w:tblCellMar>
      </w:tblPr>
      <w:tblGrid>
        <w:gridCol w:w="1133"/>
        <w:gridCol w:w="995"/>
        <w:gridCol w:w="1007"/>
        <w:gridCol w:w="109"/>
        <w:gridCol w:w="109"/>
        <w:gridCol w:w="109"/>
        <w:gridCol w:w="271"/>
        <w:gridCol w:w="1314"/>
        <w:gridCol w:w="140"/>
        <w:gridCol w:w="109"/>
        <w:gridCol w:w="109"/>
        <w:gridCol w:w="109"/>
        <w:gridCol w:w="226"/>
        <w:gridCol w:w="1097"/>
        <w:gridCol w:w="117"/>
        <w:gridCol w:w="109"/>
        <w:gridCol w:w="109"/>
        <w:gridCol w:w="109"/>
        <w:gridCol w:w="211"/>
        <w:gridCol w:w="1021"/>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2025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495,000 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1,305,000 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2,579,000 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3,884,000 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amount representing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(133,000)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1,172,000 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2,401,000 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3,573,000 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weighted-average remaining lease terms and discount rates related to our leases were as follows:</w:t>
      </w:r>
    </w:p>
    <w:tbl>
      <w:tblPr>
        <w:tblW w:w="6847" w:type="dxa"/>
        <w:jc w:val="center"/>
        <w:tblInd w:w="0" w:type="dxa"/>
        <w:tblLayout w:type="fixed"/>
        <w:tblCellMar>
          <w:top w:w="28" w:type="dxa"/>
          <w:left w:w="28" w:type="dxa"/>
          <w:bottom w:w="28" w:type="dxa"/>
          <w:right w:w="28" w:type="dxa"/>
        </w:tblCellMar>
      </w:tblPr>
      <w:tblGrid>
        <w:gridCol w:w="1603"/>
        <w:gridCol w:w="1408"/>
        <w:gridCol w:w="1413"/>
        <w:gridCol w:w="109"/>
        <w:gridCol w:w="109"/>
        <w:gridCol w:w="109"/>
        <w:gridCol w:w="270"/>
        <w:gridCol w:w="271"/>
        <w:gridCol w:w="307"/>
        <w:gridCol w:w="117"/>
        <w:gridCol w:w="117"/>
        <w:gridCol w:w="117"/>
        <w:gridCol w:w="270"/>
        <w:gridCol w:w="271"/>
        <w:gridCol w:w="356"/>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As of March 31,</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Supplemental cash flow information related to our leases was as follows:</w:t>
      </w:r>
    </w:p>
    <w:tbl>
      <w:tblPr>
        <w:tblW w:w="9324" w:type="dxa"/>
        <w:jc w:val="center"/>
        <w:tblInd w:w="0" w:type="dxa"/>
        <w:tblLayout w:type="fixed"/>
        <w:tblCellMar>
          <w:top w:w="28" w:type="dxa"/>
          <w:left w:w="28" w:type="dxa"/>
          <w:bottom w:w="28" w:type="dxa"/>
          <w:right w:w="28" w:type="dxa"/>
        </w:tblCellMar>
      </w:tblPr>
      <w:tblGrid>
        <w:gridCol w:w="2249"/>
        <w:gridCol w:w="1978"/>
        <w:gridCol w:w="1983"/>
        <w:gridCol w:w="109"/>
        <w:gridCol w:w="109"/>
        <w:gridCol w:w="109"/>
        <w:gridCol w:w="216"/>
        <w:gridCol w:w="877"/>
        <w:gridCol w:w="111"/>
        <w:gridCol w:w="111"/>
        <w:gridCol w:w="111"/>
        <w:gridCol w:w="111"/>
        <w:gridCol w:w="216"/>
        <w:gridCol w:w="877"/>
        <w:gridCol w:w="157"/>
      </w:tblGrid>
      <w:tr>
        <w:trPr/>
        <w:tc>
          <w:tcPr>
            <w:tcW w:w="2249"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cash flows from 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7.    ROYALTY INTEREST FINANCING</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December 21, 2023, the Company entered into a royalty interest financing agreement, or the Royalty Interest Agreement, with United in Endeavour, LLC, or UiE, under which UiE acquired a portion of the Company's royalty interest in XACIATO. The Company received $5.0 million from UiE when the parties entered into the Royalty Interest Agreement (the "Initial Investment"), and between January 1, 2024 and December 31, 2026, the Company may, in its sole discretion, but subject to XOMA's prior written consent (see Note 8, Royalty Purchase Agreements), elect to receive three additional payments (each a "Supplemental Investment") from UiE of up to an aggregate of $7.0 million, for a total of up to $12.0 million.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Royalty Interest Agreement, the Company agreed to make the following payments to UiE, until such time when UiE has received aggregate payments equaling a 12% internal rate of return (the “IRR”) on the Initial Investment and each Supplemental Investment, if any (the "Hard Cap"): (i) from December 21, 2023 through December 31, 2025, 50% of the amount of royalty payments remaining after all amounts that are due and payable and actually paid by the Company to any licensor or sublicensee on the royalty payments generated and received by the Company on net sales of XACIATO by Organon have been deducted (the “Net Royalty Payments”), (ii) from January 1, 2026 through December 31, 2029, 75% of the Net Royalty Payments, and (iii) from December 21, 2023 through December 31, 2029, 10% of the amount of milestone payments remaining after all amounts that are due and payable and actually paid by the Company to any licensor or sublicensee on the milestone payments generated and received by the Company on net sales of XACIATO by Organon have been deducted. After December 31, 2029, the Company will be required to make certain additional payments to UiE to the extent UiE has not received payments equaling the Hard Cap by December 31, 2029, December 31, 2033, and December 31, 2034, respectively. In addition, if UiE has not received payments equaling the Hard Cap by December 31, 2035 and the Company has other sources of assets or income besides XACIATO sufficient to complete such payments, the Company has agreed to pay UiE quarterly payments evenly divided over a two-year term, such that UiE will have obtained the IRR, taking into account all other payments received by UiE from the Company under the Royalty Interest Agreement. UiE’s right to receive payments will terminate when UiE has received payments in an amount equal to the Hard Cap.</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evaluated the terms of the Royalty Interest Agreement and concluded that the features of the Royalty Interest Agreement were similar to those of a debt instrument. As a result, the Company applied the debt recognition guidance under ASC 470, Debt, and recorded the Initial Investment as a liability related to the sale of future royalties (“Royalty Obligation”) which will be amortized under the effective interest method over the estimated term of the Royalty Interest Agreement. If the Company elects to receive additional Supplemental Investments, such additional Supplemental Investments will also be recorded as a liability related to the sale of future royalties when they are received and amortized under the interest method over the estimated remaining term of the Royalty Interest Agreement. In addition, in accordance with ASC 470, Debt, the Company will account for any royalties received in the future as non-cash royalty revenue in the consolidated statements of operations as a reduction to the debt balance.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royalties and milestone payments are received by or on behalf of the Company from Organon and the Company subsequently pays or causes to be paid the amounts due to UiE in respect thereof in accordance with the Royalty Interest Agreement, the Royalty Obligation will be effectively repaid during the term of the Royalty Interest Agreement. In order to determine the amortization of the Royalty Obligation, the Company is required to estimate the total amount of future payments to UiE during the term of the Royalty Interest Agreement. </w:t>
      </w:r>
    </w:p>
    <w:p>
      <w:pPr>
        <w:pStyle w:val="TextBody"/>
        <w:bidi w:val="0"/>
        <w:spacing w:lineRule="auto" w:line="288" w:before="120" w:after="283"/>
        <w:ind w:left="0" w:right="0" w:firstLine="720"/>
        <w:jc w:val="both"/>
        <w:rPr/>
      </w:pPr>
      <w:r>
        <w:rPr>
          <w:rFonts w:ascii="Arial;sans-serif" w:hAnsi="Arial;sans-serif"/>
          <w:b w:val="false"/>
          <w:color w:val="000000"/>
          <w:sz w:val="20"/>
        </w:rPr>
        <w:t>At execution of the Royalty Interest Agreement, the Company’s estimate of this total interest expense resulted in an effective annual interest rate of approximately 22.48%. This estimate contains significant assumptions that impact both the amount recorded at execution and the interest expense that will be recognized over the royalty period. The Company will periodically assess the estimated amounts due and payable to UiE and to the extent the amount</w:t>
      </w:r>
      <w:r>
        <w:rPr>
          <w:color w:val="000000"/>
        </w:rPr>
        <w:t xml:space="preserve"> </w:t>
      </w:r>
      <w:r>
        <w:rPr>
          <w:rFonts w:ascii="Arial;sans-serif" w:hAnsi="Arial;sans-serif"/>
          <w:b w:val="false"/>
          <w:color w:val="000000"/>
          <w:sz w:val="20"/>
        </w:rPr>
        <w:t xml:space="preserve">or timing of such payments is materially different than the original estimates, an adjustment will be recorded prospectively to increase or decrease interest expense. There are a number of factors that could materially affect XACIATO's commercial success, and therefore the amount and timing of the Company's payments to UiE, and correspondingly, the amount of interest expense recorded by the Company, most of which are not within the Company’s control. Such factors include, but are not limited to, the capabilities of Organon and its commitment of sufficient resources to market, distribute and sell the product; timely and adequate commercial supply of the finished product and its components; perceived superiority of its cure rates compared to other available treatments; patient satisfaction and willingness to use it again and refer it to others; price pressure given the high level of generic treatments and changes in health care laws and regulations; adequate coverage, pricing and reimbursement from third-party payors; and approval of new entrants, including alternative, non-antibiotic treatment options. These factors could result in increases or decreases to both royalty revenues and interest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rFonts w:ascii="Arial;sans-serif" w:hAnsi="Arial;sans-serif"/>
          <w:b/>
          <w:i/>
          <w:color w:val="000000"/>
          <w:sz w:val="20"/>
        </w:rPr>
      </w:pPr>
      <w:r>
        <w:rPr>
          <w:rFonts w:ascii="Arial;sans-serif" w:hAnsi="Arial;sans-serif"/>
          <w:b/>
          <w:i/>
          <w:color w:val="000000"/>
          <w:sz w:val="20"/>
        </w:rPr>
        <w:t>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entering into the Royalty Interest Agreement, the Company issued to UiE a warrant (the “Initial Royalty Warrant”) to purchase up to 422,805 shares of the Company’s common stock (see Note 4). In addition, for every $1,000,000 of Supplemental Investment, the Company will issue to UiE a warrant to purchase 84,561 shares of common stock, for an aggregate of warrants to purchase up to 591,927 shares of common stock (collectively the “Additional Royalty Warrants,” and together with the Initial Royalty Warrant, the “Royalty Interest Agreement 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Royalty Interest Agreement Warrants were deemed to be equity classified warrants and recorded as additional paid in capital. The fair value of the Initial Royalty Warrant was determined to be $0.8 million (Note 8) and was recorded as a debt discount against the Initial Investment.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the activity of the Royalty Obligation since the transaction inception through the period indicated:</w:t>
      </w:r>
    </w:p>
    <w:tbl>
      <w:tblPr>
        <w:tblW w:w="9457" w:type="dxa"/>
        <w:jc w:val="center"/>
        <w:tblInd w:w="0" w:type="dxa"/>
        <w:tblLayout w:type="fixed"/>
        <w:tblCellMar>
          <w:top w:w="28" w:type="dxa"/>
          <w:left w:w="28" w:type="dxa"/>
          <w:bottom w:w="28" w:type="dxa"/>
          <w:right w:w="28" w:type="dxa"/>
        </w:tblCellMar>
      </w:tblPr>
      <w:tblGrid>
        <w:gridCol w:w="2892"/>
        <w:gridCol w:w="2542"/>
        <w:gridCol w:w="2560"/>
        <w:gridCol w:w="211"/>
        <w:gridCol w:w="1021"/>
        <w:gridCol w:w="231"/>
      </w:tblGrid>
      <w:tr>
        <w:trPr/>
        <w:tc>
          <w:tcPr>
            <w:tcW w:w="289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7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Upfront payment from the sale of future royalties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5,000,000 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Debt issuance cost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(276,101)</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Relative fair value of Initial Royalty Warrant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(834,512)</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Royalty payments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(4,639)</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Non-cash interest expense and interest payable associated with the sale of future royalties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948,497 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Liability related to the sale of future royalties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4,833,245 </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8.    ROYALTY PURCHASE AGREEMENTS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On April 29, 2024, the Company entered into a traditional royalty purchase agreement (the "XACIATO RPA"), and a synthetic royalty purchase agreement, (the "Synthetic RPA and together with the XACIATO RPA, the “Royalty Purchase Agreements”) with XOMA pursuant to which XOMA paid $22.0 million to the Company. In addition, if XOMA receives total payments under the Royalty Purchase Agreements (as described below) equal to an amount that exceeds $88.0 million, XOMA will pay $11.0 million to the Company for each successive $22.0 million XOMA receives under the Royalty Purchase Agreements (such $11.0 million payments to the Company, the “Contingent Purchase Price Payments”).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Royalty Purchase Agreements, the Company sold, assigned, transferred and conveyed its right, title and interest in and to the following to XOMA:</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 100% of the royalties and potential milestone payments the Company would otherwise have the right to receive from and after April 1, 2024 under the Company's exclusive license agreement with Organon, based on net sales of XACIATO, net of (i) all royalty and milestone payments due and payable and actually paid by or on behalf of the Company under its exclusive license agreement with third-party licensors TriLogic and MilanaPharm, and (ii) all payments due and payable and actually paid by or on behalf of the Company under the Royalty Interest Agreement between the Company and UiE (such net amount, the “Purchased Receivables”);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(b) 25% of the potential future $20.0 million payment that the Company would otherwise have the right to receive under the Company's license agreement with Bayer, if Bayer, in its sole discretion, elects to make the license granted thereunder effective following completion of the pivotal clinical trial of Ovaprene; and</w:t>
      </w:r>
    </w:p>
    <w:p>
      <w:pPr>
        <w:pStyle w:val="TextBody"/>
        <w:bidi w:val="0"/>
        <w:spacing w:lineRule="auto" w:line="288" w:before="0" w:after="200"/>
        <w:ind w:left="0" w:right="0" w:firstLine="720"/>
        <w:jc w:val="both"/>
        <w:rPr/>
      </w:pPr>
      <w:r>
        <w:rPr>
          <w:rFonts w:ascii="Arial;sans-serif" w:hAnsi="Arial;sans-serif"/>
          <w:b w:val="false"/>
          <w:color w:val="000000"/>
          <w:sz w:val="20"/>
        </w:rPr>
        <w:t xml:space="preserve">(c) a synthetic royalty of 4.0% of the Company's, its affiliates’ and its sublicensees’ future net sales of the Company's investigational product Ovaprene, and 2.0% of the Company's, its affiliates’ and its sublicensees’ future net sales of the Company's investigational product Sildenafil Cream, 3.6%; </w:t>
      </w:r>
      <w:r>
        <w:rPr>
          <w:rFonts w:ascii="Arial;sans-serif" w:hAnsi="Arial;sans-serif"/>
          <w:b w:val="false"/>
          <w:i/>
          <w:color w:val="000000"/>
          <w:sz w:val="20"/>
        </w:rPr>
        <w:t>provided, however</w:t>
      </w:r>
      <w:r>
        <w:rPr>
          <w:rFonts w:ascii="Arial;sans-serif" w:hAnsi="Arial;sans-serif"/>
          <w:b w:val="false"/>
          <w:color w:val="000000"/>
          <w:sz w:val="20"/>
        </w:rPr>
        <w:t>, that, if XOMA receives total payments under the Royalty Purchase Agreements, net of any Contingent Purchase Price Payments made to the Company, equal to an amount that exceeds $110.0 million, the foregoing percentages will be reduced to 2.5% and 1.25%, respectively (such amounts described in the foregoing clauses (b) and (c), collectively, the “Revenue Participation Right”).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the XACIATO RPA, XOMA, at its sole cost and discretion, may repay in full and retire all of the Company's payment obligations to UiE under the Royalty Interest Agreement. If XOMA does so, no further amounts in respect of the Royalty Interest Agreement will be deducted from the net royalties and net milestone payments that XOMA is entitled to receive under the XACIATO RPA. As of April 29, 2024, the Company cannot elect to receive any additional funding from UiE under the Royalty Interest Agreement without XOMA’s prior written consent. In connection with the synthetic royalty purchase agreement, the Company granted to XOMA a security interest in certain product assets related to Ovaprene and Sildenafil Cream.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$22.0 million the Company received from XOMA, less transaction costs of approximately $1.6 million, was allocated to the XACIATO RPA and recorded as other income on the Company's consolidated statement of operations and comprehensive loss in the second quarter of 2024. See Note 2, Basis of Presentation and Summary of Significant Accounting Policies – Sale of Future Payments, to our consolidated financial statements contained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9.    COMMITMENTS AND CONTINGENCIES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Insurance Financing</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2024, the Company obtained financing for certain director and officer and other insurance premiums. The total premiums, taxes and fees financed was approximately $0.6 million with an annual interest rate of approximately 8.0%. In consideration of the premium payment by the lender to the insurance companies or the agent or broker, the Company unconditionally promised to pay the lender the amount financed plus interest and other charges permitted under the agreement and the Company assigned to the lender a first priority lien on and a security interest in the financed insurance policies. The Company made monthly installment payments on the financed amount through April 20, 2025. The financed amount is recognized as an insurance financing cost included in other current assets and accrued expenses in the Company's condensed consolidated balance sheets. As of March 31, 2025, the Company's remaining obligation under the agreement was approximately $62,000.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CRADA with NICHD for the Pivotal Phase 3 Study of Ovaprene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2021, the Company entered into a Cooperative Research and Development Agreement, or the CRADA, with the U.S. Department of Health and Human Services, as represented by the Eunice Kennedy Shriver National Institute of Child Health and Human Development, or NICHD, for the conduct of a multi-center, non-comparative, pivotal Phase 3 clinical study of Ovaprene, or the Ovaprene Phase 3. The Ovaprene Phase 3 is being conducted within NICHD’s Contraceptive Clinical Trials Network with NICHD's contract research organization providing clinical coordination and data collection and management services for the Ovaprene Phase 3. The Company and NICHD each provide medical oversight and final data review and analysis for the Ovaprene Phase 3 and will work together to prepare the final report of the results of the Ovaprene Phase 3. The Company is responsible for providing clinical supplies of Ovaprene, coordinating interactions with the FDA, preparing and submitting supportive regulatory documentation, and providing a total of $5.5 million in payments to NICHD to be applied toward the costs of conducting the Ovaprene Phase 3. NICHD is responsible for the other costs related to the conduct of the Ovaprene Phase 3. The Company made aggregate payments of $5.5 million to NICHD, $0.5 million of which was paid in July 2024 and $5.0 million of which was paid in prior years. The Company had no remaining obligation under the CRADA at March 31, 2025.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Related-Party Agreement</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In January 2024, the Company entered into a consulting agreement with its former Chief Financial Officer to assist in transition matters subsequent to her retirement. Pursuant to the agreement, for a nine month period commencing on January 26, 2024, the Company paid its former Chief Financial Officer $31,667 per month and reimbursed her up to $500 per month for her health insurance premiums.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10.    GRANT AWARDS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October 2024 Grant Award</w:t>
      </w:r>
    </w:p>
    <w:p>
      <w:pPr>
        <w:pStyle w:val="TextBody"/>
        <w:bidi w:val="0"/>
        <w:spacing w:lineRule="auto" w:line="288" w:before="0" w:after="200"/>
        <w:ind w:left="0" w:right="0" w:firstLine="720"/>
        <w:jc w:val="both"/>
        <w:rPr/>
      </w:pPr>
      <w:r>
        <w:rPr>
          <w:rFonts w:ascii="Arial;sans-serif" w:hAnsi="Arial;sans-serif"/>
          <w:b w:val="false"/>
          <w:color w:val="000000"/>
          <w:sz w:val="20"/>
        </w:rPr>
        <w:t>In October 2024, the Company</w:t>
      </w:r>
      <w:r>
        <w:rPr>
          <w:color w:val="000000"/>
          <w:shd w:fill="FFFFFF" w:val="clear"/>
        </w:rPr>
        <w:t xml:space="preserve"> </w:t>
      </w:r>
      <w:r>
        <w:rPr>
          <w:rFonts w:ascii="Arial;sans-serif" w:hAnsi="Arial;sans-serif"/>
          <w:b w:val="false"/>
          <w:color w:val="000000"/>
          <w:sz w:val="20"/>
          <w:shd w:fill="FFFFFF" w:val="clear"/>
        </w:rPr>
        <w:t xml:space="preserve">entered into a subaward agreement with National Collegiate Inventors and Innovators Alliance, Inc. d/b/a VentureWell (the "CMF") under which the Company is entitled to receive funding of up to </w:t>
      </w:r>
      <w:r>
        <w:rPr>
          <w:rFonts w:ascii="Arial;sans-serif" w:hAnsi="Arial;sans-serif"/>
          <w:b w:val="false"/>
          <w:color w:val="000000"/>
          <w:sz w:val="20"/>
        </w:rPr>
        <w:t>$10.0 million</w:t>
      </w:r>
      <w:r>
        <w:rPr>
          <w:color w:val="000000"/>
          <w:shd w:fill="FFFFFF" w:val="clear"/>
        </w:rPr>
        <w:t xml:space="preserve"> </w:t>
      </w:r>
      <w:r>
        <w:rPr>
          <w:rFonts w:ascii="Arial;sans-serif" w:hAnsi="Arial;sans-serif"/>
          <w:b w:val="false"/>
          <w:color w:val="000000"/>
          <w:sz w:val="20"/>
          <w:shd w:fill="FFFFFF" w:val="clear"/>
        </w:rPr>
        <w:t>in milestone-based payments subject to the Company's achievement over an approximately 24-month period of specified research activities and objectives relating to the advancement of the Company's DARE-HPV development program, including commencement of a Phase 2 clinical study to evaluate the safety and preliminary efficacy of DARE-HPV for the clearance of high-risk HPV infection in women.</w:t>
      </w:r>
      <w:r>
        <w:rPr>
          <w:color w:val="000000"/>
        </w:rPr>
        <w:t xml:space="preserve"> </w:t>
      </w:r>
      <w:r>
        <w:rPr>
          <w:rFonts w:ascii="Arial;sans-serif" w:hAnsi="Arial;sans-serif"/>
          <w:b w:val="false"/>
          <w:color w:val="000000"/>
          <w:sz w:val="20"/>
        </w:rPr>
        <w:t xml:space="preserve">The subaward agreement was the result of the Company's selection by an agency within the U.S. Department of Health and Human Services. </w:t>
      </w:r>
      <w:r>
        <w:rPr>
          <w:rFonts w:ascii="Arial;sans-serif" w:hAnsi="Arial;sans-serif"/>
          <w:b w:val="false"/>
          <w:color w:val="000000"/>
          <w:sz w:val="20"/>
          <w:shd w:fill="FFFFFF" w:val="clear"/>
        </w:rPr>
        <w:t xml:space="preserve">The CMF is a consortium management firm that received funding from the federal agency for the subaward agreement.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Company receives funding in advance and tracks and reports eligible expenses incurred to the federal agency. The Company is required to apply the funds it receives solely toward direct costs for the funded project, other than approximately 22% of such funds, which it may apply toward general overhead and administrative expenses that support the entire operations of the Company. Funds received that have not been spent are recorded as cash and cash equivalents and as a deferred grant funding liability in the Company’s condensed consolidated balance sheets. The deferred grant funding liability also includes grant funds spent but not yet expensed in accordance with GAAP. The Company must track expenses incurred under the award and submit a detailed accounting of such expenses. Through March 31, 2025, the Company has received payments totaling $2.5 million under this award. The Company recorded credits to research and development expense of approximately $0.6 million for costs related to this award for the three months ended March 31, 2025. As of March 31, 2025 and December 31, 2024, the Company recorded approximately $1.5 million and $0.6 million of deferred grant funding liability related to this award in the Company's condensed consolidated balance sheets, respectively.</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NICHD and NIH Non-Dilutive Grant Funding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has received notices of awards and non-dilutive grant funding from NICHD and the National Institutes of Health, or NIH, to support the development of several of its product candidates. NICHD and the NIH issue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DARE-HPV</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2024, the Company received a notice of award from the National Institute of Allergy and Infectious Diseases (NIAID), a component of the NIH, that the Company was awarded a $1.0 million grant in support of non-clinical activities for the development of DARE-HPV for an initial project year of December 2024 through November 2025, and that an additional $1.0 million was recommended for the subsequent project year, subject to the availability of funds and satisfactory progress of the project, as determined by NIAID. The Company recorded credits to research and development expense of approximately $31,000 for costs related to this award during the three months ended March 31, 2025. The Company recorded a receivable of approximately $16,000 and $0 at March 31, 2025 and December 31, 2024, respectively, for expenses incurred through such date that it believes are eligible for reimbursement under this award.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DARE-PTB1</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the Company received a notice of award from NICHD of approximately $2.0 million to support the development of DARE-PTB1. The award is to be used to support what is referred to as the "Phase II" segment of the project outlined in the Company's grant application. The Company recorded credits to research and development expense for costs related to this award of approximately $169,000 and $112,000 during the three months ended March 31, 2025 and 2024, respectively. At March 31, 2025 and December 31, 2024, the Company recorded a receivable of approximately $57,000 and $45,000, respectively, for expenses incurred through such date that it believes are eligible for reimbursement under this award.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DARE-PTB2</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July 2023, the Company received a notice of award from NICHD of approximately $0.4 million to support preclinical development of a potential new therapeutic for the prevention of idiopathic preterm birth. The grant funds will support activities related to the conduct and completion of proof-of-concept target validation studies in collaboration with the University of South Florida, which are to occur over a 12-month period. The Company received aggregate reimbursements under this award of approximately $0.4 million during the grant period, which ended in July 2024. No further funds are available under this award.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Non-Dilutive Grant Funding</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described below, the Company has received substantial funding under grant agreements it entered into with the Gates Foundation, or the Foundation. The Company is required to apply the funds it receives under the agreements solely toward direct costs for the applicable funded projects, other than approximately 5%-15% of such funds, which it may apply toward general overhead and administrative expenses that support the entire operations of the Company. The Company receives funding in advance and tracks and reports eligible expenses incurred to the Foundation. Funds received that have not been spent are recorded as cash and cash equivalents and as a deferred grant funding liability in the Company’s consolidated balance sheets. The deferred grant funding liability also includes grant funds spent but not yet expensed in accordance with GAAP. The grant agreements include the Foundation's standard discretionary termination provisions. Any grant funds that have not been used or committed to the funded project must be returned promptly to the Foundation upon expiration or termination of the agreement. </w:t>
      </w:r>
    </w:p>
    <w:p>
      <w:pPr>
        <w:pStyle w:val="TextBody"/>
        <w:bidi w:val="0"/>
        <w:spacing w:lineRule="auto" w:line="288" w:before="120" w:after="283"/>
        <w:ind w:left="0" w:right="0" w:firstLine="720"/>
        <w:jc w:val="both"/>
        <w:rPr/>
      </w:pPr>
      <w:r>
        <w:rPr>
          <w:rFonts w:ascii="Arial;sans-serif" w:hAnsi="Arial;sans-serif"/>
          <w:b/>
          <w:color w:val="000000"/>
          <w:sz w:val="20"/>
        </w:rPr>
        <w:t>2024 Contraceptive Product Candidate Grant Agreement</w:t>
      </w:r>
      <w:r>
        <w:rPr>
          <w:color w:val="000000"/>
        </w:rPr>
        <w:t xml:space="preserve">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November 2024, the Company entered into a grant agreement with the Foundation under which the Company was awarded a new grant of up to approximately $10.7 million to support (i) expansion of the number of study sites in the ongoing Phase 3 clinical trial of Ovaprene, and (ii) activities that will aid in the identification and development of a novel non-hormonal intravaginal contraceptive candidate, suitable for and acceptable to women in low- and middle-income country settings who need or would prefer to use such a product to avoid an unplanned pregnancy. An initial payment of approximately $5.4 million was made to the Company in November 2024. Additional payments are contingent upon the Company's achievement of specified development and reporting milestones during the term of the grant agreement, which extends through October 2026. The Company will track and report eligible expenses incurred to the Foundation.</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of approximately $0.8 million for costs related to this award for the three months ended March 31, 2025. As of March 31, 2025 and December 31, 2024, the Company has recorded approximately $4.4 million and $5.2 million of deferred grant funding liability related to this award in the Company's condensed consolidated balance sheets, respectively.</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2024 Biotherapeutic Product Grant Agreement</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January 2024, the Company entered into an agreement with the Foundation under which the Company was awarded $750,000 to fund activities related to bacteria-based live biotherapeutic product development. The Company received the full amount of the award in January 2024. The Company recorded credits to research and development expense of approximately $0 and $133,000 for costs related to this award for the three months ended March 31, 2025 and 2024, respectively. The grant period ended in November 2024. No further funds are available under this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00"/>
        <w:ind w:left="0" w:right="0" w:firstLine="720"/>
        <w:jc w:val="both"/>
        <w:rPr>
          <w:rFonts w:ascii="Arial;sans-serif" w:hAnsi="Arial;sans-serif"/>
          <w:b/>
          <w:color w:val="000000"/>
          <w:sz w:val="20"/>
        </w:rPr>
      </w:pPr>
      <w:r>
        <w:rPr>
          <w:rFonts w:ascii="Arial;sans-serif" w:hAnsi="Arial;sans-serif"/>
          <w:b/>
          <w:color w:val="000000"/>
          <w:sz w:val="20"/>
        </w:rPr>
        <w:t>2021 DARE-LARC1 Grant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2021, the Company entered into an agreement with the Foundation under which the Company was awarded up to approximately $49.0 million to support the development of DARE-LARC1. The agreement supports technology development and preclinical activities over the period of June 30, 2021 to November 1, 2026, to advance DARE-LARC1 through nonclinical proof of principle studies and other IND-enabling work to allow for the submission of an IND application with the FDA, approval of which will be required to commence testing in humans.</w:t>
      </w:r>
    </w:p>
    <w:p>
      <w:pPr>
        <w:pStyle w:val="TextBody"/>
        <w:bidi w:val="0"/>
        <w:spacing w:lineRule="auto" w:line="288" w:before="120" w:after="283"/>
        <w:ind w:left="0" w:right="0" w:firstLine="720"/>
        <w:jc w:val="both"/>
        <w:rPr/>
      </w:pPr>
      <w:r>
        <w:rPr>
          <w:rFonts w:ascii="Arial;sans-serif" w:hAnsi="Arial;sans-serif"/>
          <w:b w:val="false"/>
          <w:color w:val="000000"/>
          <w:sz w:val="20"/>
        </w:rPr>
        <w:t>As of March 31, 2025, the Company has received a cumulative total of approximately $31.8 million in non-dilutive funding under the agreement, including $3.5 million during 2024. Additional payments are contingent upon the DARE-LARC1 program’s achievement of specified development and reporting milestones. The Company recorded credits to research and development expense of approximately $1.5 million and $2.3 million for costs related to this award for the three months ended March 31, 2025 and 2024, respectively. As of March 31, 2025 and December 31, 2024, the Company has recorded approximately $9.2 million and $10.8 million</w:t>
      </w:r>
      <w:r>
        <w:rPr>
          <w:color w:val="000000"/>
        </w:rPr>
        <w:t xml:space="preserve"> </w:t>
      </w:r>
      <w:r>
        <w:rPr>
          <w:rFonts w:ascii="Arial;sans-serif" w:hAnsi="Arial;sans-serif"/>
          <w:b w:val="false"/>
          <w:color w:val="000000"/>
          <w:sz w:val="20"/>
        </w:rPr>
        <w:t>of deferred grant funding liability related to this award in the Company's condensed consolidated balance sheets, respectively.</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2022 DARE-LBT Grant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November 2022, the Company entered into an agreement with the Foundation under which the Company was awarded $585,000 to support the development of DARE-LBT over the period of November 11, 2022 to February 29, 2024. The Company received the full amount of the award in November 2022. The Company recorded credits to research and development expense of approximately $235,000 for costs related to this award for the three months ended 2024. The Company had no remaining deferred grant funding liability related to this award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11.    NET LOSS PER SHARE</w:t>
      </w:r>
    </w:p>
    <w:p>
      <w:pPr>
        <w:pStyle w:val="TextBody"/>
        <w:bidi w:val="0"/>
        <w:spacing w:lineRule="auto" w:line="288" w:before="200" w:after="283"/>
        <w:ind w:left="0" w:right="0" w:firstLine="720"/>
        <w:jc w:val="both"/>
        <w:rPr/>
      </w:pPr>
      <w:r>
        <w:rPr>
          <w:rFonts w:ascii="Arial;sans-serif" w:hAnsi="Arial;sans-serif"/>
          <w:b w:val="false"/>
          <w:color w:val="000000"/>
          <w:sz w:val="20"/>
        </w:rPr>
        <w:t>The Company computes basic net loss per share, or EPS, using the weighted average number of common shares outstanding during the period, without consideration for common stock equivalents. Diluted EPS is based upon the weighted average number of common shares and potentially dilutive securities (common share equivalents) outstanding during the period. Dilutive securities include the dilutive effect of in-the-money options and warrants, which is calculated based on the average share price for each period using the treasury stock method. Under the treasury stock method, the exercise price of an option or warrant, the amount of compensation cost, if any, for future service that the Company has not yet recognized, and the amount of estimated tax benefits that would be recorded in paid-in capital, if any, when the option or warrant is exercised are assumed to be used to repurchase shares in the current period</w:t>
      </w:r>
      <w:r>
        <w:rPr>
          <w:rFonts w:ascii="sans-serif" w:hAnsi="sans-serif"/>
          <w:b w:val="false"/>
          <w:color w:val="000000"/>
          <w:sz w:val="22"/>
        </w:rPr>
        <w:t>.</w:t>
      </w:r>
      <w:r>
        <w:rPr>
          <w:color w:val="000000"/>
        </w:rPr>
        <w:t xml:space="preserve"> </w:t>
      </w:r>
      <w:r>
        <w:rPr>
          <w:rFonts w:ascii="Arial;sans-serif" w:hAnsi="Arial;sans-serif"/>
          <w:b w:val="false"/>
          <w:color w:val="000000"/>
          <w:sz w:val="20"/>
        </w:rPr>
        <w:t>Dilutive securities are excluded from the diluted EPS calculation if their effect is anti-dilutive.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potentially dilutive outstanding securities were excluded from diluted EPS for the period indicated because of their anti-dilutive effect:</w:t>
      </w:r>
    </w:p>
    <w:tbl>
      <w:tblPr>
        <w:tblW w:w="6644" w:type="dxa"/>
        <w:jc w:val="center"/>
        <w:tblInd w:w="0" w:type="dxa"/>
        <w:tblLayout w:type="fixed"/>
        <w:tblCellMar>
          <w:top w:w="28" w:type="dxa"/>
          <w:left w:w="28" w:type="dxa"/>
          <w:bottom w:w="28" w:type="dxa"/>
          <w:right w:w="28" w:type="dxa"/>
        </w:tblCellMar>
      </w:tblPr>
      <w:tblGrid>
        <w:gridCol w:w="1020"/>
        <w:gridCol w:w="898"/>
        <w:gridCol w:w="901"/>
        <w:gridCol w:w="109"/>
        <w:gridCol w:w="109"/>
        <w:gridCol w:w="109"/>
        <w:gridCol w:w="557"/>
        <w:gridCol w:w="464"/>
        <w:gridCol w:w="195"/>
        <w:gridCol w:w="195"/>
        <w:gridCol w:w="195"/>
        <w:gridCol w:w="195"/>
        <w:gridCol w:w="557"/>
        <w:gridCol w:w="464"/>
        <w:gridCol w:w="195"/>
        <w:gridCol w:w="109"/>
        <w:gridCol w:w="109"/>
        <w:gridCol w:w="109"/>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Potentially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1,119,010 </w:t>
            </w:r>
          </w:p>
        </w:tc>
        <w:tc>
          <w:tcPr>
            <w:tcW w:w="19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989,726 </w:t>
            </w:r>
          </w:p>
        </w:tc>
        <w:tc>
          <w:tcPr>
            <w:tcW w:w="19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2,387,582 </w:t>
            </w:r>
          </w:p>
        </w:tc>
        <w:tc>
          <w:tcPr>
            <w:tcW w:w="1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2,258,298 </w:t>
            </w:r>
          </w:p>
        </w:tc>
        <w:tc>
          <w:tcPr>
            <w:tcW w:w="1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12.    SEGMENT INFORMATION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Operating segments are defined as components of an enterprise about which separate discrete information is available for evaluation by the chief operating decision maker (“CODM”), in deciding how to allocate resources and in assessing performance. The Company and the Company’s chief operating decision maker view the Company’s operations and manage its business in one operating segment, which is the business of identifying, developing and commercializing pharmaceutical products that target unmet needs in women's health. The CODM, who is the chief executive officer (“CEO”), manages and allocates resources to the operations of the Company on a consolidated basis. The Company’s measure of segment profit or loss is net loss. Managing and allocating resources on a consolidated basis enables the CEO to assess the overall level of resources available and how to best deploy these resources across functions and research and development projects that are in line with the Company’s long-term company-wide strategic goals. Consistent with this decision-making process, the CEO uses consolidated financial information for purposes of evaluating performance, forecasting future period financial results, allocating resources and setting incentive targets. Operating expenses are used to monitor budget versus actual results. The CODM does not review assets in evaluating the results of the Company, and therefore, such information is not presented. In addition, substantially all of the Company's revenue was generated in the United States and substantially all of the Company's long-lived assets reside in the United States.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the segment's financial information including the Company’s significant segment expenses:</w:t>
      </w:r>
    </w:p>
    <w:tbl>
      <w:tblPr>
        <w:tblW w:w="7929" w:type="dxa"/>
        <w:jc w:val="center"/>
        <w:tblInd w:w="0" w:type="dxa"/>
        <w:tblLayout w:type="fixed"/>
        <w:tblCellMar>
          <w:top w:w="28" w:type="dxa"/>
          <w:left w:w="28" w:type="dxa"/>
          <w:bottom w:w="28" w:type="dxa"/>
          <w:right w:w="28" w:type="dxa"/>
        </w:tblCellMar>
      </w:tblPr>
      <w:tblGrid>
        <w:gridCol w:w="1721"/>
        <w:gridCol w:w="1514"/>
        <w:gridCol w:w="1520"/>
        <w:gridCol w:w="211"/>
        <w:gridCol w:w="1081"/>
        <w:gridCol w:w="109"/>
        <w:gridCol w:w="109"/>
        <w:gridCol w:w="109"/>
        <w:gridCol w:w="109"/>
        <w:gridCol w:w="211"/>
        <w:gridCol w:w="1081"/>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expenses: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 program costs: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Ovaprene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2,183,873 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Sildenafil Cream, 3.6%</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advanced clinical stage programs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1 and Phase 1-ready clinical stage programs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Preclinical stage programs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development programs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Contra-R&amp;D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(2,618,373)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(2,652,715)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 direct program costs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2,051,988 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costs: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(including stock compensation)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1,482,597 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indirect costs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 R&amp;D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 indirect costs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2,670,581 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segment operating expenses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6,031,775 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(4,581,118)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(6,022,473)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(611,878)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(4,378,307)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(6,755,356)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13.    SUBSEQUENT EVENTS</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Nasdaq Listing</w:t>
      </w:r>
    </w:p>
    <w:p>
      <w:pPr>
        <w:pStyle w:val="TextBody"/>
        <w:bidi w:val="0"/>
        <w:spacing w:lineRule="auto" w:line="276"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has not been in compliance with the requirement in Nasdaq Listing Rule 5550(b) for continued listing on The Nasdaq Capital Market since August 2024. On March 25, 2025, the Company presented its multi-step plan for regaining compliance to the Nasdaq Hearing Panel, or the Panel. On April 9, 2025, the Company received a letter from Nasdaq informing it that the Panel determined to grant its request for an extension until August 12, 2025 to demonstrate compliance with Nasdaq Listing Rule 5550(b) by demonstrating compliance with either Nasdaq Listing Rule 5550(b)(1) or 5550(b)(2). Nasdaq Listing Rule 5550(b)(1) requires a company to maintain stockholders’ equity of at least $2.5 million (the "Stockholders’ Equity Rule"), and Nasdaq Listing Rule 5550(b)(2) requires a company to maintain a minimum market value of listed securities of $35.0 million (the “Minimum MVLS Rule”). A company will satisfy the continued listing requirement under Nasdaq Listing Rule 5550(b) if it meets either the Stockholders’ Equity Rule or the Minimum MVLS Rule. On April 29, 2025, the Company submitted a modified multi-step plan for regaining compliance to the Panel (the “Plan”), which the Panel approved. The Company's Plan includes, among other things, increasing its stockholders’ equity by May 31, 2025 and increasing it further by July 15, 2025. The Panel’s determination to grant the Company's request for an extension is subject to certain conditions, including, among others, that the Company make progress in executing against its Plan by the dates specified in its Plan and that on or before August 12, 2025 (a) the Company publicly discloses transactions it undertook to increase its stockholders’ equity and provide an indication of its stockholders’ equity following such transactions, and (b) the Company provide the Panel with an update on its fundraising plans and income projections for the next 12 months. The Company intends to publicly disclose or provide, as the case may be, the information required by the Panel’s determination within the timeframe required thereby. While the Company is actively pursuing a range of initiatives aimed at executing against its Plan, no assurances can be given that it will be successful in doing so or that the Company will satisfy either the Stockholders’ Equity Rule or the Minimum MVLS Rule by August 12, 2025. If the Company fails to execute on its Plan to the Panel’s satisfaction and remains non-compliant with Nasdaq’s continued listing requirements, the Panel may take action to delist the Company's common stock before August 12, 2025, even though the Panel granted the Company conditional continued listing until August 12, 2025. As is customary, the Panel also reserved the right to reconsider the terms of the extension it granted based on any event, condition or circumstance that exists or develops that would, in the opinion of the Panel, make continued listing of our common stock inadvisable or unwarranted.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6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and analysis of financial condition and results of operations should be read in conjunction with our unaudited condensed consolidated financial statements and notes thereto included in this Quarterly Report on Form 10-Q and our audited financial statements and notes thereto for the year ended December 31, 2024 included in our Annual Report on Form 10-K for the year ended December 31, 2024, or our 2024 10-K, filed with the Securities and Exchange Commission, or SEC, on March 31, 2025. Past operating results are not necessarily indicative of results that may occur in future periods.</w:t>
      </w:r>
    </w:p>
    <w:p>
      <w:pPr>
        <w:pStyle w:val="TextBody"/>
        <w:bidi w:val="0"/>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2024 10-K, and in our subsequent filings with the SEC, including any discussed in Part II, Item 1A of this report under the heading “Risk Factors,” which are incorporated herein by reference.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bidi w:val="0"/>
        <w:spacing w:lineRule="auto" w:line="288" w:before="120" w:after="283"/>
        <w:ind w:left="0" w:right="0" w:firstLine="720"/>
        <w:jc w:val="both"/>
        <w:rPr/>
      </w:pPr>
      <w:r>
        <w:rPr>
          <w:rFonts w:ascii="Arial;sans-serif" w:hAnsi="Arial;sans-serif"/>
          <w:b w:val="false"/>
          <w:color w:val="000000"/>
          <w:sz w:val="20"/>
        </w:rPr>
        <w:t>Daré Bioscience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of Daré Bioscience, Inc. and XACIATO™ is a trademark of Daré Bioscience, Inc. with registration pending. Ovaprene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a biopharmaceutical company driven by a mission to challenge the status quo, making women's health a priority. We exist to accelerate innovation in women’s health and we believe that innovation does not have to start from scratch. With growing awareness around menopause, sexual health, and vaginal health, the conversation is shifting, but access to real, evidence-based solutions still lags behind. We continuously hear from healthcare providers, researchers, and women themselves about the urgent need for access to evidence-based treatment options. Our goal is to fulfill that need by bringing to market as soon as practicable innovative evidence-based treatment solutions that address decades of unmet needs in women’s health and enhance outcomes and convenience, primarily in the areas of contraception, sexual health, pelvic pain, fertility, infectious disease, vaginal health and menopause - areas in women's health that we believe represent compelling and meaningful market opportunities. We have assembled our diverse portfolio of assets through acquisitions, exclusive in-licenses, and other collaborations. The solutions we aim to bring to market will primarily be available only with a physician’s prescription – either as an FDA-approved product or as a compounded drug under Section 503B of the FDCA, or Section 503B. We are also aiming to bring to market consumer health products that can be obtained without a physician’s prescription.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As discussed below, we will need to raise substantial additional capital to continue to fund our operations and execute our current business strategy. Our business is subject to a number of risks common to biopharmaceutical companies (see ITEM 1A. RISK FACTORS in Part I of our 2024 10-K) and the process of developing and obtaining regulatory approvals for prescription drug and drug/device products in the United States and in foreign jurisdictions is inherently uncertain and requires the expenditure of substantial financial resources without any guarantee of success.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Product Candidates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are in various stages of development, from pre-clinical through a pivotal Phase 3 clinical study, and will require review and approval from the FDA, or a comparable foreign regulatory authority, prior to being marketed and sold. The most advanced product candidates we are developing are: Ovaprene®, an investigational, hormone-free, monthly intravaginal contraceptive currently being evaluated in a pivotal Phase 3 clinical study, whose U.S. commercial rights are under a license agreement with Bayer HealthCare LLC, or Bayer; Sildenafil Cream, 3.6%, or Sildenafil Cream, a novel cream formulation of sildenafil, the active ingredient in Viagra®, for the treatment of female sexual arousal disorder, or FSAD; and DARE-HRT1, an intravaginal ring designed to deliver combination menopausal hormone therapy, bio-identical 17β-estradiol and progesterone together, continuously over a 28-day period for the treatment of moderate to severe vasomotor symptoms, also known as hot flashes. See ITEM 1. "BUSINESS," in Part I of our 2024 10-K and “—Recent Events—Product Candidate Updates,” below, for additional information regarding our product candidates.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Section 503B Compounding</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Because we believe women should not have to wait for needed medical treatment solutions, in March 2025 we announced that we were expanding our business strategy to include Section 503B compounding as a dual-path approach to bring certain of our proprietary formulations to market as soon as practicable while we continue to pursue FDA approval of our product candidates. Bringing our proprietary formulations to market via Section 503B compounding will not impact the regulatory process or commercial opportunity for an FDA-approved product. Rather, if successful, Section 503B compounding will be a source of revenue from existing assets that is non-dilutive to our stockholders. </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In assessing which of our proprietary formulations are candidates for Section 503B compounding, in addition to the drug substance(s) being on the FDA’s interim Category 1 list of bulk drug substances, we take into account whether we believe the formulation is ready for cGMP manufacturing at scale to meet potential demand and that the data from nonclinical and clinical studies of the formulation to date will be compelling to healthcare providers.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To successfully bring our proprietary formulations to market under Section 503B, among other things, we will need to successfully identify and enter into arrangements with one or more 503B-registered outsourcing facilities. We also intend to enter into arrangements with telehealth platforms and other third parties with marketing, sales or distribution capabilities in the Section 503B market. We intend to focus our resources on provider-to-provider education about disease state and our proprietary formulations, leveraging online resources, including web-based ordering platforms and collaborations with telehealth platforms and other third parties. We do not plan to establish marketing, sales or distribution capabilities in order to bring our proprietary formulations to market under Section 503B.</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When we use the term “Section 503B compounding” we refer to the production and supply of compounded drugs by Section 503B-registered outsourcing facilities without patient-specific prescriptions in accordance with Section 503B.</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XACIATO™</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first FDA-approved product to emerge from our portfolio is XACIATO™ (clindamycin phosphate) vaginal gel 2%, or XACIATO (pronounced zah-she-AH-toe). We achieved FDA approval of XACIATO three years after acquiring rights to the program. XACIATO was approved by the FDA in December 2021 as a single-dose prescription medication for the treatment of bacterial vaginosis in females 12 years of age and older. In 2022, we licensed exclusive worldwide rights to develop, manufacture and commercialize XACIATO to an affiliate of Organon &amp; Co., Organon International GmbH, or Organon. Organon commenced U.S. marketing of XACIATO in the fourth quarter of 2023 and, in January 2024, Organon announced that XACIATO was available nationwide. In April 2024, we sold our rights to all royalty and potential milestone payments based on net sales of XACIATO under our agreement with Organon, net of our obligations to certain third parties, to XOMA (US) LLC, or XOMA, until XOMA receives a specified return on its investment, after which we will share equally in the royalty and milestone payments earned on net sales of XACIATO from Organon. See Note 3 “Strategic Agreements” and Note 8 “Royalty Purchase Agreements” to the accompanying condensed consolidated financial statements for information regarding our exclusive license agreement with Organon and our royalty purchase agreement with XOMA,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Recent Events</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Product Candidate Updates</w:t>
      </w:r>
    </w:p>
    <w:p>
      <w:pPr>
        <w:pStyle w:val="TextBody"/>
        <w:bidi w:val="0"/>
        <w:spacing w:lineRule="auto" w:line="288" w:before="200" w:after="200"/>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Ovaprene®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Enrollment is ongoing in our pivotal Phase 3 multi-center, single arm, non-comparative clinical study of Ovaprene to evaluate its effectiveness as a contraceptive along with its safety and acceptability (ClinicalTrials.gov ID: NCT06127199). The Phase 3 study is being conducted, in part, under our Cooperative Research and Development Agreement, or CRADA, with the U.S. Department of Health and Human Services (HHS), as represented by the Eunice Kennedy Shriver National Institute of Child Health and Human Development's (NICHD), part of the U.S. National Institutes of Health (NIH), and within the Contraceptive Clinical Trials Network (CCTN). Recent initiatives of the current U.S. presidential administration have negatively impacted the Phase 3 study and NICHD’s ability to carry out its responsibilities under the CRADA, and the future NICHD budget for the CRADA remains uncertain. In particular, the NICHD process to enter into contract modifications with the CCTN sites participating in the study in the same manner as it would ordinarily do to provide additional funding to those sites has been impacted. As a result, to help ensure the CCTN sites remain active for continued follow-up with existing study participants, we and NICHD agreed to pause recruitment of new participants at the CCTN sites, and we do not anticipate that they will resume enrolling new participants. Currently, there are nine CCTN sites following enrolled participants in the study. However, recruitment is proceeding at the five study sites outside of the CCTN that we contracted directly with and initiated in the first quarter of 2025 with grant funding we received in November 2024, and to date, we have been pleased with the pace of enrollment at those sites. We are evaluating whether to contract directly with up to three additional study sites or aim to complete enrollment in the study with the five new study sites. At this time, due to the foregoing, we cannot reasonably predict the enrollment rate for the remainder of the study or an estimated time for completion of enrollment. However, we continue to anticipate there will be sufficient data on Ovaprene use in the study by the end of the second quarter of 2025 to reach the designated check point for review of interim data by the study’s data safety monitoring board, or DSMB, an independent group of experts which evaluates the safety and integrity of the study. The DSMB meeting is scheduled for July 2025. </w:t>
      </w:r>
    </w:p>
    <w:p>
      <w:pPr>
        <w:pStyle w:val="TextBody"/>
        <w:bidi w:val="0"/>
        <w:spacing w:lineRule="auto" w:line="288" w:before="200" w:after="200"/>
        <w:ind w:left="0" w:right="0" w:firstLine="720"/>
        <w:jc w:val="both"/>
        <w:rPr>
          <w:rFonts w:ascii="Arial;sans-serif" w:hAnsi="Arial;sans-serif"/>
          <w:b w:val="false"/>
          <w:i/>
          <w:color w:val="000000"/>
          <w:sz w:val="20"/>
        </w:rPr>
      </w:pPr>
      <w:r>
        <w:rPr>
          <w:rFonts w:ascii="Arial;sans-serif" w:hAnsi="Arial;sans-serif"/>
          <w:b w:val="false"/>
          <w:i/>
          <w:color w:val="000000"/>
          <w:sz w:val="20"/>
        </w:rPr>
        <w:t>Sildenafil Cream, 3.6%</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continue to prepare to advance Sildenafil Cream into the first of two anticipated Phase 3 clinical studies to support a new drug application to the FDA for the indication of treatment of female sexual arousal disorder (FSAD) in premenopausal women utilizing the 505(b)(2) regulatory pathway. For additional information regarding our Sildenafil Cream program, see ITEM 1. "BUSINESS," in Part I of our 2024 10-K. In April 2025, we received additional input and information requests from the FDA regarding our patient reported outcomes (PRO) psychometrics for the Phase 3 study. The PRO psychometrics analysis has bearing on efficacy endpoint selection and the statistical analysis plan for the Phase 3 study. We previously submitted information to the FDA in response and we are targeting submission of additional requested information, along with the protocol and statistical analysis plan for the Phase 3 study to the FDA by the end of the second quarter of 2025. We are targeting 2025 for commencement of the Phase 3 study, pending review of any additional feedback from the FDA in response to our submissions. However, we do not plan to conduct the Phase 3 study until after we secure additional capital.</w:t>
      </w:r>
    </w:p>
    <w:p>
      <w:pPr>
        <w:pStyle w:val="TextBody"/>
        <w:bidi w:val="0"/>
        <w:spacing w:lineRule="auto" w:line="288" w:before="200" w:after="200"/>
        <w:ind w:left="0" w:right="0" w:firstLine="720"/>
        <w:jc w:val="both"/>
        <w:rPr>
          <w:rFonts w:ascii="Arial;sans-serif" w:hAnsi="Arial;sans-serif"/>
          <w:b w:val="false"/>
          <w:i/>
          <w:color w:val="000000"/>
          <w:sz w:val="20"/>
        </w:rPr>
      </w:pPr>
      <w:r>
        <w:rPr>
          <w:rFonts w:ascii="Arial;sans-serif" w:hAnsi="Arial;sans-serif"/>
          <w:b w:val="false"/>
          <w:i/>
          <w:color w:val="000000"/>
          <w:sz w:val="20"/>
        </w:rPr>
        <w:t>Other Development Programs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continue to work on the development of our other clinical and preclinical-stage programs, including conducting activities necessary to enable submission of an investigational new drug, or IND, application to the FDA for a pivotal Phase 3 clinical study of DARE-HRT1, activities in preparation for a Phase 2 randomized, double-blinded, placebo-controlled, dose-finding clinical study of DARE-VVA1 based on our FDA-cleared IND relating to DARE-VVA1 and the anticipated study, and activities necessary to enables submission of an IND application to the FDA for a Phase 2 clinical study of DARE-HPV in the United States. We do not plan to commence the Phase 3 study of DARE-HRT1 or a Phase 2 study of DARE-VVA1 until after we secure additional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00" w:after="200"/>
        <w:jc w:val="both"/>
        <w:rPr>
          <w:rFonts w:ascii="Arial;sans-serif" w:hAnsi="Arial;sans-serif"/>
          <w:b/>
          <w:i/>
          <w:color w:val="000000"/>
          <w:sz w:val="20"/>
        </w:rPr>
      </w:pPr>
      <w:r>
        <w:rPr>
          <w:rFonts w:ascii="Arial;sans-serif" w:hAnsi="Arial;sans-serif"/>
          <w:b/>
          <w:i/>
          <w:color w:val="000000"/>
          <w:sz w:val="20"/>
        </w:rPr>
        <w:t>Section 503B Business Strategy Update</w:t>
      </w:r>
    </w:p>
    <w:p>
      <w:pPr>
        <w:pStyle w:val="TextBody"/>
        <w:bidi w:val="0"/>
        <w:spacing w:lineRule="auto" w:line="276" w:before="200" w:after="200"/>
        <w:ind w:left="0" w:right="0" w:firstLine="720"/>
        <w:jc w:val="both"/>
        <w:rPr>
          <w:rFonts w:ascii="Arial;sans-serif" w:hAnsi="Arial;sans-serif"/>
          <w:b/>
          <w:i/>
          <w:color w:val="000000"/>
          <w:sz w:val="20"/>
        </w:rPr>
      </w:pPr>
      <w:r>
        <w:rPr>
          <w:rFonts w:ascii="Arial;sans-serif" w:hAnsi="Arial;sans-serif"/>
          <w:b/>
          <w:i/>
          <w:color w:val="000000"/>
          <w:sz w:val="20"/>
        </w:rPr>
        <w:t xml:space="preserve">Sildenafil Cream </w:t>
      </w:r>
    </w:p>
    <w:p>
      <w:pPr>
        <w:pStyle w:val="TextBody"/>
        <w:bidi w:val="0"/>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As announced in March 2025, we are taking action to bring our proprietary Sildenafil Cream formulation to market under Section 503B. We are targeting to have our proprietary Sildenafil Cream formulation available, and we expect to begin recording revenue from sales thereof, in the fourth quarter of 2025, however, we do not expect the amount of such revenue, if any, to be material during 2025. We anticipate needing to invest no more than $1.0 million to support a 503B-registered outsourcing facility with technology-transfer activities specific to our Sildenafil Cream formulation, activate an awareness campaign, and facilitate access to our proprietary Sildenafil Cream formulation as an option for providers and women.</w:t>
      </w:r>
    </w:p>
    <w:p>
      <w:pPr>
        <w:pStyle w:val="TextBody"/>
        <w:bidi w:val="0"/>
        <w:spacing w:lineRule="auto" w:line="288" w:before="240" w:after="200"/>
        <w:ind w:left="0" w:right="0" w:firstLine="720"/>
        <w:jc w:val="both"/>
        <w:rPr>
          <w:rFonts w:ascii="Arial;sans-serif" w:hAnsi="Arial;sans-serif"/>
          <w:b/>
          <w:i/>
          <w:color w:val="000000"/>
          <w:sz w:val="20"/>
        </w:rPr>
      </w:pPr>
      <w:r>
        <w:rPr>
          <w:rFonts w:ascii="Arial;sans-serif" w:hAnsi="Arial;sans-serif"/>
          <w:b/>
          <w:i/>
          <w:color w:val="000000"/>
          <w:sz w:val="20"/>
        </w:rPr>
        <w:t>DARE-HRT1</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are also taking action to bring DARE-HRT1 to market under 503B. We are targeting to have DARE-HRT1 available, and we expect to begin recording revenue from sales thereof, by the end of 2026, however, we do not expect the amount of such revenue, if any, to be material during 2026. There are no FDA approved products that provide estradiol and progesterone together in a non-oral monthly form.</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Consumer Health Products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are also working to bring to market consumer health products. We have sourced vaginal probiotics from Europe that we aim to make available initially via a strategic partnership, and we expect to begin recording revenue from sales thereof, in the fourth quarter of 2025, however we do not expect the amount of such revenue, if any, to be material during 2025.</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When we use the term "consumer health products," we refer to consumer health products that can be obtained without a physician's prescription, unless the context otherwise requires.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Similar to our plans with respect to our Section 503B business strategy, we do not plan to establish marketing, sales or distribution capabilities in order to bring our proprietary formulations to market as consumer health products, but rather we plan to identify and enter into strategic agreements and collaborations with telehealth platforms and other third parties with marketing, sales or distribution capabilities in the consumer health products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Nasdaq Listing</w:t>
      </w:r>
    </w:p>
    <w:p>
      <w:pPr>
        <w:pStyle w:val="TextBody"/>
        <w:bidi w:val="0"/>
        <w:spacing w:lineRule="auto" w:line="288" w:before="0" w:after="0"/>
        <w:ind w:left="0" w:right="0" w:firstLine="720"/>
        <w:jc w:val="both"/>
        <w:rPr/>
      </w:pPr>
      <w:r>
        <w:rPr>
          <w:rFonts w:ascii="Arial;sans-serif" w:hAnsi="Arial;sans-serif"/>
          <w:b w:val="false"/>
          <w:color w:val="000000"/>
          <w:sz w:val="20"/>
        </w:rPr>
        <w:t xml:space="preserve">We have not been in compliance with the requirement in Nasdaq Listing Rule 5550(b) for continued listing on The Nasdaq Capital Market since August 2024. On March 25, 2025, we presented our multi-step plan for regaining compliance to the Nasdaq Hearing Panel, or the Panel. On April 9, 2025, we received a letter from Nasdaq informing us that the Panel determined to grant our request for an extension until August 12, 2025 to demonstrate compliance with Nasdaq Listing Rule 5550(b) by demonstrating compliance with either Nasdaq Listing Rule 5550(b)(1) or 5550(b)(2). Nasdaq Listing Rule 5550(b)(1) requires a company to maintain stockholders’ equity of at least $2.5 million, which we refer to as the Stockholders’ Equity Rule, and Nasdaq Listing Rule 5550(b)(2) requires a company to maintain a minimum market value of listed securities of $35.0 million, which we refer to as the Minimum MVLS Rule. A company will satisfy the continued listing requirement under Nasdaq Listing Rule 5550(b) if it meets either the Stockholders’ Equity Rule or the Minimum MVLS Rule. On April 29, 2025, we submitted a modified multi-step plan for regaining compliance to the Panel (our “Plan”), which the Panel approved. Our Plan includes, among other things, increasing our stockholders’ equity by May 31, 2025 and increasing it further by July 15, 2025. The Panel’s determination to grant our request for an extension is subject to certain conditions, including, among others, that we make progress in executing against our Plan by the dates specified in our Plan and that on or before August 12, 2025 (a) we publicly disclose transactions we undertook to increase our stockholders’ equity and provide an indication of our stockholders’ equity following such transactions, and (b) we provide the Panel with an update on our fundraising plans and income projections for the next 12 months. We intend to publicly disclose or provide, as the case may be, the information required by the Panel’s determination within the timeframe required thereby. While we are actively pursuing a range of initiatives aimed at executing against our Plan, no assurances can be given that we will be successful in doing so or that we will satisfy either the Stockholders’ Equity Rule or the Minimum MVLS Rule by August 12, 2025. If we fail to execute on our Plan to the Panel’s satisfaction and remain non-compliant with Nasdaq’s continued listing requirements, the Panel may take action to delist our common stock before August 12, 2025, even though the Panel granted us conditional continued listing until August 12, 2025. As is customary, the Panel also reserved the right to reconsider the terms of the extension it granted based on any event, condition or circumstance that exists or develops that would, in the opinion of the Panel, make continued listing of our common stock inadvisable or unwarranted. See the risk factor titled, </w:t>
      </w:r>
      <w:r>
        <w:rPr>
          <w:rFonts w:ascii="Arial;sans-serif" w:hAnsi="Arial;sans-serif"/>
          <w:b w:val="false"/>
          <w:i/>
          <w:color w:val="000000"/>
          <w:sz w:val="20"/>
        </w:rPr>
        <w:t>If we fail to regain and maintain compliance with the continued listing requirements of The Nasdaq Capital Market, our common stock could be suspended and delisted, which could, among other things, limit demand for our common stock, substantially impair our ability to raise additional capital and have an adverse effect on the market price of, and the efficiency of the trading market for, our common stock,</w:t>
      </w:r>
      <w:r>
        <w:rPr>
          <w:color w:val="000000"/>
        </w:rPr>
        <w:t xml:space="preserve"> </w:t>
      </w:r>
      <w:r>
        <w:rPr>
          <w:rFonts w:ascii="Arial;sans-serif" w:hAnsi="Arial;sans-serif"/>
          <w:b w:val="false"/>
          <w:color w:val="000000"/>
          <w:sz w:val="20"/>
        </w:rPr>
        <w:t xml:space="preserve">in Item 1A of Part II of this report. </w:t>
      </w:r>
    </w:p>
    <w:p>
      <w:pPr>
        <w:pStyle w:val="TextBody"/>
        <w:bidi w:val="0"/>
        <w:spacing w:before="0" w:after="120"/>
        <w:jc w:val="both"/>
        <w:rPr/>
      </w:pPr>
      <w:r>
        <w:rPr/>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Macroeconomic, Political, and Regulatory Uncertainty</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Our business, financial condition, operating results, and our ability to raise additional capital may be adversely affected by evolving U.S. and global economic, political, and regulatory developments and conditions, such as inflation, trade disruptions and restrictive measures, including tariffs, high interest rates, slowed economic growth or recession, volatility in financial markets, changes in the regulatory landscape in the U.S., including due to significant reductions in funding and staffing of federal agencies and changes in leadership, and geopolitical factors. Unstable and unfavorable market and economic conditions may make it more difficult, more costly, and more dilutive to our stockholders to raise additional capital to fund our operations and execute against our business strategy, as well as adversely impact market demand for the women’s health solutions we make available under our expanded business strategy announced in March 2025. Further, the service providers, manufacturers, vendors, and collaborators on which we rely to execute against our business strategy may be adversely affected by the foregoing risks, which could directly impact our ability to achieve our operating goals within planned timelines and budgets.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There may be significant future effects on the women's health sector and the pharmaceutical and biopharmaceutical industries as a result of federal policy and regulatory changes under the current U.S. presidential administration, including in areas relating to regulatory framework and oversight, research and development funding, drug pricing reform, global trade policy and tariffs, and others. Recent initiatives have resulted in significant reductions in staffing levels at the FDA and NIH and could impact the agencies’ ability to retain remaining key personnel and hire additional personnel, which may disrupt their ability to perform routine activities or function in the normal course. With respect to the FDA, this may result in delays or limitations on our ability to obtain guidance from agency staff, slow review times for applications we submit to commence clinical studies and obtain requisite regulatory approvals in the future, and consequently, negatively impact the cost and timelines for developing and obtaining regulatory approval of our product candidates. Moreover, our business strategy has included seeking non-dilutive sources of funding and collaborations to support product development, and we have benefited significantly from federal government funding through grants and other agreements in support of several of our development programs, including Ovaprene and DARE-HPV. See above under “Recent Events,” Note 10 “Grant Awards” to the accompanying condensed consolidated financial statements, and our 2024 10-K for additional information. The U.S. presidential administration has recently taken actions to freeze or terminate more than $1.0 billion in NIH grants and the future of the NIH’s budget and research funding is highly uncertain. Our business, financial condition and operating results may be significantly adversely affected if existing grants or other arrangements supporting our development programs are frozen or terminated or we are unable to secure additional grants or other federal government funding in the future. Given the high level of uncertainty regarding federal policy and enforcement and regulatory changes and that circumstances are rapidly evolving, including as a result of legal challenges to recent federal government actions, we are not able to reasonably predict the potential impact on our business at this time. We continue to monitor these evolving developments and conditions and their potential impacts of our business, financial condition, and results of operations, and will attempt to adjust our plans, as appropriate, to mitigate risks. For additional information, see the risk factors described in Part II, Item 1A, Risk Factors in this report and Part I, Item 1A. Risk Factors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Financial Overview</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revenue reflects payments earned under our license agreement with Organon to commercialize XACIATO. Pursuant to our traditional royalty purchase agreement with XOMA, from and after April 1, 2024, all of the royalties and potential milestone payments we would otherwise have the right to receive under our license agreement with Organon based on net sales of XACIATO will be paid to XOMA, net of payments made under our exclusive license agreement with third-party licensors TriLogic Pharma, LLC and MilanaPharm LLC and under our royalty interest financing agreement with United in Endeavour, LLC, or UiE. Accordingly, from and after April 1, 2024, any revenue we recognize under our license agreement with Organon based on net sales of XACIATO will be payable to UiE and recognized as non-cash royalty revenue. For information regarding potential payments to upstream licensors, see Note 3 “Strategic Agreements” to the accompanying condensed consolidated financial statements. For information regarding our contractual obligations to XOMA and UiE, see Note 8 “Royalty Purchase Agreements” and Note 7 “Royalty Interest Financing,” respectively, to the accompanying condensed consolidated financial statements.</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majority of our operating expenses during a fiscal year are research and development, or R&amp;D, expenses, a significant portion of which, excluding those funded by non-dilutive grants, are associated with the clinical development for our product candidates that have reached the human clinical study development phase. We expect our R&amp;D expenses will continue to represent the majority of our operating expenses for at least the next twelve months. R&amp;D expenses consist primarily of:</w:t>
      </w:r>
    </w:p>
    <w:p>
      <w:pPr>
        <w:pStyle w:val="TextBody"/>
        <w:bidi w:val="0"/>
        <w:spacing w:lineRule="auto" w:line="288" w:before="200" w:after="283"/>
        <w:ind w:left="0" w:right="0" w:firstLine="360"/>
        <w:jc w:val="both"/>
        <w:rPr/>
      </w:pPr>
      <w:r>
        <w:rPr>
          <w:color w:val="000000"/>
        </w:rPr>
        <w:t>•</w:t>
      </w:r>
      <w:r>
        <w:rPr>
          <w:rFonts w:ascii="Arial;sans-serif" w:hAnsi="Arial;sans-serif"/>
          <w:b w:val="false"/>
          <w:color w:val="000000"/>
          <w:sz w:val="20"/>
        </w:rPr>
        <w:t>direct program costs, including:</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expenses incurred under agreements with clinical research organizations (CROs), investigative sites and other third parties that assist in the conduct of our clinical trials and nonclinical studies and conduct other R&amp;D and regulatory affairs activities on our behalf,</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contract manufacturing expenses, primarily for the production of materials for use in our clinical trials and nonclinical studies,</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transaction costs related to acquisitions of companies, technologies and related intellectual property, and other assets,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milestone payments due to third parties under acquisition and in-licensing arrangements based on our product candidates' achievement of R&amp;D and regulatory milestones specified therein, and</w:t>
      </w:r>
    </w:p>
    <w:p>
      <w:pPr>
        <w:pStyle w:val="TextBody"/>
        <w:bidi w:val="0"/>
        <w:spacing w:lineRule="auto" w:line="288" w:before="200" w:after="283"/>
        <w:ind w:left="0" w:right="0" w:firstLine="360"/>
        <w:jc w:val="both"/>
        <w:rPr/>
      </w:pPr>
      <w:r>
        <w:rPr>
          <w:color w:val="000000"/>
        </w:rPr>
        <w:t>•</w:t>
      </w:r>
      <w:r>
        <w:rPr>
          <w:rFonts w:ascii="Arial;sans-serif" w:hAnsi="Arial;sans-serif"/>
          <w:b w:val="false"/>
          <w:color w:val="000000"/>
          <w:sz w:val="20"/>
        </w:rPr>
        <w:t>indirect costs, including:</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personnel-related costs, including salaries, bonuses, benefits, payroll taxes, and stock-based compensation expenses for employees engaged in R&amp;D functions,</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the costs of services performed by third parties, including consulting services,</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facilities-related costs, including rent and maintenance costs, and insurance, depreciation, supplies, and miscellaneous expenses, and</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costs related to travel, conference participation, service contracts, information technology, dues and subscriptions.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R&amp;D expenses as they are incurred. External expenses are recognized based on our evaluation of the progress to completion of specific tasks using information provided to us by our service providers or our estimate of the amount of services that has been performed at each reporting date. Nonrefundable payments we make prior to the receipt of goods or services to be used in R&amp;D are recognized as an expense as the related goods are delivered or services are performed. Milestone payments to third parties under acquisition, license, and option agreements are recognized as they are incurred or when we deem their incurrence to be probable.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any one time, we are working on multiple programs at various stages of development. We anticipate that we will make determinations as to which product candidates to pursue and how much funding to direct to each development program on an ongoing basis based on our cash resources and in response to the results of ongoing and future clinical trials and preclinical studies, regulatory developments, and our ongoing assessments as to the commercial potential of each product candidate. Until we secure additional capital to fund our operating needs, we expect our research and development spend will be primarily on advancement of Ovaprene. In addition, we expect to incur significant research and development expenses for the DARE-LARC1 and DARE-HPV programs, but we also expect such expenses will be supported by non-dilutive funding, with respect to DARE-LARC1, through at least 2026, and with respect to DARE-HPV, through October 2026. See Note 10 "Grant Awards" to the accompanying condensed consolidated financial statements for additional information.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generally track direct R&amp;D costs on a specific basis and present direct costs for our key development programs on a program-by-program basis. We present direct costs for all other programs on a consolidated basis generally by stage of development. Specifically, we present consolidated direct costs for (a) such programs that are in (i) advanced clinical development (Phase 2-ready to Phase 3), (ii) Phase 1 clinical development or that we believe are Phase 1-ready, and (iii) preclinical stage, and (b) other development programs. We do not track indirect costs on a program-by-program basis because those costs generally are deployed across multiple development programs.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Investment in the development of and seeking regulatory approval for our clinical-stage and Phase 1-ready product candidates and the development of any other potential product candidates we may advance into and through clinical trials in the pursuit of regulatory approvals, will increase our R&amp;D expenses. Activities associated with the foregoing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R&amp;D expenses due to, among other factors, milestone payments.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Until the first commercial sale of XACIATO, we recognized contract manufacturing expenses associated with producing commercial supplies of XACIATO and costs of regulatory affairs activities related to XACIATO as R&amp;D expenses. Following the first commercial sale of XACIATO, and during the interim period when we were the NDA holder of XACIATO and provided commercial supplies of XACIATO to Organon, those expenses were recognized as general and administrative expenses.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the Australian Research and Development Tax Incentive Program, or the Tax Incentive, as a reduction of R&amp;D expenses (contra-R&amp;D expense). The amounts are determined based on our eligible R&amp;D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received, and may in the future receive, funding through grants and other financial awards from governmental entities, private foundations and other organizations that support activities related to the development of certain of our product candidates. As we incur eligible expenses under those grants or awards, we recognize grant funding in the statements of operations as a reduction to R&amp;D expenses (contra-R&amp;D expense). For more information, see Note 2 "Basis of Presentation and Summary of Significant Accounting Policies–Grant Funding" to our consolidated financial statements contained in our 2024 10-K and Note 10 "Grant Awards" to the accompanying condensed consolidated financial statements. For the three months ended March 31, 2025 and 2024, we recognized contra-research and development expense of approximately $3.1 million and $2.9 million, respectively.</w:t>
      </w:r>
    </w:p>
    <w:p>
      <w:pPr>
        <w:pStyle w:val="TextBody"/>
        <w:bidi w:val="0"/>
        <w:spacing w:lineRule="auto" w:line="288" w:before="200" w:after="283"/>
        <w:ind w:left="0" w:right="0" w:firstLine="720"/>
        <w:jc w:val="both"/>
        <w:rPr/>
      </w:pPr>
      <w:r>
        <w:rPr>
          <w:rFonts w:ascii="Arial;sans-serif" w:hAnsi="Arial;sans-serif"/>
          <w:b w:val="false"/>
          <w:color w:val="000000"/>
          <w:sz w:val="20"/>
        </w:rPr>
        <w:t>Conducting clinical trials necessary to obtain regulatory approval is costly and time consuming. We may not obtain regulatory approval for any product candidate on a timely or cost-effective basis, or at all. Our future R&amp;D expenses and the probability of success of our product candidates may be affected by numerous factors, including the number, scope, rate of progress, expense, and results of our clinical trials and nonclinical R&amp;D activities, the countries in which our clinical trials are conducted, the phase of clinical development of our product candidates, the cost and timing of manufacturing our product candidates, our ability to scale up manufacturing as needed to support later-stage clinical trials and, if approved, commercialization of our product candidates, the extent of changes in government regulation and regulatory guidance relating to development and approval of our product candidates, the timing, receipt, and terms of any clearances to conduct clinical trials and any marketing approvals from applicable regulatory authorities, competition and commercial viability of our product candidates, the extent to which we establish and maintain intellectual property rights, the extent to which we establish and maintain license, collaboration, or other arrangements. As a result, we cannot accurately determine the duration and completion costs of development projects or if, when and to what extent we will generate revenue from</w:t>
      </w:r>
      <w:r>
        <w:rPr>
          <w:color w:val="000000"/>
        </w:rPr>
        <w:t xml:space="preserve"> </w:t>
      </w:r>
      <w:r>
        <w:rPr>
          <w:rFonts w:ascii="Times New Roman;sans-serif" w:hAnsi="Times New Roman;sans-serif"/>
          <w:b w:val="false"/>
          <w:color w:val="000000"/>
          <w:sz w:val="20"/>
        </w:rPr>
        <w:t>any</w:t>
      </w:r>
      <w:r>
        <w:rPr>
          <w:color w:val="000000"/>
        </w:rPr>
        <w:t xml:space="preserve"> </w:t>
      </w:r>
      <w:r>
        <w:rPr>
          <w:rFonts w:ascii="Arial;sans-serif" w:hAnsi="Arial;sans-serif"/>
          <w:b w:val="false"/>
          <w:color w:val="000000"/>
          <w:sz w:val="20"/>
        </w:rPr>
        <w:t>products we develop.</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License Fee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License fee expenses consist of up-front license fees and annual license fees due under our in-licensing arrangements.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Royalty Expenses</w:t>
      </w:r>
    </w:p>
    <w:p>
      <w:pPr>
        <w:pStyle w:val="TextBody"/>
        <w:bidi w:val="0"/>
        <w:spacing w:lineRule="auto" w:line="288" w:before="200" w:after="283"/>
        <w:ind w:left="0" w:right="0" w:firstLine="720"/>
        <w:jc w:val="both"/>
        <w:rPr/>
      </w:pPr>
      <w:r>
        <w:rPr>
          <w:rFonts w:ascii="Arial;sans-serif" w:hAnsi="Arial;sans-serif"/>
          <w:b w:val="false"/>
          <w:color w:val="000000"/>
          <w:sz w:val="20"/>
        </w:rPr>
        <w:t>Royalty expenses consist of product sales-based payments we owe to upstream licensors. For information regarding potential payments to upstream licensors, see Note 3 "Strategic Agreements" to the accompanying condensed consolidated financial statements.</w:t>
      </w:r>
      <w:r>
        <w:rPr>
          <w:color w:val="000000"/>
        </w:rPr>
        <w:t xml:space="preserve">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General and administrative expenses consist of personnel costs, facility expenses, expenses for outside professional services, including legal, audit and accounting services, commercial-readiness expenses, and milestone expenses. Personnel costs consist of salaries, benefits and stock-based compensation. Facility expenses consist of rent and other related costs. Commercial-readiness expenses consist of consultant and advisor costs. Milestone expenses consist of amounts that become due to third parties under our in-license or other agreements under which we acquired rights to technology or other intellectual property we use in a product based on the product's achievement of commercial milestones specified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 is based on our interim condensed consolidated financial statements, that we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accompanying condensed consolidated financial statements, refer to Item 7 in Management’s Discussion and Analysis of Financial Condition and Results of Operations in our 2024 10-K. Since December 31, 2024, there have been no material changes to our critical accounting policies or the methodologies or assumptions we apply under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00"/>
        <w:jc w:val="left"/>
        <w:rPr>
          <w:rFonts w:ascii="Arial;sans-serif" w:hAnsi="Arial;sans-serif"/>
          <w:b/>
          <w:i/>
          <w:color w:val="000000"/>
          <w:sz w:val="20"/>
        </w:rPr>
      </w:pPr>
      <w:r>
        <w:rPr>
          <w:rFonts w:ascii="Arial;sans-serif" w:hAnsi="Arial;sans-serif"/>
          <w:b/>
          <w:i/>
          <w:color w:val="000000"/>
          <w:sz w:val="20"/>
        </w:rPr>
        <w:t>Comparison of Three Months Ended March 31, 2025 and 2024 (Unaudited)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condensed consolidated results of operations for the periods indicated, together with the changes in those items in terms of dollars and percentage:</w:t>
      </w:r>
    </w:p>
    <w:tbl>
      <w:tblPr>
        <w:tblW w:w="9873" w:type="dxa"/>
        <w:jc w:val="center"/>
        <w:tblInd w:w="0" w:type="dxa"/>
        <w:tblLayout w:type="fixed"/>
        <w:tblCellMar>
          <w:top w:w="28" w:type="dxa"/>
          <w:left w:w="28" w:type="dxa"/>
          <w:bottom w:w="28" w:type="dxa"/>
          <w:right w:w="28" w:type="dxa"/>
        </w:tblCellMar>
      </w:tblPr>
      <w:tblGrid>
        <w:gridCol w:w="1326"/>
        <w:gridCol w:w="1164"/>
        <w:gridCol w:w="1170"/>
        <w:gridCol w:w="211"/>
        <w:gridCol w:w="1081"/>
        <w:gridCol w:w="109"/>
        <w:gridCol w:w="109"/>
        <w:gridCol w:w="109"/>
        <w:gridCol w:w="109"/>
        <w:gridCol w:w="211"/>
        <w:gridCol w:w="1081"/>
        <w:gridCol w:w="109"/>
        <w:gridCol w:w="109"/>
        <w:gridCol w:w="109"/>
        <w:gridCol w:w="109"/>
        <w:gridCol w:w="211"/>
        <w:gridCol w:w="1021"/>
        <w:gridCol w:w="109"/>
        <w:gridCol w:w="109"/>
        <w:gridCol w:w="109"/>
        <w:gridCol w:w="109"/>
        <w:gridCol w:w="269"/>
        <w:gridCol w:w="271"/>
        <w:gridCol w:w="286"/>
        <w:gridCol w:w="109"/>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2,670,581 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3,353,520 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Royalty expense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6,031,775 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(4,581,118)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(6,022,473)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1,441,355 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(6,755,356)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2,377,049 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(4,365,217)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(6,794,583)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2,429,366 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Revenues for the three months ended March 31, 2025 and March 31, 2024 are related to our license agreement with Organon to commercialize XACIATO. From and after April 1, 2024, any revenue we recognize under such license agreement will be recognized as non-cash royalty revenue. See "—Financial Overview—Revenue," above for information.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decrease of approximately $0.4 million in general and administrative expenses for the three months ended March 31, 2025 as compared to the three months ended March 31, 2024 was primarily attributable to decreases in (i) stock-based compensation expense of approximately $0.2 million, (ii) professional services expense of approximately $0.1 million, and (iii) personnel costs of approximately $0.1 million.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R&amp;D expenses for the periods indicated, together with the changes in those items in terms of dollars and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51"/>
        <w:gridCol w:w="699"/>
        <w:gridCol w:w="704"/>
        <w:gridCol w:w="129"/>
        <w:gridCol w:w="129"/>
        <w:gridCol w:w="129"/>
        <w:gridCol w:w="251"/>
        <w:gridCol w:w="1216"/>
        <w:gridCol w:w="129"/>
        <w:gridCol w:w="129"/>
        <w:gridCol w:w="129"/>
        <w:gridCol w:w="129"/>
        <w:gridCol w:w="251"/>
        <w:gridCol w:w="1216"/>
        <w:gridCol w:w="129"/>
        <w:gridCol w:w="129"/>
        <w:gridCol w:w="129"/>
        <w:gridCol w:w="129"/>
        <w:gridCol w:w="251"/>
        <w:gridCol w:w="1233"/>
        <w:gridCol w:w="129"/>
        <w:gridCol w:w="129"/>
        <w:gridCol w:w="129"/>
        <w:gridCol w:w="129"/>
        <w:gridCol w:w="294"/>
        <w:gridCol w:w="295"/>
        <w:gridCol w:w="409"/>
      </w:tblGrid>
      <w:tr>
        <w:trPr/>
        <w:tc>
          <w:tcPr>
            <w:tcW w:w="14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Direct program costs: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Ovaprene </w:t>
            </w:r>
            <w:r>
              <w:rPr>
                <w:rFonts w:ascii="Arial;sans-serif" w:hAnsi="Arial;sans-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1,495,727 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2,183,873 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(688,146)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Sildenafil Cream, 3.6%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460,107 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(248,718)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advanced clinical stage programs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490,562 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446,671 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Phase 1 and Phase 1-ready clinical stage programs </w:t>
            </w:r>
            <w:r>
              <w:rPr>
                <w:rFonts w:ascii="Arial;sans-serif" w:hAnsi="Arial;sans-serif"/>
                <w:b w:val="false"/>
                <w:color w:val="000000"/>
                <w:sz w:val="13"/>
              </w:rPr>
              <w:t>(1)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496,747 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229,550 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Preclinical stage programs </w:t>
            </w:r>
            <w:r>
              <w:rPr>
                <w:rFonts w:ascii="Arial;sans-serif" w:hAnsi="Arial;sans-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1,098,738 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1,371,708 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(272,970)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development programs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Contra R&amp;D expenses </w:t>
            </w:r>
            <w:r>
              <w:rPr>
                <w:rFonts w:ascii="Arial;sans-serif" w:hAnsi="Arial;sans-serif"/>
                <w:b w:val="false"/>
                <w:color w:val="000000"/>
                <w:sz w:val="13"/>
              </w:rPr>
              <w:t>(2)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(2,618,373)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(2,652,715)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direct program costs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1,174,790 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2,051,988 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(877,198)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Indirect costs: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(including stock compensation)</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1,492,248 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1,482,597 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Outside services (including consulting)</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Facilities-related (including depreciation)</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indirect R&amp;D costs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 R&amp;D expenses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(448,392)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(259,264)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(189,128)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indirect R&amp;D costs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1,122,591 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1,301,532 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(178,941)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R&amp;D expenses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2,297,381 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3,353,520 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(1,056,139)</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 xml:space="preserve">1.The applicable program(s) receive grant funding and/or the Tax Incentive. The amount of R&amp;D expense for the period indicated is shown on a gross basis (i.e., without deducting the amount of contra R&amp;D expense for the applicable program(s). See footnote (2) below. </w:t>
            </w:r>
          </w:p>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2.These contra R&amp;D expenses were recognized as follows for the three months ended March 31, 2025 and 2024: (a) Ovaprene, $0.5 million, and $0, respectively; (b) other advanced clinical stage programs, $0.5 million and $0 respectively, (c) Phase 1 and Phase 1-ready clinical stage programs, $0.1 million and $0.2 million, respectively; and (d) preclinical stage programs, $1.6 million and $2.4 million, respectively.</w:t>
            </w:r>
          </w:p>
        </w:tc>
      </w:tr>
    </w:tbl>
    <w:p>
      <w:pPr>
        <w:pStyle w:val="TextBody"/>
        <w:bidi w:val="0"/>
        <w:spacing w:lineRule="auto" w:line="288" w:before="200" w:after="283"/>
        <w:ind w:left="0" w:right="0" w:firstLine="720"/>
        <w:jc w:val="both"/>
        <w:rPr/>
      </w:pPr>
      <w:r>
        <w:rPr>
          <w:rFonts w:ascii="Arial;sans-serif" w:hAnsi="Arial;sans-serif"/>
          <w:b w:val="false"/>
          <w:color w:val="000000"/>
          <w:sz w:val="20"/>
        </w:rPr>
        <w:t>The decrease of approximately $1.1 million in R&amp;D expenses for the three months ended March 31, 2025 as compared to the three months ended March 31, 2024 was primarily attributable to decreases in (i) manufacturing costs related to Ovaprene, (ii) costs related to development activities for Sildenafil Cream, and (iii) costs related to development activities for our preclinical stage programs. These decreases were partially offset by increases in costs related to our Phase 1 and Phase 1-ready clinical stage programs. Contra-R&amp;D expenses for the three months ended March 31, 2025 and 2024</w:t>
      </w:r>
      <w:r>
        <w:rPr>
          <w:color w:val="000000"/>
        </w:rPr>
        <w:t xml:space="preserve"> </w:t>
      </w:r>
      <w:r>
        <w:rPr>
          <w:rFonts w:ascii="Arial;sans-serif" w:hAnsi="Arial;sans-serif"/>
          <w:b w:val="false"/>
          <w:color w:val="000000"/>
          <w:sz w:val="20"/>
        </w:rPr>
        <w:t xml:space="preserve">primarily offset direct program costs for DARE-LARC1, one of our preclinical stage programs.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Royalty expenses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Royalty expenses for the three months ended March 31, 2024 related to our license agreement with MilanaPharm and our royalty interest financing agreement with UiE.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income (expense)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increase of $0.9 million in other income for the three months ended March 31, 2025 as compared to the three months ended March 31, 2024 was primarily due to a loss on the disposal of a fixed asset of $0.6 million recorded in the prior year period and the receipt in the current year of approximately $0.2 million of employee retention credits for applications filed during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Plan of Operations and Future Funding Requirements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At March 31, 2025, our accumulated deficit was approximately $179.7 million, our cash and cash equivalents were approximately $10.3 million, and our working capital deficit was approximately $9.4 million. We will need additional capital to fund our operating needs into the third quarter of 2025 and to meet our current obligations as they become due. All of our cash and cash equivalents at March 31, 2025 represented funds received under grant agreements that generally may be applied solely toward direct costs of carrying out the respective projects under those grant agreements.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prepared the accompanying condensed consolidated financial statements on a going concern basis, which assumes that we will realize our assets and satisfy our liabilities in the normal course of business. We have a history of losses from operations and expect significant losses from operations, net losses, and negative cash flows from operations until such time that we generate revenue to cover our operating expenses that results in net income. Because we are in the early stages of executing against our expanded business strategy announced in March 2025, it is not possible to predict when this will occur and there could be significant losses from operations and negative cash flows from operations for the next several years. Until such time that we generate revenue to cover our operating expenses that results in net income, we are dependent on securing substantial additional capital from one or more third-party sources to satisfy our working capital needs and other liquidity requirements over at least the next 12 months from the date of issuance of the accompanying condensed consolidated financial statements. These circumstances raise substantial doubt about our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are in ongoing discussions with potential third-party sources of additional capital, and we will continue to evaluate and may pursue a variety of capital raising options, including sales of equity (including sales of our common stock under our equity line arrangement and in ATM offerings (see “—Capital Resources,” below)), debt financings, government or other grant funding, collaborations, structured financings, and strategic alliances or other similar types of arrangements. However, our ability to raise additional capital will depend on a variety of factors, many aspects of which are not entirely within our control, and there can be no assurance that capital will be available when needed or that, if available, it will be obtained on terms favorable to us and our stockholders. In addition, the delisting of our common stock from Nasdaq could substantially impair our ability to raise capital. Raising additional capital may cause substantial dilution to our stockholders, restrict our operations or require us to relinquish rights in our technologies or product candidates and their future revenue streams. See the risk factor titled, If we fail to regain and maintain compliance with the continued listing requirements of The Nasdaq Capital Market, our common stock could be suspended and delisted, which could, among other things, limit demand for our common stock, substantially impair our ability to raise additional capital and have an adverse effect on the market price of, and the efficiency of the trading market for, our common stock, in Item 1A of Part II of this report, and the risk factors under “Risks Related to Our Financial Position and Capital Needs” in ITEM 1A. RISK FACTORS of our 2024 10-K.</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If we cannot raise capital when needed, on favorable terms or at all, we will not be able to continue development of our product candidates, will need to reevaluate our planned operations and may need to delay, scale back or eliminate some or all of our product candidate programs, reduce expenses, file for bankruptcy, reorganize, merge with another entity, or cease operations. For example, in recent years, due to our limited capital resources, we have focused our resources primarily on the advancement of Ovaprene and Sildenafil Cream, unless a program has been supported by grant or other non-dilutive funding, and we have delayed R&amp;D activities for other programs. If we become unable to continue as a going concern, we may have to liquidate our assets, and might realize significantly less than the values at which they are carried on our financial statements, and stockholders may lose all or part of their investment in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majority of our operating expenses during a fiscal year are R&amp;D expenses. Our R&amp;D expenses for the remainder of 2025, until we secure additional capital to fund our operating needs, will be primarily associated with our ongoing pivotal Phase 3 clinical study of Ovaprene. However, we plan to continue to advance preclinical development of DARE-LARC1, the costs of which are being supported by grant funding, and, with the support of funding under our October 2024 subaward agreement and the December 2024 NIAID grant award, to advance development of DARE-HPV toward a Phase 2 clinical study. Assuming we are able to raise the necessary capital to continue our operations, we anticipate our R&amp;D expenses and our general and administrative expenses for 2025 will be similar to the amount of such expenses for 2024.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expect our operating expenses for the foreseeable future to continue to be R&amp;D expenses and general and administrative expenses consistent with the nature of such expenses described above under “Financial Overview.” Our future expenses could also include significant costs related to commercialization of our product candidates, if approved, depending on the type, nature and terms of commercial collaborations we establish, and in particular, if we determine to engage in commercialization activities directly as opposed to through a third-party collaborator. Our future capital requirements are difficult to predict because they will depend on many factors that are highly variable and difficult to predict, including, but not limited to, those discussed in the risk factor in Part I, Item 1A of our 2024 10-K titled, “Risks Related to Our Financial Position and Capital Needs.” We cannot accurately determine the duration and completion costs of our development programs, or if, when and to what extent we will generate revenue from any products we develop.</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Capital Resources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Historically, the cash used to fund our operations has come from a variety of sources and predominantly from sales of shares of our common stock. We have also received a significant amount of cash through non-dilutive grants, strategic collaborations and royalty monetization transactions.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 sales agreement with Stifel, Nicolaus &amp; Company, Incorporated, or Stifel, to sell shares of our common stock from time to time through an ATM offering under which Stifel acts as our agent. We have not sold any shares of our common stock under this agreement in 2025. Shares of our common stock sold under the sales agreement will be offered and sold under our shelf registration statement on Form S-3 (File No. 333-278380), declared effective by the SEC on May 10, 2024, the base prospectus included therein and the prospectus supplement thereto dated May 10, 2024 relating to the offering of up to $18.1 million of shares of our common stock, and any subsequent prospectus supplement related to the offering of shares of our common stock under the sales agreement.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 purchase agreement with Lincoln Park under which, subject to the conditions thereof, we have the right, but not the obligation, to sell to Lincoln Park, and Lincoln Park is obligated to purchase, up to $15.0 million in shares of our common stock. Such sales of our common stock to Lincoln Park, if any, will be subject to certain limitations, and may occur from time to time, at our sole discretion, over the 24-month period commencing on November 27, 2024. See Note 5 "Stockholders' Equity—Equity Line" to the accompanying condensed consolidated financial statements for additional information. We sold 150,000 shares of our common stock under this purchase agreement during the three months ended March 31, 2025 and received net proceeds of approximately $0.4 million.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As previously announced and discussed above, we are pursuing new business strategies to bring our proprietary formulations and consumer health products to market. We expect to begin recording revenue from sales thereof in the fourth quarter of 2025, however, we do not expect the amount of such revenue, if any, to be material during 2025.</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Our royalty purchase agreements with XOMA may be a source of future capital; however, whether we receive any future payments from XOMA will depend on whether XOMA first receives total payments under those agreements equal to an amount that exceeds $88.0 million, which may not occur and will depend, in part, on the commercial success of XACIATO, which is outside of our control.</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license agreement with Bayer regarding the further development and commercialization of Ovaprene in the U.S., if approved, may be a future source of capital; however, whether we receive any future payments from Bayer will depend on whether Bayer, in its sole discretion, exercises its right to make the license effective by paying us $20.0 million after we complete the ongoing pivotal Phase 3 clinical study of Ovaprene, which we do not expect to be completed in 2025. In addition, a portion of that potential $20.0 million payment from Bayer would be payable to XOMA as discussed under “—Contractual Obligations and Other Commitments—Royalty Purchase Agreements with XOMA,”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Deferred Grant Funding</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have received substantial funding under grant agreements with the Foundation, and we generally receive funds under those agreements before we incur the eligible expenses. Under the terms of such grant agreements, the funds we receive may be applied solely toward direct costs of carrying out the respective projects under those grant agreements, other than approximately 10% of such funds, which may be applied toward general overhead and administration expenses that support our entire operations. Funds received that have not been spent are recorded both as cash and cash equivalents and as a deferred grant funding liability in our consolidated balance sheets. Funds received that have been spent but not yet expensed in accordance with GAAP are also recorded as part deferred grant funding liability in our consolidated balance sheets. As of March 31, 2025, our deferred grant funding liability was approximately $15.1 million, substantially all of which consisted of unspent funds for the DARE-LARC1 program and the Ovaprene Phase 3 clinical study. For more information about these grant agreements, see "—Contractual Obligations and Other Commitments—Grant Agreements" below, Note 2 "Basis of Presentation and Summary of Significant Accounting Policies—Grant Funding" to our consolidated financial statements in our 2024 10-K, and Note 10 "Grant Awards—Other Non-Dilutive Grant Funding" to the accompanying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a summary of our cash flows for the periods indicated:</w:t>
      </w:r>
    </w:p>
    <w:tbl>
      <w:tblPr>
        <w:tblW w:w="8784" w:type="dxa"/>
        <w:jc w:val="center"/>
        <w:tblInd w:w="0" w:type="dxa"/>
        <w:tblLayout w:type="fixed"/>
        <w:tblCellMar>
          <w:top w:w="28" w:type="dxa"/>
          <w:left w:w="28" w:type="dxa"/>
          <w:bottom w:w="28" w:type="dxa"/>
          <w:right w:w="28" w:type="dxa"/>
        </w:tblCellMar>
      </w:tblPr>
      <w:tblGrid>
        <w:gridCol w:w="2034"/>
        <w:gridCol w:w="1781"/>
        <w:gridCol w:w="1795"/>
        <w:gridCol w:w="211"/>
        <w:gridCol w:w="1081"/>
        <w:gridCol w:w="109"/>
        <w:gridCol w:w="109"/>
        <w:gridCol w:w="109"/>
        <w:gridCol w:w="109"/>
        <w:gridCol w:w="211"/>
        <w:gridCol w:w="1081"/>
        <w:gridCol w:w="154"/>
      </w:tblGrid>
      <w:tr>
        <w:trPr/>
        <w:tc>
          <w:tcPr>
            <w:tcW w:w="203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(5,470,543)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(6,812,962)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(5,368,207)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(6,845,453)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Arial;sans-serif" w:hAnsi="Arial;sans-serif"/>
          <w:b/>
          <w:i/>
          <w:color w:val="000000"/>
          <w:sz w:val="20"/>
        </w:rPr>
      </w:pPr>
      <w:r>
        <w:rPr>
          <w:rFonts w:ascii="Arial;sans-serif" w:hAnsi="Arial;sans-serif"/>
          <w:b/>
          <w:i/>
          <w:color w:val="000000"/>
          <w:sz w:val="20"/>
        </w:rPr>
        <w:t>Net cash used in operating activities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used in operating activities for the three months ended March 31, 2025 included the net loss of $4.4 million, decreased by non-cash stock-based compensation expense of approximately $0.4 million. Components providing operating cash were a decrease in prepaid expenses of approximately $0.7 million and decrease in other receivables of approximately $0.1 million. Components reducing operating cash were a decrease in deferred grant funding liability of approximately $1.4 million and a decrease in accrued expenses of approximately $1.1 million.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Cash used in operating activities for the three months ended March 31, 2024 included the net loss of $6.8 million, decreased by non-cash stock-based compensation expense of approximately $0.6 million. Components providing operating cash were a decrease in prepaid expenses of approximately $1.3 million, an increase in accounts payable of approximately $0.7 million, a decrease in deposits of approximately $0.4 million, and an increase in interest payable of approximately $0.1 million. Components reducing operating cash were a decrease in deferred grant funding liability of approximately $1.9 million, a decrease in accrued expenses of approximately $1.3 million, an increase in other receivables of approximately $0.4 million, an increase in other current assets of approximately $150,000, an increase in accounts receivable of approximately $68,000 and an increase in other non-current assets of approximately $55,000.</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Net cash used in investing activities for the three months ended March 31, 2025 and 2024 was related to purchases of property and equipment of approximately $0.2 million and $7,300,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Net cash provided by financing activities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Net cash provided by financing activities for the three months ended March 31, 2025 consisted primarily of net proceeds from the sales of our common stock under our purchase agreement with Lincoln Park of approximately $0.4 million partially offset by payments on the insurance financing note payable of approximately $0.2 million. Net cash provided by financing activities for the three months ended March 31, 2024 consisted primarily of proceeds from the sales of our common stock under our ATM sales agreement of approximately $0.2 million partially offset by payments on the insurance financing note payable of approximately $0.2 million. </w:t>
      </w:r>
    </w:p>
    <w:p>
      <w:pPr>
        <w:pStyle w:val="TextBody"/>
        <w:bidi w:val="0"/>
        <w:spacing w:lineRule="auto" w:line="288" w:before="200" w:after="240"/>
        <w:jc w:val="both"/>
        <w:rPr>
          <w:rFonts w:ascii="Arial;sans-serif" w:hAnsi="Arial;sans-serif"/>
          <w:b/>
          <w:color w:val="000000"/>
          <w:sz w:val="20"/>
        </w:rPr>
      </w:pPr>
      <w:r>
        <w:rPr>
          <w:rFonts w:ascii="Arial;sans-serif" w:hAnsi="Arial;sans-serif"/>
          <w:b/>
          <w:color w:val="000000"/>
          <w:sz w:val="20"/>
        </w:rPr>
        <w:t>Contractual Obligations and Other Commitments</w:t>
      </w:r>
    </w:p>
    <w:p>
      <w:pPr>
        <w:pStyle w:val="TextBody"/>
        <w:bidi w:val="0"/>
        <w:spacing w:lineRule="auto" w:line="288" w:before="240" w:after="240"/>
        <w:jc w:val="both"/>
        <w:rPr>
          <w:rFonts w:ascii="Arial;sans-serif" w:hAnsi="Arial;sans-serif"/>
          <w:b/>
          <w:i/>
          <w:color w:val="000000"/>
          <w:sz w:val="20"/>
        </w:rPr>
      </w:pPr>
      <w:r>
        <w:rPr>
          <w:rFonts w:ascii="Arial;sans-serif" w:hAnsi="Arial;sans-serif"/>
          <w:b/>
          <w:i/>
          <w:color w:val="000000"/>
          <w:sz w:val="20"/>
        </w:rPr>
        <w:t>License and Royalty Agreements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assembled our pipeline primarily through acquisitions, in-license agreements, and other collaborations. We agreed to make royalty and milestone payments, and in some cases annual license fee payments, under the license and development agreements related to XACIATO, Ovaprene, and Sildenafil Cream and under other agreements related to our other clinical and preclinical candidates. The amount and timing of most of these payments are difficult to predict because the timing of milestone payments for pre-commercial programs generally depends on the progress of and success in development of a particular program, which is subject to many risks and uncertainties as discussed elsewhere in this report and difficult to predict, and the timing and amount of royalty and milestone payments related to commercial products generally depends on their commercial success, which may, as it is with XACIATO, be out of our control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During 2025, based on our current expectations regarding the progress of development of our product candidates and sales of XACIATO, we expect approximately $0.3 million of such payments to upstream licensors to become payable. With respect to our license agreement relating to XACIATO, royalties payable by us to upstream licensors will be funded by royalty payments made by our licensee, Organon. For further discussion of these potential payments, see Note 3 "Strategic Agreements—Strategic Agreements for Pipeline Development" to the accompanying condensed consolidated financial statements.</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Grant Agreements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information regarding our grant agreements with the Foundation, see "—Deferred Grant Funding," above, Note 2 "Basis of Presentation and Summary of Significant Accounting Policies—Grant Funding" to our consolidated financial statements in our 2024 10-K, and Note 10 "Grant Awards—Other Non-Dilutive Grant Funding" to the accompanying condensed consolidated financial statements. </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Royalty Purchase Agreements with XOMA</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In April 2024, we entered into a traditional royalty purchase agreement and a synthetic royalty purchase agreement with XOMA (which, together, we refer to as the Royalty Purchase Agreements) pursuant to which we sold our right, title and interest in the following to XOMA: (a) all of the royalties and potential milestone payments we would otherwise have the right to receive from and after April 1, 2024 under our exclusive license agreement with Organon based on net sales of XACIATO, net of our obligations to upstream licensors and UiE (such net amount we refer to as the Purchased Receivables); (b) a portion of a potential future $20.0 million payment from Bayer under our license agreement relating to Ovaprene and a portion of future net sales of Ovaprene; and (c) a portion of future net sales of Sildenafil Cream (such amounts described in the foregoing clauses (b) and (c) we collectively refer to as the Revenue Participation Right). We received $22.0 million from XOMA in connection with entering into the Royalty Purchase Agreements. If XOMA receives total payments equal to an amount that exceeds $88.0 million, XOMA will pay $11.0 million to us for each successive $22.0 million XOMA receives under the Royalty Purchase Agreements.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the traditional royalty purchase agreement, XOMA, at its sole cost and discretion, may repay in full and retire all of our payment obligations to UiE under our royalty interest financing agreement with UiE. If XOMA does so, no further amounts in respect of that agreement will be deducted from the net royalties and net milestone payments that XOMA is entitled to receive. We cannot elect to receive any additional funding from UiE under our royalty interest financing agreement with UiE without XOMA’s prior written consent.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connection with the synthetic royalty purchase agreement, we granted to XOMA a security interest in certain product assets related to Ovaprene and Sildenafil Cream. The Royalty Purchase Agreements include covenants that limit or restrict our ability to incur indebtedness or liens related to the Purchased Receivables, the Revenue Participation Right, and certain product assets related to Ovaprene and Sildenafil Cream (except pursuant to a suitable intercreditor agreement).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For more information regarding our contractual obligations to XOMA, see Note 8 “Royalty Purchase Agreements” to the accompanying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Royalty Interest Financing Agreement</w:t>
      </w:r>
    </w:p>
    <w:p>
      <w:pPr>
        <w:pStyle w:val="TextBody"/>
        <w:bidi w:val="0"/>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we entered into a royalty interest financing agreement with UiE pursuant to which we sold an interest in the royalty and milestone payments we are entitled to receive in respect of net sales of XACIATO under our license agreement with Organon and received a payment of $5.0 million from UiE. We have not elected to receive any of the up to $7.0 million in potential additional payments from UiE under the agreement, and we cannot do so without XOMA’s prior written consent. In exchange for any payments to us from UiE under the agreement, we agreed to make payments to UiE out of royalty and milestone payments earned on net sales of XACIATO from Organon, net of our obligations to upstream licensors, until UiE receives a specified return on its investment. As described above, XOMA, at its sole cost and discretion, may repay in full and retire all of our payment obligations to UiE under the royalty interest financing agreement.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more information regarding our contractual obligations to UiE, see Note 7 “Royalty Interest Financing” to the accompanying condensed consolidated financial statements. </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have two operating leases for our laboratory and office spaces that expire in 2026 and 2027, respectively. As of March 31, 2025, we had future minimum lease payments under these leases of $1.3 million, $0.6 million of which is classified as current and $0.6 million of which is classified as long-term, the remainder of which represents future interest payments. We have one finance lease for our clean room space that expires in 2026. As of March 31, 2025, we had future minimum lease payments under this lease of $2.6 million, $1.8 million of which is classified as current and $0.6 million of which is classified as long-term, the remainder of which represents future interest payments. For additional information on our lease obligations, See Note 6 "Leases" to the accompanying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Contractual Obligations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For descriptions of additional contractual obligations and commitments, see Note 9 "Commitments and Contingencies" to the accompanying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arrangements, as defined under applicable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Under SEC rules and regulations, as a smaller reporting company we are not required to provide the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an evaluation performed under the supervision and with the participation of our management, including our principal executive and financial officer, of the effectiveness of our disclosure controls and procedures, our principal executive and financial officer concluded that our disclosure controls and procedures (as defined in Rule 13a-15(e) of the Exchange Act) were effective as of March 31, 2025 at the reasonable assurance level.</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 investment in shares of our common stock involves a high degree of risk. You should carefully consider the risks and uncertainties described in our 2024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Except as discussed below, there have been no material changes from the risk factors disclosed in Part I, Item 1A. Risk Factors in our 2024 10-K. </w:t>
      </w:r>
    </w:p>
    <w:p>
      <w:pPr>
        <w:pStyle w:val="TextBody"/>
        <w:bidi w:val="0"/>
        <w:spacing w:lineRule="auto" w:line="288" w:before="160" w:after="200"/>
        <w:jc w:val="both"/>
        <w:rPr>
          <w:rFonts w:ascii="Arial;sans-serif" w:hAnsi="Arial;sans-serif"/>
          <w:b/>
          <w:i/>
          <w:color w:val="000000"/>
          <w:sz w:val="20"/>
        </w:rPr>
      </w:pPr>
      <w:r>
        <w:rPr>
          <w:rFonts w:ascii="Arial;sans-serif" w:hAnsi="Arial;sans-serif"/>
          <w:b/>
          <w:i/>
          <w:color w:val="000000"/>
          <w:sz w:val="20"/>
        </w:rPr>
        <w:t xml:space="preserve">If we fail to regain and maintain compliance with the continued listing requirements of The Nasdaq Capital Market, our common stock could be suspended and delisted, which could, among other things, limit demand for our common stock, substantially impair our ability to raise additional capital and have an adverse effect on the market price of, and the efficiency of the trading market for, our common stock.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Our common stock is listed on The Nasdaq Capital Market. In August 2024, Nasdaq notified us that we do not meet the requirement in Nasdaq Listing Rule 5550(b)(2), or the Minimum MVLS Rule, for continued listing on The Nasdaq Capital Market. The Minimum MVLS Rule requires a company to maintain a minimum market value of listed securities of $35.0 million. We were provided an initial period of 180 calendar days, or until February 10, 2025, to regain compliance with the Minimum MVLS Rule.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On February 13, 2025, Nasdaq notified us that because we did not regain compliance with the Minimum MVLS Rule by February 10, 2025, our common stock is subject to delisting from Nasdaq unless we timely request a hearing before the Nasdaq Hearing Panel, or the Panel.</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On February 20, 2025, we requested a hearing before the Panel, which request stayed the delisting of our common stock pending the decision of the Panel following the hearing and the expiration of any extension period that may be granted by the Panel. At the hearing, which occurred on March 25, 2025, we presented our multi-step plan for regaining compliance with Nasdaq Listing Rule 5550(b) by either satisfying the Minimum MVLS Rule or Nasdaq Listing Rule 5550(b)(1), or the Stockholders’ Equity Rule, which requires a company to maintain stockholders’ equity of at least $2.5 million. A company will satisfy the continued listing requirement in Nasdaq Listing Rule 5550(b) if it satisfies either the Minimum MVLS Rule or the Stockholders’ Equity Rule.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April 9, 2025, Nasdaq notified us that the Panel granted our request for an extension until August 12, 2025 to demonstrate compliance with Nasdaq Listing Rule 5550(b).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April 29, 2025, we submitted to the Panel a modified multi-step plan for regaining compliance, or our Plan, which the Panel approved. Our Plan includes, among other things, increasing our stockholders’ equity by May 31, 2025 and to increase it further by July 15,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Panel’s determination to grant our request for an extension is subject to certain conditions, including, among others, that we make progress in executing against our Plan by the dates specified in our Plan and that on or before August 12, 2025 (a) we publicly disclose transactions we undertook to increase our stockholders’ equity and provide an indication of our stockholders’ equity following such transactions, and (b) we provide the Panel with an update on our fundraising plans and income projections for the next 12 months. We intend to publicly disclose or provide, as the case may be, the information required by the Panel’s determination within the timeframe required thereby. While we are actively pursuing a range of initiatives aimed at executing against our Plan, no assurances can be given that we will be successful in doing so or that we will satisfy either the Stockholders’ Equity Rule or the Minimum MVLS Rule by August 12, 2025. If we fail to execute on our Plan to the Panel’s satisfaction and remain non-compliant with Nasdaq’s continued listing requirements, the Panel may take action to delist our common stock before August 12, 2025, even though the Panel granted us conditional continued listing until August 12, 2025. As is customary, the Panel also reserved the right to reconsider the terms of the extension it granted based on any event, condition or circumstance that exists or develops that would, in the opinion of the Panel, make continued listing of our common stock inadvisable or unwarranted.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Even if we regain compliance with Nasdaq Listing Rule 5550(b) by August 12, 2025, there can be no assurance that we will be able to continue to satisfy all other continued listing requirements of The Nasdaq Capital Market and maintain the listing of our common stock on The Nasdaq Capital Market. For example, until we regained compliance in July 2024, we were not in compliance with the continued listing standard commonly referred to as the minimum bid price rule since July 19, 2023.</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suspension or delisting of our common stock,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for whatever reason, may materially impair our stockholders’ ability to buy and sell shares of our common stock and could have an adverse effect on the market price of, and the efficiency of the trading market for,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None.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0"/>
        <w:ind w:left="0" w:right="0" w:firstLine="720"/>
        <w:jc w:val="both"/>
        <w:rPr/>
      </w:pPr>
      <w:r>
        <w:rPr>
          <w:rFonts w:ascii="Arial;sans-serif" w:hAnsi="Arial;sans-serif"/>
          <w:b w:val="false"/>
          <w:color w:val="000000"/>
          <w:sz w:val="20"/>
        </w:rPr>
        <w:t>(c)    None</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None.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     During the period from January 1, 2025 to March 31, 2025, none of our directors or officers (as defined in Rule 16a-1(f) under the Exchange Act) adopted or terminated any Rule 10b5-1 trading arrangement (as defined in Item 408(a)(1)(i) of Regulation S-K) or any non-Rule 10b5-1 trading arrangement (as defined in Item 408(c)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11"/>
        <w:gridCol w:w="273"/>
        <w:gridCol w:w="275"/>
        <w:gridCol w:w="109"/>
        <w:gridCol w:w="109"/>
        <w:gridCol w:w="109"/>
        <w:gridCol w:w="1342"/>
        <w:gridCol w:w="1040"/>
        <w:gridCol w:w="1043"/>
        <w:gridCol w:w="114"/>
        <w:gridCol w:w="114"/>
        <w:gridCol w:w="114"/>
        <w:gridCol w:w="209"/>
        <w:gridCol w:w="209"/>
        <w:gridCol w:w="210"/>
        <w:gridCol w:w="122"/>
        <w:gridCol w:w="122"/>
        <w:gridCol w:w="122"/>
        <w:gridCol w:w="192"/>
        <w:gridCol w:w="192"/>
        <w:gridCol w:w="138"/>
        <w:gridCol w:w="122"/>
        <w:gridCol w:w="122"/>
        <w:gridCol w:w="122"/>
        <w:gridCol w:w="246"/>
        <w:gridCol w:w="246"/>
        <w:gridCol w:w="247"/>
        <w:gridCol w:w="114"/>
        <w:gridCol w:w="114"/>
        <w:gridCol w:w="114"/>
        <w:gridCol w:w="284"/>
        <w:gridCol w:w="284"/>
        <w:gridCol w:w="285"/>
        <w:gridCol w:w="114"/>
        <w:gridCol w:w="114"/>
        <w:gridCol w:w="114"/>
        <w:gridCol w:w="315"/>
        <w:gridCol w:w="315"/>
        <w:gridCol w:w="464"/>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Incorporated by Reference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Exhibit</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Description of Exhibit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Form</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File No.</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Filing Date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Exhibit No.</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Filed Herewith</w:t>
            </w:r>
          </w:p>
        </w:tc>
      </w:tr>
      <w:tr>
        <w:trPr/>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101_noneedircomp.htm">
              <w:r>
                <w:rPr>
                  <w:rStyle w:val="InternetLink"/>
                  <w:rFonts w:ascii="Arial;sans-serif" w:hAnsi="Arial;sans-serif"/>
                  <w:b w:val="false"/>
                  <w:color w:val="000080"/>
                  <w:sz w:val="20"/>
                  <w:u w:val="single"/>
                </w:rPr>
                <w:t>A</w:t>
              </w:r>
            </w:hyperlink>
            <w:hyperlink w:anchor="ex101_noneedircomp.htm">
              <w:r>
                <w:rPr>
                  <w:rStyle w:val="InternetLink"/>
                  <w:rFonts w:ascii="Arial;sans-serif" w:hAnsi="Arial;sans-serif"/>
                  <w:b w:val="false"/>
                  <w:color w:val="000080"/>
                  <w:sz w:val="20"/>
                  <w:u w:val="single"/>
                </w:rPr>
                <w:t xml:space="preserve">mended and Restated Non-Employee Director Compensation Policy (as amended </w:t>
              </w:r>
            </w:hyperlink>
            <w:hyperlink w:anchor="ex101_noneedircomp.htm">
              <w:r>
                <w:rPr>
                  <w:rStyle w:val="InternetLink"/>
                  <w:rFonts w:ascii="Arial;sans-serif" w:hAnsi="Arial;sans-serif"/>
                  <w:b w:val="false"/>
                  <w:color w:val="000080"/>
                  <w:sz w:val="20"/>
                  <w:u w:val="single"/>
                </w:rPr>
                <w:t>through January 28</w:t>
              </w:r>
            </w:hyperlink>
            <w:hyperlink w:anchor="ex101_noneedircomp.htm">
              <w:r>
                <w:rPr>
                  <w:rStyle w:val="InternetLink"/>
                  <w:rFonts w:ascii="Arial;sans-serif" w:hAnsi="Arial;sans-serif"/>
                  <w:b w:val="false"/>
                  <w:color w:val="000080"/>
                  <w:sz w:val="20"/>
                  <w:u w:val="single"/>
                </w:rPr>
                <w:t>,</w:t>
              </w:r>
            </w:hyperlink>
            <w:hyperlink w:anchor="ex101_noneedircomp.htm">
              <w:r>
                <w:rPr>
                  <w:rStyle w:val="InternetLink"/>
                  <w:rFonts w:ascii="Arial;sans-serif" w:hAnsi="Arial;sans-serif"/>
                  <w:b w:val="false"/>
                  <w:color w:val="000080"/>
                  <w:sz w:val="20"/>
                  <w:u w:val="single"/>
                </w:rPr>
                <w:t xml:space="preserve"> 2025)</w:t>
              </w:r>
            </w:hyperlink>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_20250331.htm">
              <w:r>
                <w:rPr>
                  <w:rStyle w:val="InternetLink"/>
                  <w:rFonts w:ascii="Arial;sans-serif" w:hAnsi="Arial;sans-serif"/>
                  <w:b w:val="false"/>
                  <w:color w:val="0000FF"/>
                  <w:sz w:val="20"/>
                  <w:u w:val="single"/>
                </w:rPr>
                <w:t>Certification of Principal Executive Officer and Principal Financial Officer pursuant to Rule 13a-14(a)/15d-14(a) of the Securities Exchange Act of 1934, as amended</w:t>
              </w:r>
            </w:hyperlink>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_20250331.htm">
              <w:r>
                <w:rPr>
                  <w:rStyle w:val="InternetLink"/>
                  <w:rFonts w:ascii="Arial;sans-serif" w:hAnsi="Arial;sans-serif"/>
                  <w:b w:val="false"/>
                  <w:color w:val="0000FF"/>
                  <w:sz w:val="20"/>
                  <w:u w:val="single"/>
                </w:rPr>
                <w:t>Certification of Principal Executive Officer and Principal Financial Officer pursuant to 18 U.S.C. §1350, as adopted pursuant to Section 906 of the Sarbanes-Oxley Act of 2002</w:t>
              </w:r>
            </w:hyperlink>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Instance Document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 contract or compensatory plan or arrangement</w:t>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499" w:type="dxa"/>
        <w:jc w:val="left"/>
        <w:tblInd w:w="0" w:type="dxa"/>
        <w:tblLayout w:type="fixed"/>
        <w:tblCellMar>
          <w:top w:w="28" w:type="dxa"/>
          <w:left w:w="28" w:type="dxa"/>
          <w:bottom w:w="28" w:type="dxa"/>
          <w:right w:w="28" w:type="dxa"/>
        </w:tblCellMar>
      </w:tblPr>
      <w:tblGrid>
        <w:gridCol w:w="662"/>
        <w:gridCol w:w="581"/>
        <w:gridCol w:w="587"/>
        <w:gridCol w:w="134"/>
        <w:gridCol w:w="134"/>
        <w:gridCol w:w="136"/>
        <w:gridCol w:w="1541"/>
        <w:gridCol w:w="1541"/>
        <w:gridCol w:w="2183"/>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Daré Bioscience, Inc.</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13,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13,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MarDee Haring-Layton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MarDee Haring-Layton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Accounting Officer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w:t>
      </w:r>
    </w:p>
    <w:p>
      <w:pPr>
        <w:pStyle w:val="TextBody"/>
        <w:bidi w:val="0"/>
        <w:spacing w:lineRule="auto" w:line="288" w:before="0" w:after="0"/>
        <w:jc w:val="center"/>
        <w:rPr/>
      </w:pPr>
      <w:r>
        <w:rPr>
          <w:rFonts w:ascii="Arial;sans-serif" w:hAnsi="Arial;sans-serif"/>
          <w:b/>
          <w:color w:val="000000"/>
          <w:sz w:val="20"/>
        </w:rPr>
        <w:t>AMENDED AND RESTATED NON-EMPLOYEE DIRECTOR COMPENSATION POLICY</w:t>
      </w:r>
      <w:r>
        <w:rPr>
          <w:rFonts w:ascii="Arial;sans-serif" w:hAnsi="Arial;sans-serif"/>
          <w:b/>
          <w:color w:val="000000"/>
          <w:sz w:val="13"/>
        </w:rPr>
        <w:t>1</w:t>
      </w:r>
    </w:p>
    <w:p>
      <w:pPr>
        <w:pStyle w:val="TextBody"/>
        <w:bidi w:val="0"/>
        <w:spacing w:before="0" w:after="0"/>
        <w:jc w:val="center"/>
        <w:rPr/>
      </w:pPr>
      <w:r>
        <w:rPr/>
      </w:r>
    </w:p>
    <w:p>
      <w:pPr>
        <w:pStyle w:val="TextBody"/>
        <w:bidi w:val="0"/>
        <w:spacing w:lineRule="auto" w:line="288" w:before="0" w:after="240"/>
        <w:ind w:left="0" w:right="0" w:firstLine="835"/>
        <w:jc w:val="left"/>
        <w:rPr/>
      </w:pPr>
      <w:r>
        <w:rPr>
          <w:rFonts w:ascii="Arial;sans-serif" w:hAnsi="Arial;sans-serif"/>
          <w:b w:val="false"/>
          <w:color w:val="000000"/>
          <w:sz w:val="20"/>
        </w:rPr>
        <w:t>The board of directors (the “</w:t>
      </w:r>
      <w:r>
        <w:rPr>
          <w:rFonts w:ascii="Arial;sans-serif" w:hAnsi="Arial;sans-serif"/>
          <w:b w:val="false"/>
          <w:color w:val="000000"/>
          <w:sz w:val="20"/>
          <w:u w:val="single"/>
        </w:rPr>
        <w:t>Board</w:t>
      </w:r>
      <w:r>
        <w:rPr>
          <w:color w:val="000000"/>
        </w:rPr>
        <w:t>”</w:t>
      </w:r>
      <w:r>
        <w:rPr>
          <w:rFonts w:ascii="Arial;sans-serif" w:hAnsi="Arial;sans-serif"/>
          <w:b w:val="false"/>
          <w:color w:val="000000"/>
          <w:sz w:val="20"/>
        </w:rPr>
        <w:t>) of Daré Bioscience, Inc.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has approved this amended and restated non-employee director compensation policy (this “</w:t>
      </w:r>
      <w:r>
        <w:rPr>
          <w:rFonts w:ascii="Arial;sans-serif" w:hAnsi="Arial;sans-serif"/>
          <w:b w:val="false"/>
          <w:color w:val="000000"/>
          <w:sz w:val="20"/>
          <w:u w:val="single"/>
        </w:rPr>
        <w:t>Policy</w:t>
      </w:r>
      <w:r>
        <w:rPr>
          <w:color w:val="000000"/>
        </w:rPr>
        <w:t>”</w:t>
      </w:r>
      <w:r>
        <w:rPr>
          <w:rFonts w:ascii="Arial;sans-serif" w:hAnsi="Arial;sans-serif"/>
          <w:b w:val="false"/>
          <w:color w:val="000000"/>
          <w:sz w:val="20"/>
        </w:rPr>
        <w:t>).  </w:t>
      </w:r>
    </w:p>
    <w:p>
      <w:pPr>
        <w:pStyle w:val="TextBody"/>
        <w:bidi w:val="0"/>
        <w:spacing w:lineRule="auto" w:line="288" w:before="0" w:after="240"/>
        <w:ind w:left="0" w:right="0" w:firstLine="835"/>
        <w:jc w:val="left"/>
        <w:rPr>
          <w:rFonts w:ascii="Arial;sans-serif" w:hAnsi="Arial;sans-serif"/>
          <w:b w:val="false"/>
          <w:i/>
          <w:color w:val="000000"/>
          <w:sz w:val="20"/>
        </w:rPr>
      </w:pPr>
      <w:r>
        <w:rPr>
          <w:rFonts w:ascii="Arial;sans-serif" w:hAnsi="Arial;sans-serif"/>
          <w:b w:val="false"/>
          <w:i/>
          <w:color w:val="000000"/>
          <w:sz w:val="20"/>
        </w:rPr>
        <w:t>Cash Compensation</w:t>
      </w:r>
    </w:p>
    <w:p>
      <w:pPr>
        <w:pStyle w:val="TextBody"/>
        <w:bidi w:val="0"/>
        <w:spacing w:lineRule="auto" w:line="288" w:before="0" w:after="240"/>
        <w:ind w:left="0" w:right="0" w:firstLine="835"/>
        <w:jc w:val="left"/>
        <w:rPr>
          <w:rFonts w:ascii="Arial;sans-serif" w:hAnsi="Arial;sans-serif"/>
          <w:b w:val="false"/>
          <w:color w:val="000000"/>
          <w:sz w:val="20"/>
        </w:rPr>
      </w:pPr>
      <w:r>
        <w:rPr>
          <w:rFonts w:ascii="Arial;sans-serif" w:hAnsi="Arial;sans-serif"/>
          <w:b w:val="false"/>
          <w:color w:val="000000"/>
          <w:sz w:val="20"/>
        </w:rPr>
        <w:t>Under this Policy, the Company will pay its non-employee directors retainers in cash, unless a director elects to receive his or her retainer for a given calendar year in the form of awards of unrestricted shares of the Company’s common stock, as described below.  Each non-employee director will receive a retainer for service on the Board and for service on each committee of which the director is a member. The chairmen of the Board and of each committee will receive higher retainers for such service. The amounts of the retainers are as follows:</w:t>
      </w:r>
    </w:p>
    <w:tbl>
      <w:tblPr>
        <w:tblW w:w="7490" w:type="dxa"/>
        <w:jc w:val="left"/>
        <w:tblInd w:w="0" w:type="dxa"/>
        <w:tblLayout w:type="fixed"/>
        <w:tblCellMar>
          <w:top w:w="28" w:type="dxa"/>
          <w:left w:w="28" w:type="dxa"/>
          <w:bottom w:w="28" w:type="dxa"/>
          <w:right w:w="28" w:type="dxa"/>
        </w:tblCellMar>
      </w:tblPr>
      <w:tblGrid>
        <w:gridCol w:w="1367"/>
        <w:gridCol w:w="1204"/>
        <w:gridCol w:w="1208"/>
        <w:gridCol w:w="109"/>
        <w:gridCol w:w="109"/>
        <w:gridCol w:w="109"/>
        <w:gridCol w:w="269"/>
        <w:gridCol w:w="269"/>
        <w:gridCol w:w="273"/>
        <w:gridCol w:w="109"/>
        <w:gridCol w:w="109"/>
        <w:gridCol w:w="109"/>
        <w:gridCol w:w="312"/>
        <w:gridCol w:w="312"/>
        <w:gridCol w:w="312"/>
        <w:gridCol w:w="312"/>
        <w:gridCol w:w="312"/>
        <w:gridCol w:w="314"/>
        <w:gridCol w:w="109"/>
        <w:gridCol w:w="109"/>
        <w:gridCol w:w="154"/>
      </w:tblGrid>
      <w:tr>
        <w:trPr/>
        <w:tc>
          <w:tcPr>
            <w:tcW w:w="136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color w:val="000000"/>
                <w:sz w:val="20"/>
              </w:rPr>
            </w:pPr>
            <w:r>
              <w:rPr>
                <w:rFonts w:ascii="Arial;sans-serif" w:hAnsi="Arial;sans-serif"/>
                <w:b/>
                <w:color w:val="000000"/>
                <w:sz w:val="20"/>
              </w:rPr>
              <w:t>Annual Retainer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779" w:type="dxa"/>
            <w:gridSpan w:val="3"/>
            <w:tcBorders>
              <w:top w:val="single" w:sz="6"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i/>
                <w:color w:val="000000"/>
                <w:sz w:val="20"/>
              </w:rPr>
            </w:pPr>
            <w:r>
              <w:rPr>
                <w:rFonts w:ascii="Arial;sans-serif" w:hAnsi="Arial;sans-serif"/>
                <w:b w:val="false"/>
                <w:i/>
                <w:color w:val="000000"/>
                <w:sz w:val="20"/>
              </w:rPr>
              <w:t>Board of Directors</w:t>
            </w:r>
          </w:p>
        </w:tc>
        <w:tc>
          <w:tcPr>
            <w:tcW w:w="327" w:type="dxa"/>
            <w:gridSpan w:val="3"/>
            <w:tcBorders>
              <w:top w:val="single" w:sz="6"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811" w:type="dxa"/>
            <w:gridSpan w:val="3"/>
            <w:tcBorders>
              <w:top w:val="single" w:sz="6"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op w:val="single" w:sz="6"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6" w:type="dxa"/>
            <w:gridSpan w:val="3"/>
            <w:tcBorders>
              <w:top w:val="single" w:sz="6"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8" w:type="dxa"/>
            <w:gridSpan w:val="3"/>
            <w:tcBorders>
              <w:top w:val="single" w:sz="6"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72"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xml:space="preserve">     </w:t>
            </w:r>
            <w:r>
              <w:rPr>
                <w:rFonts w:ascii="Arial;sans-serif" w:hAnsi="Arial;sans-serif"/>
                <w:b w:val="false"/>
                <w:color w:val="000000"/>
                <w:sz w:val="20"/>
              </w:rPr>
              <w:t>Chairman</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69,000</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77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xml:space="preserve">     </w:t>
            </w:r>
            <w:r>
              <w:rPr>
                <w:rFonts w:ascii="Arial;sans-serif" w:hAnsi="Arial;sans-serif"/>
                <w:b w:val="false"/>
                <w:color w:val="000000"/>
                <w:sz w:val="20"/>
              </w:rPr>
              <w:t>Member</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811"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6"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8"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40,000</w:t>
            </w:r>
          </w:p>
        </w:tc>
        <w:tc>
          <w:tcPr>
            <w:tcW w:w="372"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i/>
                <w:color w:val="000000"/>
                <w:sz w:val="20"/>
              </w:rPr>
            </w:pPr>
            <w:r>
              <w:rPr>
                <w:rFonts w:ascii="Arial;sans-serif" w:hAnsi="Arial;sans-serif"/>
                <w:b w:val="false"/>
                <w:i/>
                <w:color w:val="000000"/>
                <w:sz w:val="20"/>
              </w:rPr>
              <w:t>Committees of the Board of Directors</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8"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77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xml:space="preserve">     </w:t>
            </w:r>
            <w:r>
              <w:rPr>
                <w:rFonts w:ascii="Arial;sans-serif" w:hAnsi="Arial;sans-serif"/>
                <w:b w:val="false"/>
                <w:color w:val="000000"/>
                <w:sz w:val="20"/>
              </w:rPr>
              <w:t>Audit</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811"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Chair</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6"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8"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15,000</w:t>
            </w:r>
          </w:p>
        </w:tc>
        <w:tc>
          <w:tcPr>
            <w:tcW w:w="372"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Member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7,500</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77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xml:space="preserve">     </w:t>
            </w:r>
            <w:r>
              <w:rPr>
                <w:rFonts w:ascii="Arial;sans-serif" w:hAnsi="Arial;sans-serif"/>
                <w:b w:val="false"/>
                <w:color w:val="000000"/>
                <w:sz w:val="20"/>
              </w:rPr>
              <w:t>Compensation</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811"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Chair</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6"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8"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10,000</w:t>
            </w:r>
          </w:p>
        </w:tc>
        <w:tc>
          <w:tcPr>
            <w:tcW w:w="372"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Member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5,000</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77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xml:space="preserve">     </w:t>
            </w:r>
            <w:r>
              <w:rPr>
                <w:rFonts w:ascii="Arial;sans-serif" w:hAnsi="Arial;sans-serif"/>
                <w:b w:val="false"/>
                <w:color w:val="000000"/>
                <w:sz w:val="20"/>
              </w:rPr>
              <w:t>Nominating and Corporate Governance</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811"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Chair</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6"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8"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8,000</w:t>
            </w:r>
          </w:p>
        </w:tc>
        <w:tc>
          <w:tcPr>
            <w:tcW w:w="372"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77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Member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4,000</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77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xml:space="preserve">     </w:t>
            </w:r>
            <w:r>
              <w:rPr>
                <w:rFonts w:ascii="Arial;sans-serif" w:hAnsi="Arial;sans-serif"/>
                <w:b w:val="false"/>
                <w:color w:val="000000"/>
                <w:sz w:val="20"/>
              </w:rPr>
              <w:t>Clinical Advisory</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811"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Chair</w:t>
            </w:r>
          </w:p>
        </w:tc>
        <w:tc>
          <w:tcPr>
            <w:tcW w:w="327"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6"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38"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77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00" w:before="0" w:after="283"/>
              <w:jc w:val="left"/>
              <w:rPr>
                <w:color w:val="000000"/>
              </w:rPr>
            </w:pPr>
            <w:r>
              <w:rPr>
                <w:color w:val="000000"/>
              </w:rPr>
              <w:t> </w:t>
            </w:r>
          </w:p>
        </w:tc>
        <w:tc>
          <w:tcPr>
            <w:tcW w:w="81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Member</w:t>
            </w:r>
          </w:p>
        </w:tc>
        <w:tc>
          <w:tcPr>
            <w:tcW w:w="32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00" w:before="0" w:after="283"/>
              <w:jc w:val="left"/>
              <w:rPr>
                <w:color w:val="000000"/>
              </w:rPr>
            </w:pPr>
            <w:r>
              <w:rPr>
                <w:color w:val="000000"/>
              </w:rPr>
              <w:t> </w:t>
            </w:r>
          </w:p>
        </w:tc>
        <w:tc>
          <w:tcPr>
            <w:tcW w:w="93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00" w:before="0" w:after="283"/>
              <w:jc w:val="left"/>
              <w:rPr>
                <w:color w:val="000000"/>
              </w:rPr>
            </w:pPr>
            <w:r>
              <w:rPr>
                <w:color w:val="000000"/>
              </w:rPr>
              <w:t> </w:t>
            </w:r>
          </w:p>
        </w:tc>
        <w:tc>
          <w:tcPr>
            <w:tcW w:w="938"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0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240"/>
        <w:ind w:left="0" w:right="0" w:firstLine="835"/>
        <w:jc w:val="left"/>
        <w:rPr>
          <w:rFonts w:ascii="Arial;sans-serif" w:hAnsi="Arial;sans-serif"/>
          <w:b w:val="false"/>
          <w:color w:val="000000"/>
          <w:sz w:val="20"/>
        </w:rPr>
      </w:pPr>
      <w:r>
        <w:rPr>
          <w:rFonts w:ascii="Arial;sans-serif" w:hAnsi="Arial;sans-serif"/>
          <w:b w:val="false"/>
          <w:color w:val="000000"/>
          <w:sz w:val="20"/>
        </w:rPr>
        <w:t>These retainers are payable in arrears in four equal quarterly installments on the last day of each quarter, provided that the amount of such payment shall be prorated for any portion of such quarter during which the director was not serving.  The Company will also reimburse its non-employee directors for reasonable travel and other expenses incurred in connection with attending Board and committee meetings.</w:t>
      </w:r>
    </w:p>
    <w:p>
      <w:pPr>
        <w:pStyle w:val="TextBody"/>
        <w:bidi w:val="0"/>
        <w:spacing w:lineRule="auto" w:line="288" w:before="0" w:after="240"/>
        <w:ind w:left="0" w:right="0" w:firstLine="835"/>
        <w:jc w:val="left"/>
        <w:rPr>
          <w:rFonts w:ascii="Arial;sans-serif" w:hAnsi="Arial;sans-serif"/>
          <w:b w:val="false"/>
          <w:color w:val="000000"/>
          <w:sz w:val="20"/>
        </w:rPr>
      </w:pPr>
      <w:r>
        <w:rPr>
          <w:rFonts w:ascii="Arial;sans-serif" w:hAnsi="Arial;sans-serif"/>
          <w:b w:val="false"/>
          <w:color w:val="000000"/>
          <w:sz w:val="20"/>
        </w:rPr>
        <w:t>Each non-employee director may elect to receive up to 100% of these retainers in the form of awards of unrestricted shares of the Company’s common stock, issued on the first trading day of the quarter following the quarter to which the retainer relates, for a number of shares of the Company’s common stock equal to (x) the amount of the cash retainer that would otherwise have been payable to such director on the date of grant divided by (y) the fair market value of the Company’s common stock on the date of grant.  Directors wishing to make this election for a given calendar year must make the election on or before the last day of the prior calendar year, except that the election in any year in which a director is newly elected must be made on or before June 30th of such year or such other date as determined by the Board.</w:t>
      </w:r>
    </w:p>
    <w:p>
      <w:pPr>
        <w:pStyle w:val="TextBody"/>
        <w:bidi w:val="0"/>
        <w:spacing w:lineRule="auto" w:line="288" w:before="0" w:after="240"/>
        <w:ind w:left="0" w:right="0" w:firstLine="835"/>
        <w:jc w:val="left"/>
        <w:rPr>
          <w:rFonts w:ascii="Arial;sans-serif" w:hAnsi="Arial;sans-serif"/>
          <w:b w:val="false"/>
          <w:i/>
          <w:color w:val="000000"/>
          <w:sz w:val="20"/>
        </w:rPr>
      </w:pPr>
      <w:r>
        <w:rPr>
          <w:rFonts w:ascii="Arial;sans-serif" w:hAnsi="Arial;sans-serif"/>
          <w:b w:val="false"/>
          <w:i/>
          <w:color w:val="000000"/>
          <w:sz w:val="20"/>
        </w:rPr>
        <w:t>Equity Compensation</w:t>
      </w:r>
    </w:p>
    <w:p>
      <w:pPr>
        <w:pStyle w:val="TextBody"/>
        <w:bidi w:val="0"/>
        <w:spacing w:lineRule="auto" w:line="288"/>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As amended through January 28, 2025.</w:t>
      </w:r>
    </w:p>
    <w:p>
      <w:pPr>
        <w:pStyle w:val="TextBody"/>
        <w:bidi w:val="0"/>
        <w:spacing w:before="0" w:after="16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835"/>
        <w:jc w:val="left"/>
        <w:rPr/>
      </w:pPr>
      <w:r>
        <w:rPr>
          <w:rFonts w:ascii="Arial;sans-serif" w:hAnsi="Arial;sans-serif"/>
          <w:b w:val="false"/>
          <w:color w:val="000000"/>
          <w:sz w:val="20"/>
          <w:u w:val="single"/>
        </w:rPr>
        <w:t>Initial Grants</w:t>
      </w:r>
      <w:r>
        <w:rPr>
          <w:rFonts w:ascii="Arial;sans-serif" w:hAnsi="Arial;sans-serif"/>
          <w:b w:val="false"/>
          <w:color w:val="000000"/>
          <w:sz w:val="20"/>
        </w:rPr>
        <w:t>. Each director newly elected to the Board will receive an option to purchase 6,750 shares of the Company’s common stock (each, an “</w:t>
      </w:r>
      <w:r>
        <w:rPr>
          <w:rFonts w:ascii="Arial;sans-serif" w:hAnsi="Arial;sans-serif"/>
          <w:b w:val="false"/>
          <w:color w:val="000000"/>
          <w:sz w:val="20"/>
          <w:u w:val="single"/>
        </w:rPr>
        <w:t>Initial Grant</w:t>
      </w:r>
      <w:r>
        <w:rPr>
          <w:color w:val="000000"/>
        </w:rPr>
        <w:t>”</w:t>
      </w:r>
      <w:r>
        <w:rPr>
          <w:rFonts w:ascii="Arial;sans-serif" w:hAnsi="Arial;sans-serif"/>
          <w:b w:val="false"/>
          <w:color w:val="000000"/>
          <w:sz w:val="20"/>
        </w:rPr>
        <w:t xml:space="preserve">). Each Initial Grant will vest as to one-third of the shares of the Company’s common stock underlying such option on each anniversary of the grant date until the third anniversary of the grant date, subject to the director’s continued service as a director, and will become exercisable in full upon a Change in Control (as defined below).  </w:t>
      </w:r>
    </w:p>
    <w:p>
      <w:pPr>
        <w:pStyle w:val="TextBody"/>
        <w:bidi w:val="0"/>
        <w:spacing w:lineRule="auto" w:line="300" w:before="0" w:after="240"/>
        <w:ind w:left="0" w:right="0" w:firstLine="835"/>
        <w:jc w:val="left"/>
        <w:rPr/>
      </w:pPr>
      <w:r>
        <w:rPr>
          <w:rFonts w:ascii="Arial;sans-serif" w:hAnsi="Arial;sans-serif"/>
          <w:b w:val="false"/>
          <w:color w:val="000000"/>
          <w:sz w:val="20"/>
          <w:u w:val="single"/>
        </w:rPr>
        <w:t>Annual Grants</w:t>
      </w:r>
      <w:r>
        <w:rPr>
          <w:rFonts w:ascii="Arial;sans-serif" w:hAnsi="Arial;sans-serif"/>
          <w:b w:val="false"/>
          <w:color w:val="000000"/>
          <w:sz w:val="20"/>
        </w:rPr>
        <w:t>. On the date of each annual meeting of stockholders, each director who has served on the Board for at least six months will receive an option to purchase 4,500 shares of the Company’s common stock (each, an “</w:t>
      </w:r>
      <w:r>
        <w:rPr>
          <w:rFonts w:ascii="Arial;sans-serif" w:hAnsi="Arial;sans-serif"/>
          <w:b w:val="false"/>
          <w:color w:val="000000"/>
          <w:sz w:val="20"/>
          <w:u w:val="single"/>
        </w:rPr>
        <w:t>Annual</w:t>
      </w:r>
      <w:r>
        <w:rPr>
          <w:color w:val="000000"/>
        </w:rPr>
        <w:t xml:space="preserve"> </w:t>
      </w:r>
      <w:r>
        <w:rPr>
          <w:rFonts w:ascii="Arial;sans-serif" w:hAnsi="Arial;sans-serif"/>
          <w:b w:val="false"/>
          <w:color w:val="000000"/>
          <w:sz w:val="20"/>
          <w:u w:val="single"/>
        </w:rPr>
        <w:t>Grant</w:t>
      </w:r>
      <w:r>
        <w:rPr>
          <w:color w:val="000000"/>
        </w:rPr>
        <w:t>”</w:t>
      </w:r>
      <w:r>
        <w:rPr>
          <w:rFonts w:ascii="Arial;sans-serif" w:hAnsi="Arial;sans-serif"/>
          <w:b w:val="false"/>
          <w:color w:val="000000"/>
          <w:sz w:val="20"/>
        </w:rPr>
        <w:t>); provided, however, that if a director is up for election at such annual meeting of stockholders, such director will receive the Annual Grant only if such director is elected at such annual meeting. Each Annual Grant will vest in full on the earlier of the first anniversary of the date of grant or immediately prior to the Company’s first annual meeting of stockholders occurring after the date of grant, subject to the director’s continued service as a director, and will become exercisable in full upon a Change in Control.</w:t>
      </w:r>
    </w:p>
    <w:p>
      <w:pPr>
        <w:pStyle w:val="TextBody"/>
        <w:bidi w:val="0"/>
        <w:spacing w:lineRule="auto" w:line="288" w:before="0" w:after="240"/>
        <w:ind w:left="0" w:right="0" w:firstLine="835"/>
        <w:jc w:val="left"/>
        <w:rPr/>
      </w:pPr>
      <w:r>
        <w:rPr>
          <w:rFonts w:ascii="Arial;sans-serif" w:hAnsi="Arial;sans-serif"/>
          <w:b w:val="false"/>
          <w:color w:val="000000"/>
          <w:sz w:val="20"/>
          <w:u w:val="single"/>
        </w:rPr>
        <w:t>Exercise Price</w:t>
      </w:r>
      <w:r>
        <w:rPr>
          <w:rFonts w:ascii="Arial;sans-serif" w:hAnsi="Arial;sans-serif"/>
          <w:b w:val="false"/>
          <w:color w:val="000000"/>
          <w:sz w:val="20"/>
        </w:rPr>
        <w:t>. The exercise price of each option granted under this Policy will equal the fair market value of the Company’s common stock on the date of grant.</w:t>
      </w:r>
    </w:p>
    <w:p>
      <w:pPr>
        <w:pStyle w:val="TextBody"/>
        <w:bidi w:val="0"/>
        <w:spacing w:lineRule="auto" w:line="288" w:before="0" w:after="240"/>
        <w:ind w:left="0" w:right="0" w:firstLine="835"/>
        <w:jc w:val="left"/>
        <w:rPr/>
      </w:pPr>
      <w:r>
        <w:rPr>
          <w:rFonts w:ascii="Arial;sans-serif" w:hAnsi="Arial;sans-serif"/>
          <w:b w:val="false"/>
          <w:color w:val="000000"/>
          <w:sz w:val="20"/>
          <w:u w:val="single"/>
        </w:rPr>
        <w:t>Change in Control</w:t>
      </w:r>
      <w:r>
        <w:rPr>
          <w:rFonts w:ascii="Arial;sans-serif" w:hAnsi="Arial;sans-serif"/>
          <w:b w:val="false"/>
          <w:color w:val="000000"/>
          <w:sz w:val="20"/>
        </w:rPr>
        <w:t>. For purposes of this Policy, “</w:t>
      </w:r>
      <w:r>
        <w:rPr>
          <w:rFonts w:ascii="Arial;sans-serif" w:hAnsi="Arial;sans-serif"/>
          <w:b w:val="false"/>
          <w:color w:val="000000"/>
          <w:sz w:val="20"/>
          <w:u w:val="single"/>
        </w:rPr>
        <w:t>Change in Control</w:t>
      </w:r>
      <w:r>
        <w:rPr>
          <w:color w:val="000000"/>
        </w:rPr>
        <w:t xml:space="preserve">” </w:t>
      </w:r>
      <w:r>
        <w:rPr>
          <w:rFonts w:ascii="Arial;sans-serif" w:hAnsi="Arial;sans-serif"/>
          <w:b w:val="false"/>
          <w:color w:val="000000"/>
          <w:sz w:val="20"/>
        </w:rPr>
        <w:t>means the occurrence, in a single transaction or in a series of related transactions occurring after the date of grant of the applicable equity award, of any one or more of the following events: (1) any person or persons acting together becomes the owner, directly or indirectly, of securities of the Company representing more than fifty percent (50%) of the combined voting power of the Company’s then outstanding securities other than by virtue of (y) a transaction the primary purpose of which is to raise capital (including, without limitation, a recapitalization or a similar transaction) and/or (z) a merger, consolidation or similar transaction; (2)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or (3) there is consummated a sale, lease, exclusive license or other disposition of all or substantially all of the consolidated assets of the Company during any twelve month period, other than a sale, lease, license or other disposition of all or substantially all of the consolidated assets of the Company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Notwithstanding the above, to the extent that any interpretation of this definition would otherwise cause the option on or following a Change in Control to constitute deferred compensation that is subject to Section 409A of the Internal Revenue Code, and not otherwise exempt from complying with the provisions of the statute, then a Change in Control shall only be deemed to occur if the Change in Control also qualifies as a change in the ownership or effective control of a corporation, or a change in the ownership of a substantial portion of a corporation’s assets as defined in Treasury Regulation Section 1.409A-3(i)(5). No Change in Control will be deemed to occur because of a sale of assets, merger or other transaction effected exclusively for the purpose of changing the domicile of the Company.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70205"/>
                <wp:effectExtent l="0" t="0" r="0" b="0"/>
                <wp:wrapNone/>
                <wp:docPr id="54" name="Frame53"/>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 Sabrina Martucci Johnson, certify that: </w:t>
      </w:r>
    </w:p>
    <w:p>
      <w:pPr>
        <w:pStyle w:val="TextBody"/>
        <w:bidi w:val="0"/>
        <w:spacing w:lineRule="auto" w:line="288" w:before="0" w:after="0"/>
        <w:jc w:val="both"/>
        <w:rPr>
          <w:color w:val="000000"/>
        </w:rPr>
      </w:pPr>
      <w:r>
        <w:rPr>
          <w:color w:val="000000"/>
        </w:rPr>
        <w:t> </w:t>
      </w:r>
    </w:p>
    <w:tbl>
      <w:tblPr>
        <w:tblW w:w="75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08"/>
        <w:gridCol w:w="2008"/>
        <w:gridCol w:w="2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Daré Bioscience,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Arial;sans-serif" w:hAnsi="Arial;sans-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May 13, 2025 </w:t>
      </w:r>
    </w:p>
    <w:tbl>
      <w:tblPr>
        <w:tblW w:w="5069" w:type="dxa"/>
        <w:jc w:val="right"/>
        <w:tblInd w:w="0" w:type="dxa"/>
        <w:tblLayout w:type="fixed"/>
        <w:tblCellMar>
          <w:top w:w="28" w:type="dxa"/>
          <w:left w:w="28" w:type="dxa"/>
          <w:bottom w:w="28" w:type="dxa"/>
          <w:right w:w="28" w:type="dxa"/>
        </w:tblCellMar>
      </w:tblPr>
      <w:tblGrid>
        <w:gridCol w:w="1621"/>
        <w:gridCol w:w="1422"/>
        <w:gridCol w:w="2026"/>
      </w:tblGrid>
      <w:tr>
        <w:trPr/>
        <w:tc>
          <w:tcPr>
            <w:tcW w:w="162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Daré Bioscience, Inc. (the “Company”) for the fiscal quarter ended March 31, 2025, as filed with the Securities and Exchange Commission on the date hereof (the “Report”), the undersigned, Sabrina Martucci Johnson, President and Chief Executive Officer of the Company, hereby certifies, pursuant to 18 U.S.C. Section 1350, that, to her knowledge on the date hereof: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May 13, 2025 </w:t>
      </w:r>
    </w:p>
    <w:p>
      <w:pPr>
        <w:pStyle w:val="TextBody"/>
        <w:bidi w:val="0"/>
        <w:spacing w:lineRule="auto" w:line="288" w:before="0" w:after="0"/>
        <w:jc w:val="left"/>
        <w:rPr>
          <w:color w:val="000000"/>
        </w:rPr>
      </w:pPr>
      <w:r>
        <w:rPr>
          <w:color w:val="000000"/>
        </w:rPr>
        <w:t> </w:t>
      </w:r>
    </w:p>
    <w:tbl>
      <w:tblPr>
        <w:tblW w:w="5039" w:type="dxa"/>
        <w:jc w:val="right"/>
        <w:tblInd w:w="0" w:type="dxa"/>
        <w:tblLayout w:type="fixed"/>
        <w:tblCellMar>
          <w:top w:w="28" w:type="dxa"/>
          <w:left w:w="28" w:type="dxa"/>
          <w:bottom w:w="28" w:type="dxa"/>
          <w:right w:w="28" w:type="dxa"/>
        </w:tblCellMar>
      </w:tblPr>
      <w:tblGrid>
        <w:gridCol w:w="1611"/>
        <w:gridCol w:w="1414"/>
        <w:gridCol w:w="2014"/>
      </w:tblGrid>
      <w:tr>
        <w:trPr/>
        <w:tc>
          <w:tcPr>
            <w:tcW w:w="161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29892</Words>
  <Characters>166209</Characters>
  <CharactersWithSpaces>195218</CharactersWithSpaces>
  <Paragraphs>1717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