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11127.xml.htm"/>
      <w:bookmarkStart w:id="1" w:name="kswkform4_1781211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Matz Gregory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full on the earlier of the first anniversary of the grant date or immediately prior to the issuer's first annual meeting of stockholders occurring after the grant date, subject to the director's continued service as a director, and will become exercisable in full upon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574"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3368</Characters>
  <CharactersWithSpaces>3931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