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86995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2"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fiscal year ended December 31, 2015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Or</w:t>
      </w:r>
    </w:p>
    <w:p>
      <w:pPr>
        <w:spacing w:after="0" w:line="4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345" w:right="239" w:bottom="1440" w:gutter="0" w:footer="0" w:header="0"/>
        </w:sectPr>
      </w:pPr>
    </w:p>
    <w:p>
      <w:pPr>
        <w:spacing w:after="0" w:line="7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61" w:lineRule="exact"/>
        <w:rPr>
          <w:sz w:val="24"/>
          <w:szCs w:val="24"/>
          <w:color w:val="auto"/>
        </w:rPr>
      </w:pPr>
    </w:p>
    <w:p>
      <w:pPr>
        <w:sectPr>
          <w:pgSz w:w="11900" w:h="16838" w:orient="portrait"/>
          <w:cols w:equalWidth="0" w:num="2">
            <w:col w:w="5960" w:space="720"/>
            <w:col w:w="4740"/>
          </w:cols>
          <w:pgMar w:left="240" w:top="345"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Commission File No.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78105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type w:val="continuous"/>
        </w:sectPr>
      </w:pPr>
    </w:p>
    <w:p>
      <w:pPr>
        <w:spacing w:after="0" w:line="137" w:lineRule="exact"/>
        <w:rPr>
          <w:sz w:val="24"/>
          <w:szCs w:val="24"/>
          <w:color w:val="auto"/>
        </w:rPr>
      </w:pPr>
    </w:p>
    <w:tbl>
      <w:tblPr>
        <w:tblLayout w:type="fixed"/>
        <w:tblInd w:w="1620" w:type="dxa"/>
        <w:tblCellMar>
          <w:top w:w="0" w:type="dxa"/>
          <w:left w:w="0" w:type="dxa"/>
          <w:bottom w:w="0" w:type="dxa"/>
          <w:right w:w="0" w:type="dxa"/>
        </w:tblCellMar>
      </w:tblPr>
      <w:tr>
        <w:trPr>
          <w:trHeight w:val="475"/>
        </w:trPr>
        <w:tc>
          <w:tcPr>
            <w:tcW w:w="6220" w:type="dxa"/>
            <w:vAlign w:val="bottom"/>
            <w:gridSpan w:val="3"/>
          </w:tcPr>
          <w:p>
            <w:pPr>
              <w:jc w:val="center"/>
              <w:ind w:left="1868"/>
              <w:spacing w:after="0"/>
              <w:rPr>
                <w:sz w:val="20"/>
                <w:szCs w:val="20"/>
                <w:color w:val="auto"/>
              </w:rPr>
            </w:pPr>
            <w:r>
              <w:rPr>
                <w:rFonts w:ascii="Times New Roman" w:cs="Times New Roman" w:eastAsia="Times New Roman" w:hAnsi="Times New Roman"/>
                <w:sz w:val="40"/>
                <w:szCs w:val="40"/>
                <w:b w:val="1"/>
                <w:bCs w:val="1"/>
                <w:color w:val="auto"/>
                <w:w w:val="99"/>
              </w:rPr>
              <w:t>Cerulean Pharma Inc.</w:t>
            </w:r>
          </w:p>
        </w:tc>
        <w:tc>
          <w:tcPr>
            <w:tcW w:w="1340" w:type="dxa"/>
            <w:vAlign w:val="bottom"/>
          </w:tcPr>
          <w:p>
            <w:pPr>
              <w:spacing w:after="0"/>
              <w:rPr>
                <w:sz w:val="24"/>
                <w:szCs w:val="24"/>
                <w:color w:val="auto"/>
              </w:rPr>
            </w:pPr>
          </w:p>
        </w:tc>
      </w:tr>
      <w:tr>
        <w:trPr>
          <w:trHeight w:val="190"/>
        </w:trPr>
        <w:tc>
          <w:tcPr>
            <w:tcW w:w="6220" w:type="dxa"/>
            <w:vAlign w:val="bottom"/>
            <w:gridSpan w:val="3"/>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340" w:type="dxa"/>
            <w:vAlign w:val="bottom"/>
          </w:tcPr>
          <w:p>
            <w:pPr>
              <w:spacing w:after="0"/>
              <w:rPr>
                <w:sz w:val="16"/>
                <w:szCs w:val="16"/>
                <w:color w:val="auto"/>
              </w:rPr>
            </w:pPr>
          </w:p>
        </w:tc>
      </w:tr>
      <w:tr>
        <w:trPr>
          <w:trHeight w:val="64"/>
        </w:trPr>
        <w:tc>
          <w:tcPr>
            <w:tcW w:w="296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39"/>
        </w:trPr>
        <w:tc>
          <w:tcPr>
            <w:tcW w:w="6220" w:type="dxa"/>
            <w:vAlign w:val="bottom"/>
            <w:gridSpan w:val="3"/>
          </w:tcPr>
          <w:p>
            <w:pPr>
              <w:jc w:val="center"/>
              <w:ind w:right="384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7"/>
                <w:szCs w:val="17"/>
                <w:b w:val="1"/>
                <w:bCs w:val="1"/>
                <w:color w:val="auto"/>
              </w:rPr>
              <w:t>20-4139823</w:t>
            </w:r>
          </w:p>
        </w:tc>
      </w:tr>
      <w:tr>
        <w:trPr>
          <w:trHeight w:val="149"/>
        </w:trPr>
        <w:tc>
          <w:tcPr>
            <w:tcW w:w="6220" w:type="dxa"/>
            <w:vAlign w:val="bottom"/>
            <w:gridSpan w:val="3"/>
          </w:tcPr>
          <w:p>
            <w:pPr>
              <w:jc w:val="center"/>
              <w:ind w:right="38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40" w:type="dxa"/>
            <w:vAlign w:val="bottom"/>
          </w:tcPr>
          <w:p>
            <w:pPr>
              <w:jc w:val="center"/>
              <w:ind w:left="14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20" w:type="dxa"/>
            <w:vAlign w:val="bottom"/>
            <w:gridSpan w:val="3"/>
          </w:tcPr>
          <w:p>
            <w:pPr>
              <w:jc w:val="center"/>
              <w:ind w:right="3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40" w:type="dxa"/>
            <w:vAlign w:val="bottom"/>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1"/>
        </w:trPr>
        <w:tc>
          <w:tcPr>
            <w:tcW w:w="6220" w:type="dxa"/>
            <w:vAlign w:val="bottom"/>
            <w:gridSpan w:val="3"/>
          </w:tcPr>
          <w:p>
            <w:pPr>
              <w:jc w:val="center"/>
              <w:ind w:right="3840"/>
              <w:spacing w:after="0"/>
              <w:rPr>
                <w:sz w:val="20"/>
                <w:szCs w:val="20"/>
                <w:color w:val="auto"/>
              </w:rPr>
            </w:pPr>
            <w:r>
              <w:rPr>
                <w:rFonts w:ascii="Times New Roman" w:cs="Times New Roman" w:eastAsia="Times New Roman" w:hAnsi="Times New Roman"/>
                <w:sz w:val="17"/>
                <w:szCs w:val="17"/>
                <w:b w:val="1"/>
                <w:bCs w:val="1"/>
                <w:color w:val="auto"/>
                <w:w w:val="99"/>
              </w:rPr>
              <w:t>35 Gatehouse Drive</w:t>
            </w:r>
          </w:p>
        </w:tc>
        <w:tc>
          <w:tcPr>
            <w:tcW w:w="1340" w:type="dxa"/>
            <w:vAlign w:val="bottom"/>
          </w:tcPr>
          <w:p>
            <w:pPr>
              <w:spacing w:after="0"/>
              <w:rPr>
                <w:sz w:val="20"/>
                <w:szCs w:val="20"/>
                <w:color w:val="auto"/>
              </w:rPr>
            </w:pPr>
          </w:p>
        </w:tc>
      </w:tr>
      <w:tr>
        <w:trPr>
          <w:trHeight w:val="217"/>
        </w:trPr>
        <w:tc>
          <w:tcPr>
            <w:tcW w:w="6220" w:type="dxa"/>
            <w:vAlign w:val="bottom"/>
            <w:gridSpan w:val="3"/>
          </w:tcPr>
          <w:p>
            <w:pPr>
              <w:jc w:val="center"/>
              <w:ind w:right="3840"/>
              <w:spacing w:after="0"/>
              <w:rPr>
                <w:sz w:val="20"/>
                <w:szCs w:val="20"/>
                <w:color w:val="auto"/>
              </w:rPr>
            </w:pPr>
            <w:r>
              <w:rPr>
                <w:rFonts w:ascii="Times New Roman" w:cs="Times New Roman" w:eastAsia="Times New Roman" w:hAnsi="Times New Roman"/>
                <w:sz w:val="17"/>
                <w:szCs w:val="17"/>
                <w:b w:val="1"/>
                <w:bCs w:val="1"/>
                <w:color w:val="auto"/>
              </w:rPr>
              <w:t>Waltham, MA</w:t>
            </w:r>
          </w:p>
        </w:tc>
        <w:tc>
          <w:tcPr>
            <w:tcW w:w="1340" w:type="dxa"/>
            <w:vAlign w:val="bottom"/>
          </w:tcPr>
          <w:p>
            <w:pPr>
              <w:jc w:val="right"/>
              <w:ind w:right="263"/>
              <w:spacing w:after="0"/>
              <w:rPr>
                <w:sz w:val="20"/>
                <w:szCs w:val="20"/>
                <w:color w:val="auto"/>
              </w:rPr>
            </w:pPr>
            <w:r>
              <w:rPr>
                <w:rFonts w:ascii="Times New Roman" w:cs="Times New Roman" w:eastAsia="Times New Roman" w:hAnsi="Times New Roman"/>
                <w:sz w:val="17"/>
                <w:szCs w:val="17"/>
                <w:b w:val="1"/>
                <w:bCs w:val="1"/>
                <w:color w:val="auto"/>
              </w:rPr>
              <w:t>02451</w:t>
            </w:r>
          </w:p>
        </w:tc>
      </w:tr>
      <w:tr>
        <w:trPr>
          <w:trHeight w:val="190"/>
        </w:trPr>
        <w:tc>
          <w:tcPr>
            <w:tcW w:w="6220" w:type="dxa"/>
            <w:vAlign w:val="bottom"/>
            <w:gridSpan w:val="3"/>
          </w:tcPr>
          <w:p>
            <w:pPr>
              <w:jc w:val="center"/>
              <w:ind w:right="3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40" w:type="dxa"/>
            <w:vAlign w:val="bottom"/>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33"/>
        </w:trPr>
        <w:tc>
          <w:tcPr>
            <w:tcW w:w="5240" w:type="dxa"/>
            <w:vAlign w:val="bottom"/>
            <w:gridSpan w:val="2"/>
          </w:tcPr>
          <w:p>
            <w:pPr>
              <w:jc w:val="center"/>
              <w:ind w:left="2848"/>
              <w:spacing w:after="0"/>
              <w:rPr>
                <w:sz w:val="20"/>
                <w:szCs w:val="20"/>
                <w:color w:val="auto"/>
              </w:rPr>
            </w:pPr>
            <w:r>
              <w:rPr>
                <w:rFonts w:ascii="Times New Roman" w:cs="Times New Roman" w:eastAsia="Times New Roman" w:hAnsi="Times New Roman"/>
                <w:sz w:val="17"/>
                <w:szCs w:val="17"/>
                <w:b w:val="1"/>
                <w:bCs w:val="1"/>
                <w:color w:val="auto"/>
              </w:rPr>
              <w:t>781-996-4300</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Borders>
              <w:bottom w:val="single" w:sz="8" w:color="auto"/>
            </w:tcBorders>
          </w:tcPr>
          <w:p>
            <w:pPr>
              <w:jc w:val="center"/>
              <w:ind w:left="97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gridSpan w:val="3"/>
          </w:tcPr>
          <w:p>
            <w:pPr>
              <w:jc w:val="center"/>
              <w:ind w:right="95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20"/>
        </w:trPr>
        <w:tc>
          <w:tcPr>
            <w:tcW w:w="4580" w:type="dxa"/>
            <w:vAlign w:val="bottom"/>
          </w:tcPr>
          <w:p>
            <w:pPr>
              <w:jc w:val="center"/>
              <w:ind w:left="957"/>
              <w:spacing w:after="0"/>
              <w:rPr>
                <w:sz w:val="20"/>
                <w:szCs w:val="20"/>
                <w:color w:val="auto"/>
              </w:rPr>
            </w:pPr>
            <w:r>
              <w:rPr>
                <w:rFonts w:ascii="Times New Roman" w:cs="Times New Roman" w:eastAsia="Times New Roman" w:hAnsi="Times New Roman"/>
                <w:sz w:val="17"/>
                <w:szCs w:val="17"/>
                <w:b w:val="1"/>
                <w:bCs w:val="1"/>
                <w:color w:val="auto"/>
              </w:rPr>
              <w:t>Common Stock, $0.0001 par value per share</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560" w:type="dxa"/>
            <w:vAlign w:val="bottom"/>
            <w:gridSpan w:val="3"/>
          </w:tcPr>
          <w:p>
            <w:pPr>
              <w:jc w:val="center"/>
              <w:ind w:right="935"/>
              <w:spacing w:after="0"/>
              <w:rPr>
                <w:sz w:val="20"/>
                <w:szCs w:val="20"/>
                <w:color w:val="auto"/>
              </w:rPr>
            </w:pPr>
            <w:r>
              <w:rPr>
                <w:rFonts w:ascii="Times New Roman" w:cs="Times New Roman" w:eastAsia="Times New Roman" w:hAnsi="Times New Roman"/>
                <w:sz w:val="17"/>
                <w:szCs w:val="17"/>
                <w:b w:val="1"/>
                <w:bCs w:val="1"/>
                <w:color w:val="auto"/>
              </w:rPr>
              <w:t>The NASDAQ Global Market</w:t>
            </w:r>
          </w:p>
        </w:tc>
        <w:tc>
          <w:tcPr>
            <w:tcW w:w="0" w:type="dxa"/>
            <w:vAlign w:val="bottom"/>
          </w:tcPr>
          <w:p>
            <w:pPr>
              <w:spacing w:after="0"/>
              <w:rPr>
                <w:sz w:val="1"/>
                <w:szCs w:val="1"/>
                <w:color w:val="auto"/>
              </w:rPr>
            </w:pPr>
          </w:p>
        </w:tc>
      </w:tr>
      <w:tr>
        <w:trPr>
          <w:trHeight w:val="231"/>
        </w:trPr>
        <w:tc>
          <w:tcPr>
            <w:tcW w:w="8700" w:type="dxa"/>
            <w:vAlign w:val="bottom"/>
            <w:gridSpan w:val="5"/>
          </w:tcPr>
          <w:p>
            <w:pPr>
              <w:jc w:val="center"/>
              <w:ind w:left="2637"/>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tc>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4120" w:type="dxa"/>
            <w:vAlign w:val="bottom"/>
            <w:gridSpan w:val="4"/>
          </w:tcPr>
          <w:p>
            <w:pPr>
              <w:jc w:val="center"/>
              <w:ind w:right="1781"/>
              <w:spacing w:after="0"/>
              <w:rPr>
                <w:sz w:val="20"/>
                <w:szCs w:val="20"/>
                <w:color w:val="auto"/>
              </w:rPr>
            </w:pPr>
            <w:r>
              <w:rPr>
                <w:rFonts w:ascii="Times New Roman" w:cs="Times New Roman" w:eastAsia="Times New Roman" w:hAnsi="Times New Roman"/>
                <w:sz w:val="17"/>
                <w:szCs w:val="17"/>
                <w:b w:val="1"/>
                <w:bCs w:val="1"/>
                <w:color w:val="auto"/>
              </w:rPr>
              <w:t>None</w:t>
            </w:r>
          </w:p>
        </w:tc>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4120" w:type="dxa"/>
            <w:vAlign w:val="bottom"/>
            <w:gridSpan w:val="4"/>
          </w:tcPr>
          <w:p>
            <w:pPr>
              <w:jc w:val="center"/>
              <w:ind w:right="1781"/>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6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580" w:type="dxa"/>
            <w:vAlign w:val="bottom"/>
          </w:tcPr>
          <w:p>
            <w:pPr>
              <w:spacing w:after="0"/>
              <w:rPr>
                <w:sz w:val="6"/>
                <w:szCs w:val="6"/>
                <w:color w:val="auto"/>
              </w:rPr>
            </w:pPr>
          </w:p>
        </w:tc>
        <w:tc>
          <w:tcPr>
            <w:tcW w:w="2280" w:type="dxa"/>
            <w:vAlign w:val="bottom"/>
            <w:tcBorders>
              <w:bottom w:val="single" w:sz="8" w:color="auto"/>
            </w:tcBorders>
            <w:gridSpan w:val="3"/>
          </w:tcPr>
          <w:p>
            <w:pPr>
              <w:spacing w:after="0"/>
              <w:rPr>
                <w:sz w:val="6"/>
                <w:szCs w:val="6"/>
                <w:color w:val="auto"/>
              </w:rPr>
            </w:pPr>
          </w:p>
        </w:tc>
        <w:tc>
          <w:tcPr>
            <w:tcW w:w="1840" w:type="dxa"/>
            <w:vAlign w:val="bottom"/>
          </w:tcPr>
          <w:p>
            <w:pPr>
              <w:spacing w:after="0"/>
              <w:rPr>
                <w:sz w:val="6"/>
                <w:szCs w:val="6"/>
                <w:color w:val="auto"/>
              </w:rPr>
            </w:pPr>
          </w:p>
        </w:tc>
        <w:tc>
          <w:tcPr>
            <w:tcW w:w="68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6"/>
                <w:szCs w:val="16"/>
                <w:color w:val="auto"/>
              </w:rPr>
              <w:t>☐</w:t>
            </w:r>
          </w:p>
        </w:tc>
        <w:tc>
          <w:tcPr>
            <w:tcW w:w="204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8700" w:type="dxa"/>
            <w:vAlign w:val="bottom"/>
            <w:gridSpan w:val="5"/>
          </w:tcPr>
          <w:p>
            <w:pPr>
              <w:ind w:left="52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tc>
        <w:tc>
          <w:tcPr>
            <w:tcW w:w="680" w:type="dxa"/>
            <w:vAlign w:val="bottom"/>
            <w:vMerge w:val="continue"/>
          </w:tcPr>
          <w:p>
            <w:pPr>
              <w:spacing w:after="0"/>
              <w:rPr>
                <w:sz w:val="22"/>
                <w:szCs w:val="22"/>
                <w:color w:val="auto"/>
              </w:rPr>
            </w:pPr>
          </w:p>
        </w:tc>
        <w:tc>
          <w:tcPr>
            <w:tcW w:w="2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700" w:type="dxa"/>
            <w:vAlign w:val="bottom"/>
            <w:gridSpan w:val="5"/>
          </w:tcPr>
          <w:p>
            <w:pPr>
              <w:ind w:left="52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tc>
        <w:tc>
          <w:tcPr>
            <w:tcW w:w="680" w:type="dxa"/>
            <w:vAlign w:val="bottom"/>
          </w:tcPr>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6"/>
                <w:szCs w:val="16"/>
                <w:color w:val="auto"/>
              </w:rPr>
              <w:t>☐</w:t>
            </w:r>
          </w:p>
        </w:tc>
        <w:tc>
          <w:tcPr>
            <w:tcW w:w="2040" w:type="dxa"/>
            <w:vAlign w:val="bottom"/>
          </w:tcPr>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right="20" w:firstLine="518"/>
        <w:spacing w:after="0" w:line="21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120" w:firstLine="518"/>
        <w:spacing w:after="0" w:line="21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260" w:firstLine="518"/>
        <w:spacing w:after="0" w:line="265" w:lineRule="auto"/>
        <w:rPr>
          <w:sz w:val="20"/>
          <w:szCs w:val="20"/>
          <w:color w:val="auto"/>
        </w:rPr>
      </w:pPr>
      <w:r>
        <w:rPr>
          <w:rFonts w:ascii="Times New Roman" w:cs="Times New Roman" w:eastAsia="Times New Roman" w:hAnsi="Times New Roman"/>
          <w:sz w:val="17"/>
          <w:szCs w:val="17"/>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Times New Roman" w:cs="Times New Roman" w:eastAsia="Times New Roman" w:hAnsi="Times New Roman"/>
          <w:sz w:val="16"/>
          <w:szCs w:val="16"/>
          <w:color w:val="auto"/>
        </w:rPr>
        <w:t>o</w:t>
      </w:r>
    </w:p>
    <w:p>
      <w:pPr>
        <w:spacing w:after="0" w:line="14" w:lineRule="exact"/>
        <w:rPr>
          <w:sz w:val="24"/>
          <w:szCs w:val="24"/>
          <w:color w:val="auto"/>
        </w:rPr>
      </w:pPr>
    </w:p>
    <w:p>
      <w:pPr>
        <w:ind w:right="180" w:firstLine="518"/>
        <w:spacing w:after="0" w:line="27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45" w:right="2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2280" w:space="720"/>
            <w:col w:w="4400" w:space="720"/>
            <w:col w:w="2240" w:space="720"/>
            <w:col w:w="340"/>
          </w:cols>
          <w:pgMar w:left="240" w:top="345" w:right="2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ind w:right="780"/>
        <w:spacing w:after="0"/>
        <w:tabs>
          <w:tab w:leader="none" w:pos="3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2280" w:space="720"/>
            <w:col w:w="4400" w:space="720"/>
            <w:col w:w="2240" w:space="720"/>
            <w:col w:w="340"/>
          </w:cols>
          <w:pgMar w:left="240" w:top="345" w:right="239" w:bottom="1440" w:gutter="0" w:footer="0" w:header="0"/>
          <w:type w:val="continuous"/>
        </w:sectPr>
      </w:pPr>
    </w:p>
    <w:p>
      <w:pPr>
        <w:spacing w:after="0" w:line="1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4" w:lineRule="exact"/>
        <w:rPr>
          <w:sz w:val="24"/>
          <w:szCs w:val="24"/>
          <w:color w:val="auto"/>
        </w:rPr>
      </w:pPr>
    </w:p>
    <w:p>
      <w:pPr>
        <w:sectPr>
          <w:pgSz w:w="11900" w:h="16838" w:orient="portrait"/>
          <w:cols w:equalWidth="0" w:num="5">
            <w:col w:w="8300" w:space="160"/>
            <w:col w:w="240" w:space="80"/>
            <w:col w:w="160" w:space="160"/>
            <w:col w:w="220" w:space="80"/>
            <w:col w:w="2020"/>
          </w:cols>
          <w:pgMar w:left="240" w:top="345" w:right="239" w:bottom="1440" w:gutter="0" w:footer="0" w:header="0"/>
          <w:type w:val="continuous"/>
        </w:sectPr>
      </w:pPr>
    </w:p>
    <w:p>
      <w:pPr>
        <w:ind w:right="540" w:firstLine="518"/>
        <w:spacing w:after="0" w:line="281"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of the registrant as of June 30, 2015 was approximately $92,191,525.60, based on the closing price of the registrant’s common stock on The NASDAQ Global Market.</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March 1, 2016, there were 27,363,965 of the Registrant’s common shares,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648970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7"/>
        </w:trPr>
        <w:tc>
          <w:tcPr>
            <w:tcW w:w="8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2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860" w:type="dxa"/>
            <w:vAlign w:val="bottom"/>
            <w:tcBorders>
              <w:top w:val="single" w:sz="8" w:color="auto"/>
            </w:tcBorders>
            <w:gridSpan w:val="5"/>
          </w:tcPr>
          <w:p>
            <w:pPr>
              <w:spacing w:after="0" w:line="170"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w:t>
              </w:r>
            </w:hyperlink>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5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3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7"/>
                <w:szCs w:val="17"/>
                <w:color w:val="auto"/>
              </w:rPr>
            </w:pPr>
          </w:p>
        </w:tc>
      </w:tr>
      <w:tr>
        <w:trPr>
          <w:trHeight w:val="20"/>
        </w:trPr>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Risk Factors</w:t>
              </w:r>
            </w:hyperlink>
          </w:p>
        </w:tc>
        <w:tc>
          <w:tcPr>
            <w:tcW w:w="8860" w:type="dxa"/>
            <w:vAlign w:val="bottom"/>
            <w:gridSpan w:val="16"/>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Unresolved Staff Comments</w:t>
              </w:r>
            </w:hyperlink>
          </w:p>
        </w:tc>
        <w:tc>
          <w:tcPr>
            <w:tcW w:w="7720" w:type="dxa"/>
            <w:vAlign w:val="bottom"/>
            <w:gridSpan w:val="11"/>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66</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68">
              <w:r>
                <w:rPr>
                  <w:rFonts w:ascii="Times New Roman" w:cs="Times New Roman" w:eastAsia="Times New Roman" w:hAnsi="Times New Roman"/>
                  <w:sz w:val="18"/>
                  <w:szCs w:val="18"/>
                  <w:color w:val="0000EE"/>
                  <w:w w:val="98"/>
                </w:rPr>
                <w:t>Properties</w:t>
              </w:r>
            </w:hyperlink>
          </w:p>
        </w:tc>
        <w:tc>
          <w:tcPr>
            <w:tcW w:w="9040" w:type="dxa"/>
            <w:vAlign w:val="bottom"/>
            <w:gridSpan w:val="17"/>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66</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Legal Proceedings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66</w:t>
            </w:r>
          </w:p>
        </w:tc>
        <w:tc>
          <w:tcPr>
            <w:tcW w:w="20" w:type="dxa"/>
            <w:vAlign w:val="bottom"/>
          </w:tcPr>
          <w:p>
            <w:pPr>
              <w:spacing w:after="0"/>
              <w:rPr>
                <w:sz w:val="17"/>
                <w:szCs w:val="17"/>
                <w:color w:val="auto"/>
              </w:rPr>
            </w:pPr>
          </w:p>
        </w:tc>
      </w:tr>
      <w:tr>
        <w:trPr>
          <w:trHeight w:val="20"/>
        </w:trPr>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Mine Safety Disclosures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66</w:t>
            </w:r>
          </w:p>
        </w:tc>
        <w:tc>
          <w:tcPr>
            <w:tcW w:w="20" w:type="dxa"/>
            <w:vAlign w:val="bottom"/>
          </w:tcPr>
          <w:p>
            <w:pPr>
              <w:spacing w:after="0"/>
              <w:rPr>
                <w:sz w:val="17"/>
                <w:szCs w:val="17"/>
                <w:color w:val="auto"/>
              </w:rPr>
            </w:pPr>
          </w:p>
        </w:tc>
      </w:tr>
      <w:tr>
        <w:trPr>
          <w:trHeight w:val="318"/>
        </w:trPr>
        <w:tc>
          <w:tcPr>
            <w:tcW w:w="880" w:type="dxa"/>
            <w:vAlign w:val="bottom"/>
            <w:gridSpan w:val="6"/>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PART II</w:t>
              </w:r>
            </w:hyperlink>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2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8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Market for Registrant’s Common Shares, Related Stockholder Matters and Issuer Purchases of Equity Securities</w:t>
              </w:r>
            </w:hyperlink>
          </w:p>
        </w:tc>
        <w:tc>
          <w:tcPr>
            <w:tcW w:w="168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67</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 w:type="dxa"/>
            <w:vAlign w:val="bottom"/>
          </w:tcPr>
          <w:p>
            <w:pPr>
              <w:spacing w:after="0"/>
              <w:rPr>
                <w:sz w:val="17"/>
                <w:szCs w:val="17"/>
                <w:color w:val="auto"/>
              </w:rPr>
            </w:pPr>
          </w:p>
        </w:tc>
        <w:tc>
          <w:tcPr>
            <w:tcW w:w="1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Selected Financial Data</w:t>
              </w:r>
            </w:hyperlink>
          </w:p>
        </w:tc>
        <w:tc>
          <w:tcPr>
            <w:tcW w:w="8060" w:type="dxa"/>
            <w:vAlign w:val="bottom"/>
            <w:gridSpan w:val="14"/>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69</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70</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8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320" w:type="dxa"/>
            <w:vAlign w:val="bottom"/>
            <w:gridSpan w:val="4"/>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84</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0" w:type="dxa"/>
            <w:vAlign w:val="bottom"/>
          </w:tcPr>
          <w:p>
            <w:pPr>
              <w:spacing w:after="0"/>
              <w:rPr>
                <w:sz w:val="17"/>
                <w:szCs w:val="17"/>
                <w:color w:val="auto"/>
              </w:rPr>
            </w:pPr>
          </w:p>
        </w:tc>
        <w:tc>
          <w:tcPr>
            <w:tcW w:w="33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Financial Statements and Supplementary Data</w:t>
              </w:r>
            </w:hyperlink>
          </w:p>
        </w:tc>
        <w:tc>
          <w:tcPr>
            <w:tcW w:w="6440" w:type="dxa"/>
            <w:vAlign w:val="bottom"/>
            <w:gridSpan w:val="8"/>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85</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0" w:type="dxa"/>
            <w:vAlign w:val="bottom"/>
          </w:tcPr>
          <w:p>
            <w:pPr>
              <w:spacing w:after="0"/>
              <w:rPr>
                <w:sz w:val="17"/>
                <w:szCs w:val="17"/>
                <w:color w:val="auto"/>
              </w:rPr>
            </w:pPr>
          </w:p>
        </w:tc>
        <w:tc>
          <w:tcPr>
            <w:tcW w:w="65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3280" w:type="dxa"/>
            <w:vAlign w:val="bottom"/>
            <w:gridSpan w:val="3"/>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80" w:type="dxa"/>
            <w:vAlign w:val="bottom"/>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Controls and Procedures</w:t>
              </w:r>
            </w:hyperlink>
          </w:p>
        </w:tc>
        <w:tc>
          <w:tcPr>
            <w:tcW w:w="8000" w:type="dxa"/>
            <w:vAlign w:val="bottom"/>
            <w:gridSpan w:val="13"/>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Other Information</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7"/>
                <w:szCs w:val="17"/>
                <w:color w:val="auto"/>
              </w:rPr>
            </w:pPr>
          </w:p>
        </w:tc>
      </w:tr>
      <w:tr>
        <w:trPr>
          <w:trHeight w:val="318"/>
        </w:trPr>
        <w:tc>
          <w:tcPr>
            <w:tcW w:w="880" w:type="dxa"/>
            <w:vAlign w:val="bottom"/>
            <w:gridSpan w:val="6"/>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PART III</w:t>
              </w:r>
            </w:hyperlink>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6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2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Directors, Executive Officers and Corporate Governance</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680" w:type="dxa"/>
            <w:vAlign w:val="bottom"/>
            <w:gridSpan w:val="7"/>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0" w:type="dxa"/>
            <w:vAlign w:val="bottom"/>
          </w:tcPr>
          <w:p>
            <w:pPr>
              <w:spacing w:after="0"/>
              <w:rPr>
                <w:sz w:val="17"/>
                <w:szCs w:val="17"/>
                <w:color w:val="auto"/>
              </w:rPr>
            </w:pPr>
          </w:p>
        </w:tc>
        <w:tc>
          <w:tcPr>
            <w:tcW w:w="7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480" w:type="dxa"/>
            <w:vAlign w:val="bottom"/>
            <w:gridSpan w:val="2"/>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0" w:type="dxa"/>
            <w:vAlign w:val="bottom"/>
          </w:tcPr>
          <w:p>
            <w:pPr>
              <w:spacing w:after="0"/>
              <w:rPr>
                <w:sz w:val="17"/>
                <w:szCs w:val="17"/>
                <w:color w:val="auto"/>
              </w:rPr>
            </w:pPr>
          </w:p>
        </w:tc>
        <w:tc>
          <w:tcPr>
            <w:tcW w:w="5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Certain Relationships and Related Transactions, and Director Independence</w:t>
              </w:r>
            </w:hyperlink>
          </w:p>
        </w:tc>
        <w:tc>
          <w:tcPr>
            <w:tcW w:w="4320" w:type="dxa"/>
            <w:vAlign w:val="bottom"/>
            <w:gridSpan w:val="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7"/>
                <w:szCs w:val="17"/>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Principal Accountant Fees and Services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7"/>
                <w:szCs w:val="17"/>
                <w:color w:val="auto"/>
              </w:rPr>
            </w:pPr>
          </w:p>
        </w:tc>
      </w:tr>
      <w:tr>
        <w:trPr>
          <w:trHeight w:val="318"/>
        </w:trPr>
        <w:tc>
          <w:tcPr>
            <w:tcW w:w="6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4"/>
              </w:rPr>
            </w:pPr>
            <w:hyperlink w:anchor="page110">
              <w:r>
                <w:rPr>
                  <w:rFonts w:ascii="Times New Roman" w:cs="Times New Roman" w:eastAsia="Times New Roman" w:hAnsi="Times New Roman"/>
                  <w:sz w:val="18"/>
                  <w:szCs w:val="18"/>
                  <w:color w:val="0000EE"/>
                  <w:w w:val="94"/>
                </w:rPr>
                <w:t>PART IV</w:t>
              </w:r>
            </w:hyperlink>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80" w:type="dxa"/>
            <w:vAlign w:val="bottom"/>
          </w:tcPr>
          <w:p>
            <w:pPr>
              <w:spacing w:after="0"/>
              <w:rPr>
                <w:sz w:val="17"/>
                <w:szCs w:val="17"/>
                <w:color w:val="auto"/>
              </w:rPr>
            </w:pPr>
          </w:p>
        </w:tc>
        <w:tc>
          <w:tcPr>
            <w:tcW w:w="9780" w:type="dxa"/>
            <w:vAlign w:val="bottom"/>
            <w:gridSpan w:val="19"/>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Exhibits and Financial Statement Schedules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7"/>
                <w:szCs w:val="17"/>
                <w:color w:val="auto"/>
              </w:rPr>
            </w:pPr>
          </w:p>
        </w:tc>
      </w:tr>
      <w:tr>
        <w:trPr>
          <w:trHeight w:val="1216"/>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80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7" w:right="2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 Looking Statements</w:t>
      </w:r>
    </w:p>
    <w:p>
      <w:pPr>
        <w:spacing w:after="0" w:line="22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Any statements in this Annual Report on Form 10-K about our future expectations, plans and prospects, including statements about the clinical development of our product candidates, statements about our estimated research and development expenses and sufficiency of cash to fund specified use of cash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the uncertainties inherent in the initiation of clinical trials, availability and timing of data from ongoing and future clinical trials and the results of such trials, whether preliminary results from a clinical trial will be predictive of the final results of that trial or whether results of early clinical trials will be indicative of the results of later clinical trials, expectations for regulatory approvals, availability of funding sufficient for our foreseeable and unforeseeable operating expenses and capital expenditure requirements and other factors discussed in Item 1A of this Annual Report on Form 10-K under the heading “Risk Factors”. In addition, any forward-looking statements included in this Form 10-K represent our views only as of the date hereof and should not be relied upon as representing our views as of any subsequent date. We specifically disclaim any obligation to update any forward-looking statements.</w:t>
      </w:r>
    </w:p>
    <w:p>
      <w:pPr>
        <w:spacing w:after="0" w:line="18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are a clinical-stage, oncology-focused company applying our proprietary Dynamic Tumor Targeting™ Platform to develop differentiated therapies. We were incorporated under the laws of the State of Delaware on November 28, 2005 under the name Tempo Pharmaceuticals, Inc. In October 2008, we changed our name to Cerulean Pharma Inc.</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Dynamic Tumor Targeting Platform is designed to create nanoparticle-drug conjugates, or NDCs, with the aim of providing safer and more effective therapies for patients living with cancer. NDCs consist of anti-cancer therapeutics, or payloads, covalently linked to a proprietary polymer. An important goal for all drugs is to maximize the net clinical benefit by increasing the desired therapeutic effect while reducing adverse effects. This is especially difficult with drugs used to treat cancer, where the goal is to destroy or inhibit growth of cancer cells without damaging healthy cells. We believe our NDCs concentrate their anti-cancer payloads inside tumor cells while sparing normal tissue because they are small enough to pass through the leaky pores of new blood vessels in tumors as an entry portal into tumor tissue, but are too large to pass through the pores of healthy blood vessels. Once inside tumors, we believe our NDCs are actively taken up into tumor cells where they slowly release their anti-cancer payloads, providing a durable inhibition of their targets.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ability to combine our NDCs with other agents, either approved or experimental, is a key differentiating feature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platform. Based on their properties and design, our NDCs have the potential to enable synergistic combination therapies that can offer better tolerability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efficacy. We believe that better tolerability can be achieved through the preferential accumulation of the NDC in the tumor cells while better efficacy can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achieved by combining drugs that have different and complementary mechanisms of action. Cancer is a multi-faceted disease that is rarely adequately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addressed by one therapy. Tumor cells are genetically diverse and can rapidly resist and ultimately overcome a single-agent therapy by modulating various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adaptive pathways; however, if multiple drugs simultaneously shut down multiple adaptive pathways, there is a greater chance of achieving favorable disease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responses for an extended period of time.</w:t>
      </w:r>
    </w:p>
    <w:p>
      <w:pPr>
        <w:spacing w:after="0" w:line="20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platform has generated two-clinical stage NDCs. Our first platform-generated clinical candidate, CRLX101, is in Phase 2 clinical development in patients with renal cell carcinoma, or RCC, and in Phase 2 and Phase 1b clinical development in patients with ovarian cancer in combination with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(bevacizumab) and paclitaxel, respectively. We refer to the ongoing Phase 2 randomized, controlled, company-sponsored trial comparing CRLX101 administered in combination with Avastin to investigator’s standard of care in patients who have received two or three prior lines of therapy as the RCC Trial. CRLX101 has been dosed in more than 350 patients and has shown activity in multiple tumor types, both as monotherapy and in combination with other cancer treatments. The United States Food and Drug Administration, or FDA, has granted CRLX101 fast track designation in combination with Avastin in metastatic RCC and orphan drug designation for the treatment of ovarian cancer. Our second platform-generated clinical candidate, CRLX301, is currently in Phase 1/2a clinical development. We intend to generate additional candidates, alone and potentially in collaboration with partners.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 w:name="page4"/>
    <w:bookmarkEnd w:id="3"/>
    <w:p>
      <w:pPr>
        <w:ind w:left="520"/>
        <w:spacing w:after="0"/>
        <w:rPr>
          <w:sz w:val="20"/>
          <w:szCs w:val="20"/>
          <w:color w:val="auto"/>
        </w:rPr>
      </w:pPr>
      <w:r>
        <w:rPr>
          <w:rFonts w:ascii="Times New Roman" w:cs="Times New Roman" w:eastAsia="Times New Roman" w:hAnsi="Times New Roman"/>
          <w:sz w:val="18"/>
          <w:szCs w:val="18"/>
          <w:color w:val="auto"/>
        </w:rPr>
        <w:t>Our lead clinical candidate, CRLX101, is an NDC with a camptothecin payload. Camptothecin is a potent topoisomerase 1, or topo 1, inhibitor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too toxic to develop in the clinic; however, CRLX101 reduces the toxicities associated with this highly potent agent, while increasing the payload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concentration in tumors. In CRLX101, camptothecin is covalently linked to a nanoparticle backbone, which is a cyclodextrin-polyethylene glycol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polymer. CRLX101 is designed to concentrate in tumors and slowly release the camptothecin inside tumor cells. CRLX101 inhibits topo 1 which is involved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cellular replication, and also inhibits hypoxia-inducible factor-1α, or HIF-1α, which research suggests is a master regulator of cancer cell survival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mechanisms, and hypoxia-inducible factor-2α, or HIF-2α, which we believe may also be an important therapeutic target in RCC. Collectively, we will refer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HIF-1α and HIF-2α as HIF.</w:t>
      </w:r>
    </w:p>
    <w:p>
      <w:pPr>
        <w:spacing w:after="0" w:line="20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CRLX101 exemplifies the potential combinability features of NDCs. We are currently exploring four distinct approaches to combination therapy. We believe that we can safely deliver therapeutic levels of CRLX101 that durably inhibit topo 1 and HIF. We can combine this potential inhibition of topo 1 and HIF with additive mechanisms of cell killing using other drugs to potentiate the therapeutic effect. Opportunities for combination therapies that leverage CRLX101’s apparently favorable tolerability profile include, but are not limited to, the following four combination initiatives:</w:t>
      </w:r>
    </w:p>
    <w:p>
      <w:pPr>
        <w:spacing w:after="0" w:line="72" w:lineRule="exact"/>
        <w:rPr>
          <w:sz w:val="20"/>
          <w:szCs w:val="20"/>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vascular endothelial growth factor, or VEGF, inhibitors such as Avastin;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chemotherapies such as weekly paclitaxel;</w:t>
      </w:r>
    </w:p>
    <w:p>
      <w:pPr>
        <w:spacing w:after="0" w:line="117" w:lineRule="exact"/>
        <w:rPr>
          <w:rFonts w:ascii="Times New Roman" w:cs="Times New Roman" w:eastAsia="Times New Roman" w:hAnsi="Times New Roman"/>
          <w:sz w:val="18"/>
          <w:szCs w:val="18"/>
          <w:color w:val="auto"/>
        </w:rPr>
      </w:pPr>
    </w:p>
    <w:p>
      <w:pPr>
        <w:ind w:left="1040" w:right="60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Deoxyribonucleic acid, or DNA, damage repair agents including, poly ADP ribose polymerase, or PARP, inhibitors such as Lynparza™ (olaparib);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in combination with immuno-oncology agents such as indoleamine-pyrrole 2,3-dioxygenase, or IDO inhibitors.</w:t>
      </w:r>
    </w:p>
    <w:p>
      <w:pPr>
        <w:spacing w:after="0" w:line="225"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Our second clinical candidate, CRLX301, is an NDC with a docetaxel payload. Docetaxel is a commercially successful oncology drug that suffers from significant toxicities. We believe that CRLX301 will be differentiated from docetaxel because it is designed to concentrate more docetaxel in tumor cells and spare healthy tissue. In preclinical studies, CRLX301 delivered up to 10 times more docetaxel into tumors, compared to an equivalent milligram dose of commercially available docetaxel and was similar to or better than docetaxel in seven of seven animal models, with a statistically significant survival benefit seen in five of those seven models. In addition, preclinical data show that CRLX301 had lower toxicity than has been reported with docetaxel in similar preclinical studies.</w:t>
      </w:r>
    </w:p>
    <w:p>
      <w:pPr>
        <w:spacing w:after="0" w:line="18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lead indications for CRLX101 are relapsed RCC and relapsed ovarian cancer. In relapsed RCC, CRLX101 is being studied in a randomized company-sponsored trial in combination with Avastin. In relapsed ovarian cancer, CRLX101 is being studied in (1) a single-arm Investigator-Sponsored Trial, or IST, sponsored by Massachusetts General Hospital as monotherapy and in combination with Avastin and (2) a company-sponsored trial in combination with paclitaxel. In addition, CRLX101 is being studied in (1) locally advanced rectal cancer in a Phase 1b/2 open-label IST sponsored by the University of North Carolina in combination with chemoradiotherapy and (2) solid tumors in a company-sponsored trial using a dose-intensive schedule of CRLX101 in patients with advanced solid tumors as a monotherapy as well as a combination therapy. We expect that CRLX101 will be studied in solid tumors in a National Cancer Institute-sponsored trial in combination with Lynparza beginning in the first half of 2016. Finally, CRLX301 is currently being explored in a company-sponsored trial in patients with advanced solid tumors.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Dynamically Tumor Targeted NDCs</w:t>
      </w:r>
    </w:p>
    <w:p>
      <w:pPr>
        <w:spacing w:after="0" w:line="22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Our Dynamic Tumor Targeting Platform is designed to create NDCs with the aim of providing safer and more effective therapies for patients living with cancer. While there have been significant advancements in the search for safe and effective cancer treatments, cancer still remains a difficult disease to treat. A major challenge in developing anti-cancer drugs is to engineer drugs that work at the sites of disease without adversely affecting healthy tissue. Our NDC platform is designed to create NDCs that accumulate high concentrations of active drug in tumor cells, without unwanted exposure to healthy</w:t>
      </w:r>
    </w:p>
    <w:p>
      <w:pPr>
        <w:spacing w:after="0" w:line="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tissue. We believe that increasing the concentration of active drug only in the tumor cells: 1) increases the likelihood of killing cancer cells; 2) reduces toxicity; and 3) enables the administration of our NDCs with other cancer drugs. The rationale for combination therapy is to use drugs that work by different mechanisms and that may have complementary effects, thereby decreasing the likelihood that resistant cancer cells will develop. When drugs with different effects are safely combined, the goal is to use each drug at an optimal dose, without intolerable side effects.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Dynamic Tumor Targeting</w:t>
      </w:r>
    </w:p>
    <w:p>
      <w:pPr>
        <w:spacing w:after="0" w:line="227"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We believe our NDCs represent a new paradigm of drug therapy. NDCs are nanoparticles conjugated to anti-cancer payloads that are designed to accumulate in high levels in tumor cells while limiting exposure to healthy tissue.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 w:name="page5"/>
    <w:bookmarkEnd w:id="4"/>
    <w:p>
      <w:pPr>
        <w:ind w:right="460" w:firstLine="518"/>
        <w:spacing w:after="0" w:line="266" w:lineRule="auto"/>
        <w:rPr>
          <w:sz w:val="20"/>
          <w:szCs w:val="20"/>
          <w:color w:val="auto"/>
        </w:rPr>
      </w:pPr>
      <w:r>
        <w:rPr>
          <w:rFonts w:ascii="Times New Roman" w:cs="Times New Roman" w:eastAsia="Times New Roman" w:hAnsi="Times New Roman"/>
          <w:sz w:val="18"/>
          <w:szCs w:val="18"/>
          <w:color w:val="auto"/>
        </w:rPr>
        <w:t>Based on our preclinical studies and multiple clinical trials with CRLX101, we believe dynamic tumor targeting involves a three-step process, as described and illustrated below, each of which contributes to the achievement of desirable anti-cancer payload exposure in tumors and the reduction of undesirable anti-cancer payload exposure in normal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260985</wp:posOffset>
            </wp:positionV>
            <wp:extent cx="3601720" cy="3550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1720"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00" w:right="40" w:hanging="379"/>
        <w:spacing w:after="0" w:line="25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Tumor targeting via leaky vasculature</w:t>
      </w:r>
      <w:r>
        <w:rPr>
          <w:rFonts w:ascii="Times New Roman" w:cs="Times New Roman" w:eastAsia="Times New Roman" w:hAnsi="Times New Roman"/>
          <w:sz w:val="18"/>
          <w:szCs w:val="18"/>
          <w:color w:val="auto"/>
        </w:rPr>
        <w:t>. After intravenous infusion, our NDCs circulate in the bloodstream. In contrast to typical small molecule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drugs, once in the bloodstream, our NDCs are generally too large to be rapidly eliminated by filtration in the kidneys and to escape from the bloodstream into normal tissue. However, they are small enough to exploit the leaky vasculature found in the immature blood vessels of growing tumors as a selective entry portal into tumor tissue. As tumors grow, they stimulate the formation of new, immature blood vessels, the inner surfaces of which are less densely lined by endothelial cells as compared to mature blood vessels. As a result, immature blood vessels of growing tumors have larger pores that confer leakiness. Generally, pore sizes of normal tissue are less than ten nanometers, and pore sizes of tumor tissue are greater than 100 nanometers. Our NDCs are typically between 10 and 40 nanometers in diameter.</w:t>
      </w:r>
    </w:p>
    <w:p>
      <w:pPr>
        <w:spacing w:after="0" w:line="117" w:lineRule="exact"/>
        <w:rPr>
          <w:rFonts w:ascii="Times New Roman" w:cs="Times New Roman" w:eastAsia="Times New Roman" w:hAnsi="Times New Roman"/>
          <w:sz w:val="18"/>
          <w:szCs w:val="18"/>
          <w:color w:val="auto"/>
        </w:rPr>
      </w:pPr>
    </w:p>
    <w:p>
      <w:pPr>
        <w:jc w:val="both"/>
        <w:ind w:left="900" w:right="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NDCs are designed to be stealthy, meaning that they are designed to survive detection by the body’s immune cells and therefore avoid stimulating an immune response. This results in slow metabolism and long systemic circulation, allowing our NDCs to penetrate from the bloodstream into tumors via the leaky vasculature.</w:t>
      </w:r>
    </w:p>
    <w:p>
      <w:pPr>
        <w:spacing w:after="0" w:line="106" w:lineRule="exact"/>
        <w:rPr>
          <w:rFonts w:ascii="Times New Roman" w:cs="Times New Roman" w:eastAsia="Times New Roman" w:hAnsi="Times New Roman"/>
          <w:sz w:val="18"/>
          <w:szCs w:val="18"/>
          <w:color w:val="auto"/>
        </w:rPr>
      </w:pPr>
    </w:p>
    <w:p>
      <w:pPr>
        <w:ind w:left="900" w:hanging="379"/>
        <w:spacing w:after="0" w:line="25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Transport into tumor cells</w:t>
      </w:r>
      <w:r>
        <w:rPr>
          <w:rFonts w:ascii="Times New Roman" w:cs="Times New Roman" w:eastAsia="Times New Roman" w:hAnsi="Times New Roman"/>
          <w:sz w:val="18"/>
          <w:szCs w:val="18"/>
          <w:color w:val="auto"/>
        </w:rPr>
        <w:t>. Once inside the tumor, tumor cells transport our NDCs into the interior of tumor cells. We believe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macropinocytosis acts as the primary mechanism of uptake. Macropinocytosis is a cellular uptake mechanism that allows small particles to be transported into cells. It is induced by the tumor’s rapid growth and ensuing demand for cellular building blocks. Macropinocytosis is up-regulated in tumor cells, and CRLX101 exploits this feature to drive uptake of the NDC and its anti-cancer payload. Following their entry into the cancer cells, we believe our NDCs are too large to be removed from cancer cells by their existing efflux pumps. Efflux is the process by which toxic substances are moved out of the cell and which can confer tumor resistance against anti-cancer agents.</w:t>
      </w:r>
    </w:p>
    <w:p>
      <w:pPr>
        <w:spacing w:after="0" w:line="115" w:lineRule="exact"/>
        <w:rPr>
          <w:rFonts w:ascii="Times New Roman" w:cs="Times New Roman" w:eastAsia="Times New Roman" w:hAnsi="Times New Roman"/>
          <w:sz w:val="18"/>
          <w:szCs w:val="18"/>
          <w:color w:val="auto"/>
        </w:rPr>
      </w:pPr>
    </w:p>
    <w:p>
      <w:pPr>
        <w:ind w:left="900" w:right="40" w:hanging="379"/>
        <w:spacing w:after="0" w:line="259"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Sustained release of anti-cancer payload from within tumor cells</w:t>
      </w:r>
      <w:r>
        <w:rPr>
          <w:rFonts w:ascii="Times New Roman" w:cs="Times New Roman" w:eastAsia="Times New Roman" w:hAnsi="Times New Roman"/>
          <w:sz w:val="18"/>
          <w:szCs w:val="18"/>
          <w:color w:val="auto"/>
        </w:rPr>
        <w:t>. Since the anti-cancer payload is covalently linked to the polymer of the NDC,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anti-cancer payload has to be cleaved from the polymer to be active. We believe the cleavage of the linker connection between the anti-cancer payload and the NDC occurs primarily by hydrolysis and therefore is affected by pH. Typically, the pH level in tumors is lower than in the bloodstream, which further slows the cleavage of the linker and thereby prolongs the release of the anti-cancer payload within tumor cells. We believe sustained release contributes to enhanced anti-tumor activity.</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 w:name="page6"/>
    <w:bookmarkEnd w:id="5"/>
    <w:p>
      <w:pPr>
        <w:ind w:firstLine="518"/>
        <w:spacing w:after="0" w:line="255" w:lineRule="auto"/>
        <w:rPr>
          <w:sz w:val="20"/>
          <w:szCs w:val="20"/>
          <w:color w:val="auto"/>
        </w:rPr>
      </w:pPr>
      <w:r>
        <w:rPr>
          <w:rFonts w:ascii="Times New Roman" w:cs="Times New Roman" w:eastAsia="Times New Roman" w:hAnsi="Times New Roman"/>
          <w:sz w:val="18"/>
          <w:szCs w:val="18"/>
          <w:color w:val="auto"/>
        </w:rPr>
        <w:t>As clinical evidence of selective entry of CRLX101 in tumor tissue, we obtained differential post-therapy biopsies of tumor tissue and adjacent normal tissue from nine gastric patients. In nine of nine patient biopsies, taken between 24 and 48 hours after a single dose of CRLX101 was administered, the presence of camptothecin associated with CRLX101 was observed in the tumor tissue. In contrast, no definitive evidence of either the nanoparticle or camptothecin contained within the nanoparticle was observed in neighboring normal tissue. An illustrative example from one patient is shown in the figure below (in which camptothecin is referred to as “CPT” in the image on the right). These human data support our belief that our platform achieves higher drug concentrations in tumors compared to normal tissue. Further, the data showed inhibition of topo 1 and HIF-1α in post-treatment biopsies. In addition, we believe that the observed safety profile of our lead drug candidate, CRLX101, across more than 350 cancer patients, can be explained by the targeted delivery of the anti-cancer payload and the sparing of key organ systems from extensive drug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129540</wp:posOffset>
            </wp:positionV>
            <wp:extent cx="3430270" cy="2444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027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60" w:right="2580"/>
        <w:spacing w:after="0" w:line="281" w:lineRule="auto"/>
        <w:rPr>
          <w:sz w:val="20"/>
          <w:szCs w:val="20"/>
          <w:color w:val="auto"/>
        </w:rPr>
      </w:pPr>
      <w:r>
        <w:rPr>
          <w:rFonts w:ascii="Times New Roman" w:cs="Times New Roman" w:eastAsia="Times New Roman" w:hAnsi="Times New Roman"/>
          <w:sz w:val="16"/>
          <w:szCs w:val="16"/>
          <w:color w:val="auto"/>
        </w:rPr>
        <w:t>Clark et al. (2015). CRLX101, an investigational nanoparticle-drug conjugate, localizes in human tumors and not in adjacent healthy tissue after intravenous dosing. Mol Cancer Ther 14(12 Suppl 2):Abstract nr B33.</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Application of the Platform</w:t>
      </w:r>
    </w:p>
    <w:p>
      <w:pPr>
        <w:spacing w:after="0" w:line="227"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Our platform is applicable to a range of payloads. We have created NDCs with a variety of small molecule payloads, including, but not limited, to camptothecin, docetaxel, Jevtana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(cabazitaxel), gemcitabine, methotrexate, and Xeljanz</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(tofacitinib). We select the small molecule payload based upon several factors, including our ability to conjugate the payload to our polymer, the biological rationale for prolonging circulation and providing sustained release of the payload, a relatively high potency of the payload, as well as intellectual property, regulatory and commercial considerations. As discussed below, in preclinical testing, our NDCs generally show improved pharmacokinetics, activity and tolerability as compared to the payload alone. We intend to develop NDCs alone and potentially in collaboration with partners.</w:t>
      </w:r>
    </w:p>
    <w:p>
      <w:pPr>
        <w:spacing w:after="0" w:line="188"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Our platform has thus far generated a lead candidate, CRLX101, and a second candidate, CRLX301, and we believe it has the potential to further expand our pipeline, alone and in combination with partners.</w:t>
      </w:r>
    </w:p>
    <w:p>
      <w:pPr>
        <w:spacing w:after="0" w:line="162"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November 2015, we entered into a collaboration with AstraZeneca AB, or AstraZeneca, and the National Cancer Institute, or the NCI, to study the clinical combination of AstraZeneca’s drug Lynparza with CRLX101. We believe our NDCs enable therapeutic combinations because they are designed to concentrate anti-cancer payloads inside tumor cells and spare healthy tissue. Preclinical data generated by AstraZeneca with the Lynparza-CRLX101 combination demonstrated a synergistic anti-tumor effect from targeting two validated pathways. While PARP-topo 1 combinations have traditionally been limited by toxicity, preclinical work done by AstraZeneca suggests that a Lynparza-CRLX101 combination therapy could be clinically relevant.</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Potential for Combinability</w:t>
      </w:r>
    </w:p>
    <w:p>
      <w:pPr>
        <w:spacing w:after="0" w:line="227"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The ability to combine our NDCs with other agents, either approved or experimental, is a key differentiating feature of our Dynamic Tumor Targeting Platform. Based on their properties and design, our NDCs have the potential to enable synergistic combination therapies that can offer both better tolerability and efficacy.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6" w:name="page7"/>
    <w:bookmarkEnd w:id="6"/>
    <w:p>
      <w:pPr>
        <w:ind w:firstLine="518"/>
        <w:spacing w:after="0" w:line="256" w:lineRule="auto"/>
        <w:rPr>
          <w:sz w:val="20"/>
          <w:szCs w:val="20"/>
          <w:color w:val="auto"/>
        </w:rPr>
      </w:pPr>
      <w:r>
        <w:rPr>
          <w:rFonts w:ascii="Times New Roman" w:cs="Times New Roman" w:eastAsia="Times New Roman" w:hAnsi="Times New Roman"/>
          <w:sz w:val="18"/>
          <w:szCs w:val="18"/>
          <w:color w:val="auto"/>
        </w:rPr>
        <w:t>Drugs in a combination therapy are expected to demonstrate efficacy, which is often based on the drugs using multiple different mechanisms of action. Tumor cells are genetically diverse and can rapidly resist and ultimately overcome a single-agent therapy by modulating various adaptive pathways; however, if multiple drugs simultaneously shut down multiple adaptive pathways, there is a greater chance of achieving disease responses for an extended period of time. We believe our NDCs can be engineered to optimize the synergistic effects of combination therapy. We believe CRLX101 has opportunities in combination with each of the following four categories of cancer treatment: VEGF inhibitors such as Avastin, chemotherapy such as paclitaxel, DNA damage repair agents such as PARP inhibitors, and, potentially, immuno-oncology agents such as IDO inhibitors.</w:t>
      </w:r>
    </w:p>
    <w:p>
      <w:pPr>
        <w:spacing w:after="0" w:line="188"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A drug eligible for combination therapy also should demonstrate a safety profile that does not overlap with or exacerbate the safety profile of the combination agent. The highlighted graph below represents the adverse events experienced by patients in the CRLX101 arm in an open-label, randomized Phase 2 clinical trial of CRLX101 as monotherapy in patients with advanced non-small cell lung cancer, or NSCLC, who had progressed through one or two prior chemotherapy regimens. This trial, which commenced in 2011, enrolled 157 patients, 97 of whom were administered CRLX101 as monotherapy. The other graphs below show the adverse events experienced by patients in clinical trials of approved camptothecin-class therapeutics, irinotecan and topotecan. CRLX101 was generally well tolerated in the NSCLC trial and the adverse event profile observed in the NSCLC trial supports our view that CRLX101 may be combinable with other anti-cancer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132080</wp:posOffset>
            </wp:positionV>
            <wp:extent cx="4905375" cy="2889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0537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520" w:right="1160" w:firstLine="9"/>
        <w:spacing w:after="0" w:line="298" w:lineRule="auto"/>
        <w:tabs>
          <w:tab w:leader="none" w:pos="176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IV topotecan label categorizes non-hematological AEs as (a) grade 1-2 and (b) grade 3-4, but categorizes hematological AEs as (a) grade 1-3 and (b) grade 4, so hematological AEs are shown with diagonal stripes.</w:t>
      </w:r>
    </w:p>
    <w:p>
      <w:pPr>
        <w:spacing w:after="0" w:line="149" w:lineRule="exact"/>
        <w:rPr>
          <w:sz w:val="20"/>
          <w:szCs w:val="20"/>
          <w:color w:val="auto"/>
        </w:rPr>
      </w:pPr>
    </w:p>
    <w:p>
      <w:pPr>
        <w:ind w:left="1520" w:right="1440"/>
        <w:spacing w:after="0" w:line="201" w:lineRule="auto"/>
        <w:rPr>
          <w:sz w:val="20"/>
          <w:szCs w:val="20"/>
          <w:color w:val="auto"/>
        </w:rPr>
      </w:pPr>
      <w:r>
        <w:rPr>
          <w:rFonts w:ascii="Times New Roman" w:cs="Times New Roman" w:eastAsia="Times New Roman" w:hAnsi="Times New Roman"/>
          <w:sz w:val="16"/>
          <w:szCs w:val="16"/>
          <w:color w:val="auto"/>
        </w:rPr>
        <w:t>Data not from comparative trial. Sources: Irinotecan (FDA label); Topotecan (FDA label), CRLX101 at 15mg/m</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6"/>
          <w:szCs w:val="16"/>
          <w:color w:val="auto"/>
        </w:rPr>
        <w:t xml:space="preserve"> MTD (Phase 2 NSCLC Trial. 100 patients).</w:t>
      </w:r>
    </w:p>
    <w:p>
      <w:pPr>
        <w:spacing w:after="0" w:line="204"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CRLX101 is currently in clinical trials in combination with an anti-angiogenic drug, Avastin, in relapsed RCC and relapsed ovarian cancer. We have demonstrated that CRLX101 is synergistic with Avastin in an ovarian xenograft model. We believe that this synergy is at least partly caused by the ability of CRLX101 to inhibit the up-regulation of HIF-1a caused by anti-angiogenic therapy. We have further confirmed this synergy in a highly metastatic ovarian cancer orthotopic tumor model, as well as in a triple-negative breast cancer orthotopic tumor model. We have observed the synergy of CRLX101 with other VEGF inhibitors such as Votrient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(pazopanib) and Zaltrap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(ziv-aflibercept).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 w:name="page8"/>
    <w:bookmarkEnd w:id="7"/>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We have conducted animal tumor model studies comparing CRLX101 to certain leading anti-angiogenesis drugs and the combination of CRLX101 and these anti-angiogenesis drugs. In these studies, we treated nude mouse xenograft models in which human A2780 ovarian cancer tumor cells were implanted subcutaneously in mice and allowed to establish tumors. We administered 5 mg/kg CRLX101 weekly by intravenous infusion alone or in combination with one of three different antiangiogenic drugs: Avastin, Zaltrap or Votrient. Avastin was dosed intravenously at 5 mg/kg twice per week. Zaltrap was dosed intraperitoneally at 25 mg/kg twice per week. Votrient was dosed orally at 150 mg/kg daily. Vehicle-treated mice were dosed with saline. Each dose group consisted of ten animals. We administered a CRLX101 dose level that was half the maximum-tolerated dose so that we could compare the effect of the applicable CRLX101 combination to CRLX101 as monotherapy. All other dose levels were the maximum effective dose in this model, as indicated by the literature. For the analysis of HIF-1a in tumors, mice were dosed for ten days, and three days following the final dose tumors were flash-frozen and HIF-1a protein levels were measured via western blot analysis, quantified using infrared fluorescence detection, normalized to actin levels and compared to HIF-1a protein levels from saline-treated mice. For the survival analysis, mice were dosed for three weeks, tumors were measured using calipers twice per week, and each animal was euthanized at the earlier of the time when its tumor reached a volume of 2,000 cubic millimeters or the end of the study.</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these animal tumor model studies:</w:t>
      </w:r>
    </w:p>
    <w:p>
      <w:pPr>
        <w:spacing w:after="0" w:line="117"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HIF-1α protein expression was significantly up-regulated in the presence of each tested anti-angiogenesis drug;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HIF-1α protein expression was significantly down-regulated when exposed to a low dose of CRLX101;</w:t>
      </w:r>
    </w:p>
    <w:p>
      <w:pPr>
        <w:spacing w:after="0" w:line="117"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CRLX101 was combined with any of the tested anti-angiogenesis drugs, HIF-1α protein expression was down-regulated compared to control, thus confirming that the CRLX101 down-regulation can counteract the HIF-1α protein expression up-regulation normally produced by these anti-angiogenesis drugs alone; and</w:t>
      </w:r>
    </w:p>
    <w:p>
      <w:pPr>
        <w:spacing w:after="0" w:line="68"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a low dose of CRLX101 with the anti-angiogenesis drugs was synergistic and resulted in markedly longer animal survival than either drug by itself.</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HIF-1a protein expression and survival rate results are illustrated in the graphs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100" w:right="1860"/>
        <w:spacing w:after="0" w:line="298" w:lineRule="auto"/>
        <w:rPr>
          <w:sz w:val="20"/>
          <w:szCs w:val="20"/>
          <w:color w:val="auto"/>
        </w:rPr>
      </w:pPr>
      <w:r>
        <w:rPr>
          <w:rFonts w:ascii="Times New Roman" w:cs="Times New Roman" w:eastAsia="Times New Roman" w:hAnsi="Times New Roman"/>
          <w:sz w:val="16"/>
          <w:szCs w:val="16"/>
          <w:color w:val="auto"/>
        </w:rPr>
        <w:t>Pham et al. (2015). Translational impact of nanoparticle-drug conjugate CRLX101 with or without bevacizumab in advanced ovarian cancer. Clin Cancer Res 21(4):808-18.</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Our Corporate Strategy</w:t>
      </w:r>
    </w:p>
    <w:p>
      <w:pPr>
        <w:spacing w:after="0" w:line="22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Our goal is to be a leader in the discovery, development and commercialization of NDCs for the treatment of patients with inadequately treated forms of cancer. Key elements of our strategy to achieve this goal are to:</w:t>
      </w:r>
    </w:p>
    <w:p>
      <w:pPr>
        <w:spacing w:after="0" w:line="52" w:lineRule="exact"/>
        <w:rPr>
          <w:sz w:val="20"/>
          <w:szCs w:val="20"/>
          <w:color w:val="auto"/>
        </w:rPr>
      </w:pPr>
    </w:p>
    <w:p>
      <w:pPr>
        <w:ind w:left="1040" w:right="60" w:hanging="519"/>
        <w:spacing w:after="0" w:line="273" w:lineRule="auto"/>
        <w:tabs>
          <w:tab w:leader="none" w:pos="10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Advance the development of our lead clinical candidate, CRLX101, in multiple tumor types. </w:t>
      </w:r>
      <w:r>
        <w:rPr>
          <w:rFonts w:ascii="Times New Roman" w:cs="Times New Roman" w:eastAsia="Times New Roman" w:hAnsi="Times New Roman"/>
          <w:sz w:val="17"/>
          <w:szCs w:val="17"/>
          <w:color w:val="auto"/>
        </w:rPr>
        <w:t>Based on confirmatory signals of activity observed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ongoing relapsed RCC IST we initiated a randomized Phase 2 clinical trial of CRLX101 in combination with Avastin in this patient population in 2014. The trial completed enrollment in October 2015 and we expect to report top-line data from this trial in the first half of</w:t>
      </w:r>
    </w:p>
    <w:p>
      <w:pPr>
        <w:spacing w:after="0" w:line="1" w:lineRule="exact"/>
        <w:rPr>
          <w:rFonts w:ascii="Times New Roman" w:cs="Times New Roman" w:eastAsia="Times New Roman" w:hAnsi="Times New Roman"/>
          <w:sz w:val="17"/>
          <w:szCs w:val="17"/>
          <w:color w:val="auto"/>
        </w:rPr>
      </w:pPr>
    </w:p>
    <w:p>
      <w:pPr>
        <w:jc w:val="both"/>
        <w:ind w:left="1040" w:right="1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2016. We are exploring development opportunities in additional tumor types, and we intend to explore additional development opportunities, alone and in collaboration with strategic partners, to capitalize on the various opportunities to use CRLX101 in combination with other cancer treatments.</w:t>
      </w:r>
    </w:p>
    <w:p>
      <w:pPr>
        <w:spacing w:after="0" w:line="76" w:lineRule="exact"/>
        <w:rPr>
          <w:rFonts w:ascii="Times New Roman" w:cs="Times New Roman" w:eastAsia="Times New Roman" w:hAnsi="Times New Roman"/>
          <w:sz w:val="17"/>
          <w:szCs w:val="17"/>
          <w:color w:val="auto"/>
        </w:rPr>
      </w:pPr>
    </w:p>
    <w:p>
      <w:pPr>
        <w:ind w:left="1040" w:right="260" w:hanging="519"/>
        <w:spacing w:after="0" w:line="26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the development of our second clinical candidate, CRLX301, into selected indications. </w:t>
      </w:r>
      <w:r>
        <w:rPr>
          <w:rFonts w:ascii="Times New Roman" w:cs="Times New Roman" w:eastAsia="Times New Roman" w:hAnsi="Times New Roman"/>
          <w:sz w:val="18"/>
          <w:szCs w:val="18"/>
          <w:color w:val="auto"/>
        </w:rPr>
        <w:t>We have determined the maximum tolerated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dose, or MTD, of CRLX301 administered once every three weeks, and continue to explore the MTD of CRLX301 on a weekly dosing schedule. These determinations will help us to determine a recommended Phase 2 dose.</w:t>
      </w:r>
    </w:p>
    <w:p>
      <w:pPr>
        <w:spacing w:after="0" w:line="65" w:lineRule="exact"/>
        <w:rPr>
          <w:rFonts w:ascii="Times New Roman" w:cs="Times New Roman" w:eastAsia="Times New Roman" w:hAnsi="Times New Roman"/>
          <w:sz w:val="18"/>
          <w:szCs w:val="18"/>
          <w:color w:val="auto"/>
        </w:rPr>
      </w:pPr>
    </w:p>
    <w:p>
      <w:pPr>
        <w:ind w:left="1040" w:right="120" w:hanging="519"/>
        <w:spacing w:after="0" w:line="26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 our platform to discover and develop a proprietary pipeline of highly differentiated product candidates with anti-cancer payloads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our platform, we have created two clinical candidates, CRLX101 and CRLX301. We have used our platform to create additional NDCs, and we intend over the longer term to develop additional product candidates from the platform.</w:t>
      </w:r>
    </w:p>
    <w:p>
      <w:pPr>
        <w:spacing w:after="0" w:line="65" w:lineRule="exact"/>
        <w:rPr>
          <w:rFonts w:ascii="Times New Roman" w:cs="Times New Roman" w:eastAsia="Times New Roman" w:hAnsi="Times New Roman"/>
          <w:sz w:val="18"/>
          <w:szCs w:val="18"/>
          <w:color w:val="auto"/>
        </w:rPr>
      </w:pPr>
    </w:p>
    <w:p>
      <w:pPr>
        <w:ind w:left="1040" w:right="180" w:hanging="519"/>
        <w:spacing w:after="0" w:line="277" w:lineRule="auto"/>
        <w:tabs>
          <w:tab w:leader="none" w:pos="10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Leverage our platform beyond our proprietary pipeline to enter into strategic partnerships for the development of product candidates. </w:t>
      </w:r>
      <w:r>
        <w:rPr>
          <w:rFonts w:ascii="Times New Roman" w:cs="Times New Roman" w:eastAsia="Times New Roman" w:hAnsi="Times New Roman"/>
          <w:sz w:val="17"/>
          <w:szCs w:val="17"/>
          <w:color w:val="auto"/>
        </w:rPr>
        <w:t>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believe that our platform can be used with a wide range of payloads. We plan to explore the possibility of entering into partnerships with companies that have proprietary active pharmaceutical ingredients, or APIs, that can be used as NDC payloads for use in the treatment of oncology indications. We envision selective partnerships with pharmaceutical companies, in which we would leverage the partner’s expertise, in combination with our platform, to generate novel NDCs incorporating the partner’s approved therapeutic or development candidate.</w:t>
      </w:r>
    </w:p>
    <w:p>
      <w:pPr>
        <w:spacing w:after="0" w:line="60" w:lineRule="exact"/>
        <w:rPr>
          <w:rFonts w:ascii="Times New Roman" w:cs="Times New Roman" w:eastAsia="Times New Roman" w:hAnsi="Times New Roman"/>
          <w:sz w:val="17"/>
          <w:szCs w:val="17"/>
          <w:color w:val="auto"/>
        </w:rPr>
      </w:pPr>
    </w:p>
    <w:p>
      <w:pPr>
        <w:ind w:left="1040" w:right="280" w:hanging="519"/>
        <w:spacing w:after="0" w:line="26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core capabilities that allow us to commercialize our products in the United States. </w:t>
      </w:r>
      <w:r>
        <w:rPr>
          <w:rFonts w:ascii="Times New Roman" w:cs="Times New Roman" w:eastAsia="Times New Roman" w:hAnsi="Times New Roman"/>
          <w:sz w:val="18"/>
          <w:szCs w:val="18"/>
          <w:color w:val="auto"/>
        </w:rPr>
        <w:t>In order to maximize the value of our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if approved, we expect to commercialize our products in the United States with a focused commercialization organization and to seek one or more strategic partners for commercialization outside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Our current development stage pipeline consists of CRLX101 and CRLX301. As described in more detail below, we are pursuing clinical development of CRLX101 in two lead indications, and we began clinical development of CRLX301 in 2014.</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CRLX101</w:t>
      </w:r>
    </w:p>
    <w:p>
      <w:pPr>
        <w:spacing w:after="0" w:line="22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lead clinical candidate, CRLX101, is a dynamically tumor targeted NDC in Phase 2 clinical development and has the potential to improve outcomes for patients in combination with other cancer treatments. CRLX101 has shown activity as monotherapy and in combination with other cancer treatments, in multiple tumor types. CRLX101 is in Phase 2 clinical development and has been administered to more than 350 patients. The FDA has granted CRLX101 fast track designation in combination with Avastin in metastatic RCC and orphan drug designation for the treatment of ovarian cancer.</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believe CRLX101, which contains camptothecin as its anti-cancer payload, is a potent, durable and combinable inhibitor of topo 1, a commercially validated cancer target, and HIF, a novel target of increasing interest in cancer research. Two products that have been marketed by other companies, irinotecan and topotecan, inhibit topo 1, but their clinical use is associated with severe toxicities. Recent research suggests that HIF, and in particular the HIF subunit HIF-la, is a master regulator of multiple cancer cell survival pathways.</w:t>
      </w:r>
    </w:p>
    <w:p>
      <w:pPr>
        <w:spacing w:after="0" w:line="180"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We have demonstrated in preclinical studies that CRLX101 is a potent, durable and combinable inhibitor of topo 1 and HIF. We believe that the properties of CRLX101 could translate into important benefits for patients. We are focusing the clinical development of CRLX101 on cancer indications in which we expect the durable inhibition of topo 1 and HIF, in combination with other cancer treatments, will lead to differentiated efficacy. We are exploring combinations with VEGF inhibitors such as Avastin, chemotherapy such as paclitaxel, DNA damage repair agents such as PARP inhibitors, and, potentially, combinations with immuno-oncology agents such as IDO inhibitors.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7"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We are pursuing development of CRLX101 in combination with anti-cancer therapies in multiple ongoing clinical development programs that include company-sponsored trials and ISTs. Our two lead indications are RCC, or kidney cancer, and ovarian cancer:</w:t>
      </w:r>
    </w:p>
    <w:p>
      <w:pPr>
        <w:spacing w:after="0" w:line="52"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RCC:</w:t>
      </w:r>
    </w:p>
    <w:p>
      <w:pPr>
        <w:spacing w:after="0" w:line="104" w:lineRule="exact"/>
        <w:rPr>
          <w:rFonts w:ascii="Times New Roman" w:cs="Times New Roman" w:eastAsia="Times New Roman" w:hAnsi="Times New Roman"/>
          <w:sz w:val="18"/>
          <w:szCs w:val="18"/>
          <w:color w:val="auto"/>
        </w:rPr>
      </w:pPr>
    </w:p>
    <w:p>
      <w:pPr>
        <w:ind w:left="1540" w:right="120" w:hanging="513"/>
        <w:spacing w:after="0" w:line="256"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u w:val="single" w:color="auto"/>
          <w:color w:val="auto"/>
        </w:rPr>
        <w:t>Current Trial</w:t>
      </w:r>
      <w:r>
        <w:rPr>
          <w:rFonts w:ascii="Times New Roman" w:cs="Times New Roman" w:eastAsia="Times New Roman" w:hAnsi="Times New Roman"/>
          <w:sz w:val="18"/>
          <w:szCs w:val="18"/>
          <w:color w:val="auto"/>
        </w:rPr>
        <w:t>: We completed enrollment of the RCC Trial in October 2015 and we expect to announce top-line data in the first half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2016. The primary endpoint is investigator-assessed progression free survival, or PFS, according to Response Evaluation Criteria In Solid Tumors, or RECIST, version 1.1. Secondary endpoints include, but are not limited to, overall response rate, or ORR, independent radiologic reviewed PFS, duration of response and overall survival. The trial is sized to show a 2.3 month improvement over an expected 3.5 month median PFS for standard of care with a hazard ratio of 0.6, meaning that the trial is expected to show whether CRLX101 plus Avastin provides a 66% improvement in PFS over available third- and fourth-line treatments.</w:t>
      </w:r>
    </w:p>
    <w:p>
      <w:pPr>
        <w:spacing w:after="0" w:line="79" w:lineRule="exact"/>
        <w:rPr>
          <w:rFonts w:ascii="Times New Roman" w:cs="Times New Roman" w:eastAsia="Times New Roman" w:hAnsi="Times New Roman"/>
          <w:sz w:val="18"/>
          <w:szCs w:val="18"/>
          <w:color w:val="auto"/>
        </w:rPr>
      </w:pPr>
    </w:p>
    <w:p>
      <w:pPr>
        <w:ind w:left="1540" w:hanging="513"/>
        <w:spacing w:after="0" w:line="25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u w:val="single" w:color="auto"/>
          <w:color w:val="auto"/>
        </w:rPr>
        <w:t>Prior Clinical Trial</w:t>
      </w:r>
      <w:r>
        <w:rPr>
          <w:rFonts w:ascii="Times New Roman" w:cs="Times New Roman" w:eastAsia="Times New Roman" w:hAnsi="Times New Roman"/>
          <w:sz w:val="18"/>
          <w:szCs w:val="18"/>
          <w:color w:val="auto"/>
        </w:rPr>
        <w:t>: CRLX101 in combination with Avastin has been evaluated in a Phase 1b/2 single-arm IST in patients with relapsed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RCC. Based on the results of this IST, we believe that the combination of CRLX101 and Avastin may provide therapeutic benefits to patients with RCC who have received two or three prior lines of therapy including a tyrosine kinase inhibitor, or TKI, and/or an inhibitor of a mammalian target of rapamycin, or an mTOR inhibitor. A total of 22 patients were evaluable for efficacy in this trial. The last patient was enrolled in December 2014, and the trial met its primary endpoint of safety and tolerability.</w:t>
      </w:r>
    </w:p>
    <w:p>
      <w:pPr>
        <w:spacing w:after="0" w:line="91" w:lineRule="exact"/>
        <w:rPr>
          <w:sz w:val="20"/>
          <w:szCs w:val="20"/>
          <w:color w:val="auto"/>
        </w:rPr>
      </w:pPr>
    </w:p>
    <w:p>
      <w:pPr>
        <w:ind w:left="1560" w:right="160"/>
        <w:spacing w:after="0" w:line="258" w:lineRule="auto"/>
        <w:rPr>
          <w:sz w:val="20"/>
          <w:szCs w:val="20"/>
          <w:color w:val="auto"/>
        </w:rPr>
      </w:pPr>
      <w:r>
        <w:rPr>
          <w:rFonts w:ascii="Times New Roman" w:cs="Times New Roman" w:eastAsia="Times New Roman" w:hAnsi="Times New Roman"/>
          <w:sz w:val="18"/>
          <w:szCs w:val="18"/>
          <w:color w:val="auto"/>
        </w:rPr>
        <w:t>Data from this clinical trial was presented at the 2015 annual meetings of the American Society of Clinical Oncology and the Kidney Cancer Association Annual Meeting. The median PFS of patients in the trial was 9.9 months. Based on third-party published data, the expected PFS of the standard of care in this setting is approximately 3.6 months. In addition, the RECIST partial response rate of patients in the trial was 23%. Several recent studies in advanced RCC suggest that after treatment with a TKI, subsequent therapies, including Avastin alone, achieve RECIST partial response rates of between 2% and 4%.</w:t>
      </w:r>
    </w:p>
    <w:p>
      <w:pPr>
        <w:spacing w:after="0" w:line="76" w:lineRule="exact"/>
        <w:rPr>
          <w:sz w:val="20"/>
          <w:szCs w:val="20"/>
          <w:color w:val="auto"/>
        </w:rPr>
      </w:pPr>
    </w:p>
    <w:p>
      <w:pPr>
        <w:ind w:left="1540" w:hanging="506"/>
        <w:spacing w:after="0" w:line="251" w:lineRule="auto"/>
        <w:tabs>
          <w:tab w:leader="none" w:pos="154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u w:val="single" w:color="auto"/>
          <w:color w:val="auto"/>
        </w:rPr>
        <w:t>Market Opportunity</w:t>
      </w:r>
      <w:r>
        <w:rPr>
          <w:rFonts w:ascii="Times New Roman" w:cs="Times New Roman" w:eastAsia="Times New Roman" w:hAnsi="Times New Roman"/>
          <w:sz w:val="18"/>
          <w:szCs w:val="18"/>
          <w:color w:val="auto"/>
        </w:rPr>
        <w:t>: The American Cancer Society estimated that 62,000 new cases of kidney cancer would occur in the United States in 2015 and that approximately 14,000 people would die from kidney cancer in 2015. According to the most recently available data from Surveillance, Epidemiology, and End Results Program of the United States National Cancer Institute, the incidence of kidney cancer has been generally rising each year. RCC is by far the most common type of kidney cancer, accounting for nine out of every ten kidney cases. Up to 30% of patients with RCC present with metastatic disease and five-year survival among these patients is less than</w:t>
      </w:r>
    </w:p>
    <w:p>
      <w:pPr>
        <w:ind w:left="1540"/>
        <w:spacing w:after="0" w:line="255" w:lineRule="auto"/>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10%. There is currently no cure for RCC that has metastasized beyond the lymph nodes to one or more distant organs, which we refer to as metastatic RCC. There is currently no treatment specifically approved for the treatment of RCC in patients who have progressed on two or more prior lines of therapy. This unmet need creates an opportunity for a new class of therapies in this indication.</w:t>
      </w:r>
    </w:p>
    <w:p>
      <w:pPr>
        <w:spacing w:after="0" w:line="78" w:lineRule="exact"/>
        <w:rPr>
          <w:rFonts w:ascii="Courier New" w:cs="Courier New" w:eastAsia="Courier New" w:hAnsi="Courier New"/>
          <w:sz w:val="18"/>
          <w:szCs w:val="18"/>
          <w:color w:val="auto"/>
        </w:rPr>
      </w:pPr>
    </w:p>
    <w:p>
      <w:pPr>
        <w:ind w:left="1540" w:right="40" w:hanging="506"/>
        <w:spacing w:after="0" w:line="253" w:lineRule="auto"/>
        <w:tabs>
          <w:tab w:leader="none" w:pos="154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u w:val="single" w:color="auto"/>
          <w:color w:val="auto"/>
        </w:rPr>
        <w:t>Current Treatments for RCC</w:t>
      </w:r>
      <w:r>
        <w:rPr>
          <w:rFonts w:ascii="Times New Roman" w:cs="Times New Roman" w:eastAsia="Times New Roman" w:hAnsi="Times New Roman"/>
          <w:sz w:val="18"/>
          <w:szCs w:val="18"/>
          <w:color w:val="auto"/>
        </w:rPr>
        <w:t>: Systemic therapeutic options for advanced RCC include molecularly targeted therapies and chemotherapy and immunomodulatory therapies such as interferon alpha and interleukin-2. There are currently eight FDA-approved therapies commonly used for the treatment of RCC. In November 2015, the FDA approved Opdivo® (nivolumab) to treat patients with metastatic RCC whose disease progressed on an anti-angiogenic therapy. Opdivo is a fully human immunoglobulin G4 PD-1 immune checkpoint inhibitor antibody that selectively blocks the interaction between PD-1, which is expressed on activated T cells, and PD-1 ligand 1, or PD-L1, and PD-1 ligand 2, or PD-L2, which are expressed on immune cells and tumor cells.</w:t>
      </w:r>
    </w:p>
    <w:p>
      <w:pPr>
        <w:spacing w:after="0" w:line="79" w:lineRule="exact"/>
        <w:rPr>
          <w:rFonts w:ascii="Courier New" w:cs="Courier New" w:eastAsia="Courier New" w:hAnsi="Courier New"/>
          <w:sz w:val="18"/>
          <w:szCs w:val="18"/>
          <w:color w:val="auto"/>
        </w:rPr>
      </w:pPr>
    </w:p>
    <w:p>
      <w:pPr>
        <w:ind w:left="1540" w:right="100" w:hanging="506"/>
        <w:spacing w:after="0" w:line="254" w:lineRule="auto"/>
        <w:tabs>
          <w:tab w:leader="none" w:pos="154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u w:val="single" w:color="auto"/>
          <w:color w:val="auto"/>
        </w:rPr>
        <w:t>Rationale for Use of CRLX101 in RCC</w:t>
      </w:r>
      <w:r>
        <w:rPr>
          <w:rFonts w:ascii="Times New Roman" w:cs="Times New Roman" w:eastAsia="Times New Roman" w:hAnsi="Times New Roman"/>
          <w:sz w:val="18"/>
          <w:szCs w:val="18"/>
          <w:color w:val="auto"/>
        </w:rPr>
        <w:t>: CRLX101 appears to durably suppress topo 1 and HIF in preclinical animal studies and has demonstrated notable synergy in combination with VEGF inhibitors including Avastin. We hypothesize that CRLX101 could overcome HIF-mediated acquired resistance to Avastin, which could facilitate the translation of median PFS and response rate benefits achieved with Avastin in this setting into meaningful overall survival benefits for RCC patients.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10" w:name="page11"/>
    <w:bookmarkEnd w:id="10"/>
    <w:p>
      <w:pPr>
        <w:ind w:left="520" w:hanging="519"/>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ovarian cancer:</w:t>
      </w:r>
    </w:p>
    <w:p>
      <w:pPr>
        <w:spacing w:after="0" w:line="104" w:lineRule="exact"/>
        <w:rPr>
          <w:rFonts w:ascii="Times New Roman" w:cs="Times New Roman" w:eastAsia="Times New Roman" w:hAnsi="Times New Roman"/>
          <w:sz w:val="18"/>
          <w:szCs w:val="18"/>
          <w:color w:val="auto"/>
        </w:rPr>
      </w:pPr>
    </w:p>
    <w:p>
      <w:pPr>
        <w:ind w:left="1020" w:right="100" w:hanging="513"/>
        <w:spacing w:after="0" w:line="25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u w:val="single" w:color="auto"/>
          <w:color w:val="auto"/>
        </w:rPr>
        <w:t>Current Trials</w:t>
      </w:r>
      <w:r>
        <w:rPr>
          <w:rFonts w:ascii="Times New Roman" w:cs="Times New Roman" w:eastAsia="Times New Roman" w:hAnsi="Times New Roman"/>
          <w:sz w:val="18"/>
          <w:szCs w:val="18"/>
          <w:color w:val="auto"/>
        </w:rPr>
        <w:t>: A Phase 2 single-arm IST of CRLX101 as monotherapy and in combination with Avastin in patients with relapsed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ovarian cancer is being conducted at Massachusetts General Hospital and affiliated Harvard University teaching hospitals. The monotherapy arm of the trial, in which 29 patients were enrolled, met its primary endpoint. RECIST responses, as well as encouraging PFS, were observed for several patients in the monotherapy arm. The results from the monotherapy arm led to the combination arm of this trial which employs a two-stage design. The first stage enrolled 18 patients and achieved the pre-defined criterion for advancement into the second stage, which showed improved activity relative to the monotherapy arm. We are enrolling an additional 25 patients in the second stage of this trial.</w:t>
      </w:r>
    </w:p>
    <w:p>
      <w:pPr>
        <w:spacing w:after="0" w:line="96" w:lineRule="exact"/>
        <w:rPr>
          <w:sz w:val="20"/>
          <w:szCs w:val="20"/>
          <w:color w:val="auto"/>
        </w:rPr>
      </w:pPr>
    </w:p>
    <w:p>
      <w:pPr>
        <w:ind w:left="1040" w:right="60"/>
        <w:spacing w:after="0" w:line="256" w:lineRule="auto"/>
        <w:rPr>
          <w:sz w:val="20"/>
          <w:szCs w:val="20"/>
          <w:color w:val="auto"/>
        </w:rPr>
      </w:pPr>
      <w:r>
        <w:rPr>
          <w:rFonts w:ascii="Times New Roman" w:cs="Times New Roman" w:eastAsia="Times New Roman" w:hAnsi="Times New Roman"/>
          <w:sz w:val="18"/>
          <w:szCs w:val="18"/>
          <w:color w:val="auto"/>
        </w:rPr>
        <w:t>We are conducting a Phase 1b single-arm company-sponsored trial of CRLX101 in combination with weekly paclitaxel in patients with relapsed ovarian cancer in collaboration with the GOG Foundation, Inc. (formerly known as the Gynecologic Oncology Group), or GOG. This Phase 1b multi-center, open-label, dose-escalation study combines CRLX101 with weekly paclitaxel in up to 24 patients with recurrent or persistent epithelial ovarian, fallopian tube or primary peritoneal cancer. The trial is designed to identify the maximum tolerated dose as well as pharmacokinetics, safety and tolerability of CRLX101 in combination with weekly paclitaxel. We will also evaluate preliminary evidence of efficacy.</w:t>
      </w:r>
    </w:p>
    <w:p>
      <w:pPr>
        <w:spacing w:after="0" w:line="80" w:lineRule="exact"/>
        <w:rPr>
          <w:sz w:val="20"/>
          <w:szCs w:val="20"/>
          <w:color w:val="auto"/>
        </w:rPr>
      </w:pPr>
    </w:p>
    <w:p>
      <w:pPr>
        <w:jc w:val="both"/>
        <w:ind w:left="1020" w:right="240" w:hanging="506"/>
        <w:spacing w:after="0" w:line="257" w:lineRule="auto"/>
        <w:tabs>
          <w:tab w:leader="none" w:pos="102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u w:val="single" w:color="auto"/>
          <w:color w:val="auto"/>
        </w:rPr>
        <w:t>Market Opportunity</w:t>
      </w:r>
      <w:r>
        <w:rPr>
          <w:rFonts w:ascii="Times New Roman" w:cs="Times New Roman" w:eastAsia="Times New Roman" w:hAnsi="Times New Roman"/>
          <w:sz w:val="18"/>
          <w:szCs w:val="18"/>
          <w:color w:val="auto"/>
        </w:rPr>
        <w:t>: The American Cancer Society estimated that approximately 21,000 women in the United States would receive a new diagnosis of ovarian cancer in 2015 and that approximately 14,000 women in the United States would die from ovarian cancer in 2015, which would make ovarian cancer the leading cause of death among gynecologic malignancies in the United States.</w:t>
      </w:r>
    </w:p>
    <w:p>
      <w:pPr>
        <w:spacing w:after="0" w:line="75" w:lineRule="exact"/>
        <w:rPr>
          <w:rFonts w:ascii="Courier New" w:cs="Courier New" w:eastAsia="Courier New" w:hAnsi="Courier New"/>
          <w:sz w:val="18"/>
          <w:szCs w:val="18"/>
          <w:color w:val="auto"/>
        </w:rPr>
      </w:pPr>
    </w:p>
    <w:p>
      <w:pPr>
        <w:ind w:left="1020" w:hanging="506"/>
        <w:spacing w:after="0" w:line="251" w:lineRule="auto"/>
        <w:tabs>
          <w:tab w:leader="none" w:pos="102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u w:val="single" w:color="auto"/>
          <w:color w:val="auto"/>
        </w:rPr>
        <w:t>Current Treatments for Ovarian Cancer</w:t>
      </w:r>
      <w:r>
        <w:rPr>
          <w:rFonts w:ascii="Times New Roman" w:cs="Times New Roman" w:eastAsia="Times New Roman" w:hAnsi="Times New Roman"/>
          <w:sz w:val="18"/>
          <w:szCs w:val="18"/>
          <w:color w:val="auto"/>
        </w:rPr>
        <w:t>: First-line therapy for ovarian cancer, including epithelial, tubal and peritoneal cancers, is typically inclusive of a platinum and taxane containing therapy with or without Avastin; however, Avastin was not approved for use in ovarian cancer until November 2014. Some patients will be primary refractory, meaning they will never achieve a RECIST-based response to initial therapy; the prognosis for these patients is extremely poor. The majority of patients with advanced ovarian cancer who achieve a RECIST-based response will eventually experience cancer recurrence. Therapy selected for later-line treatment of patients who achieve a RECIST-based response to frontline therapy depends on whether the patient is defined as platinum-sensitive or platinum-resistant. Platinum sensitive includes those patients who achieved initial response and whose cancer does not recur for six months or longer after completing platinum-based therapy. Resistant disease includes those who experience recurrence in less than six months. Treatment of patients with platinum-sensitive disease will typically include another platinum containing therapy, usually a doublet where the second agent is a taxane or gemcitabine. Alternatively, Doxil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(liposomal doxorubicin) may be used. Treatment of patients with platinum-resistant disease is more challenging and may include one of several agents, including Doxil, topotecan, docetaxel, gemcitabine, weekly paclitaxel and etoposide, none of which have been established to prolong survival. Avastin may also be considered, although it was not FDA-approved for platinum-resistant disease until November 2014 when it was approved in combination with any one of the following three chemotherapies: pegylated liposomal doxorubicin, weekly paclitaxel, or topotecan. There remains considerable unmet medical need for patients with recurrent ovarian cancer and in particular for those who are platinum-resistant.</w:t>
      </w:r>
    </w:p>
    <w:p>
      <w:pPr>
        <w:spacing w:after="0" w:line="86" w:lineRule="exact"/>
        <w:rPr>
          <w:rFonts w:ascii="Courier New" w:cs="Courier New" w:eastAsia="Courier New" w:hAnsi="Courier New"/>
          <w:sz w:val="18"/>
          <w:szCs w:val="18"/>
          <w:color w:val="auto"/>
        </w:rPr>
      </w:pPr>
    </w:p>
    <w:p>
      <w:pPr>
        <w:ind w:left="1020" w:hanging="506"/>
        <w:spacing w:after="0"/>
        <w:tabs>
          <w:tab w:leader="none" w:pos="102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u w:val="single" w:color="auto"/>
          <w:color w:val="auto"/>
        </w:rPr>
        <w:t>Rationale for Use of CRLX101 in Ovarian Cancer</w:t>
      </w:r>
      <w:r>
        <w:rPr>
          <w:rFonts w:ascii="Times New Roman" w:cs="Times New Roman" w:eastAsia="Times New Roman" w:hAnsi="Times New Roman"/>
          <w:sz w:val="18"/>
          <w:szCs w:val="18"/>
          <w:color w:val="auto"/>
        </w:rPr>
        <w:t>: The combination of CRLX101 with Avastin in platinum-resistant ovarian cancer</w:t>
      </w:r>
    </w:p>
    <w:p>
      <w:pPr>
        <w:spacing w:after="0" w:line="13" w:lineRule="exact"/>
        <w:rPr>
          <w:rFonts w:ascii="Courier New" w:cs="Courier New" w:eastAsia="Courier New" w:hAnsi="Courier New"/>
          <w:sz w:val="18"/>
          <w:szCs w:val="18"/>
          <w:color w:val="auto"/>
        </w:rPr>
      </w:pPr>
    </w:p>
    <w:p>
      <w:pPr>
        <w:ind w:left="1020" w:right="20"/>
        <w:spacing w:after="0" w:line="251" w:lineRule="auto"/>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capitalizes on several important aspects of this indication, specifically: ovarian cancer is a HIF overexpressing tumor type, CRLX101 has been shown to be synergistic with Avastin in preclinical ovarian cancer models, and preliminary clinical evaluation of this combination appears to be generally well tolerated thus far. We also believe that CRLX101 could provide benefit to patients with relapsed ovarian cancer in combination with other cancer treatments, including paclitaxel. Weekly dosing of paclitaxel demonstrates both cytotoxic and anti-angiogenic activity in ovarian cancer and clinical trials have demonstrated both PFS and overall survival benefits of weekly paclitaxel dosing in this setting, even among patients with prior progression through dose-dense paclitaxel. Therefore, we hypothesize that CRLX101’s potential to overcome HIF-related chemotherapy resistance is relevant to weekly paclitaxel. This combination has demonstrated greater than additive activity in pre-clinical models and is now being studied in our open-label Phase 1b clinical trial in patients with relapsed ovarian cancer in collaboration with the GOG.</w:t>
      </w:r>
    </w:p>
    <w:p>
      <w:pPr>
        <w:spacing w:after="0" w:line="1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443" w:right="2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color w:val="auto"/>
        </w:rPr>
        <w:t>CRLX301</w:t>
      </w:r>
    </w:p>
    <w:p>
      <w:pPr>
        <w:spacing w:after="0" w:line="22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CRLX301, our second platform-generated NDC clinical candidate, is an NDC with docetaxel as its anti-cancer payload. CRLX301 is designed to concentrate in tumors and slowly release docetaxel inside tumor cells. In preclinical studies, CRLX301 delivered up to 10 times more docetaxel into tumors, compared to an equivalent milligram dose of commercially available docetaxel and was similar to or better than docetaxel in seven of seven animal models, with a statistically significant survival benefit seen in five of those seven models. In addition, preclinical data show that CRLX301 had lower toxicity than has been reported with docetaxel in similar preclinical studies. CRLX301 is currently in Phase 1/2a clinical development.</w:t>
      </w:r>
    </w:p>
    <w:p>
      <w:pPr>
        <w:spacing w:after="0" w:line="184" w:lineRule="exact"/>
        <w:rPr>
          <w:sz w:val="20"/>
          <w:szCs w:val="20"/>
          <w:color w:val="auto"/>
        </w:rPr>
      </w:pPr>
    </w:p>
    <w:p>
      <w:pPr>
        <w:ind w:right="420" w:firstLine="518"/>
        <w:spacing w:after="0" w:line="256" w:lineRule="auto"/>
        <w:rPr>
          <w:sz w:val="20"/>
          <w:szCs w:val="20"/>
          <w:color w:val="auto"/>
        </w:rPr>
      </w:pPr>
      <w:r>
        <w:rPr>
          <w:rFonts w:ascii="Times New Roman" w:cs="Times New Roman" w:eastAsia="Times New Roman" w:hAnsi="Times New Roman"/>
          <w:sz w:val="18"/>
          <w:szCs w:val="18"/>
          <w:color w:val="auto"/>
        </w:rPr>
        <w:t>Docetaxel, a member of the taxane family, is a highly active chemotherapeutic that binds to microtubules to trigger cell death in dividing cells. Docetaxel is extensively used in clinical practice and is FDA-approved for the treatment of locally advanced or metastatic NSCLC, locally advanced squamous cell carcinoma of the head and neck, androgen-independent prostate cancer, locally advanced or metastatic breast cancer and advanced gastric cancer. Moreover, other tumor types are known to be sensitive to docetaxel. Docetaxel causes toxicities, including death attributable to toxicities, hepatotoxicity, neutropenia, hypersensitivity, severe fluid retention and peripheral neuropathy. These toxicities can lead to dose adjustments, treatment discontinuation and extensive supportive care.</w:t>
      </w:r>
    </w:p>
    <w:p>
      <w:pPr>
        <w:spacing w:after="0" w:line="18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Because CRLX301 is synthesized in a similar manner as CRLX101, we can utilize some common intermediates and manufacturing facilities, thereby creating manufacturing synergies across the two programs. We believe the clinical development risk of CRLX301 is somewhat mitigated because the efficacy of docetaxel in humans is extensively validated. In addition, the safety risk of the NDC platform is reduced since CRLX101, sharing the identical nanoparticle backbone, has been tested in over 350 patients without serious toxicities attributed to the component parts of the NDC.</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Our target product profile for CRLX301 aims to demonstrate improved efficacy, safety and combinability over docetaxel. The potential advantages of CRLX301 would be to increase docetaxel’s proven anti-tumor activity by targeting sustained release of docetaxel from within tumor cells, thereby achieving sustained drug concentrations in tumor cells. We expect lower tissue distribution with CRLX301 compared to docetaxel, based on preclinical studies, potentially enhancing tolerability.</w:t>
      </w:r>
    </w:p>
    <w:p>
      <w:pPr>
        <w:spacing w:after="0" w:line="180" w:lineRule="exact"/>
        <w:rPr>
          <w:sz w:val="20"/>
          <w:szCs w:val="20"/>
          <w:color w:val="auto"/>
        </w:rPr>
      </w:pPr>
    </w:p>
    <w:p>
      <w:pPr>
        <w:ind w:right="860" w:firstLine="518"/>
        <w:spacing w:after="0" w:line="282" w:lineRule="auto"/>
        <w:rPr>
          <w:sz w:val="20"/>
          <w:szCs w:val="20"/>
          <w:color w:val="auto"/>
        </w:rPr>
      </w:pPr>
      <w:r>
        <w:rPr>
          <w:rFonts w:ascii="Times New Roman" w:cs="Times New Roman" w:eastAsia="Times New Roman" w:hAnsi="Times New Roman"/>
          <w:sz w:val="18"/>
          <w:szCs w:val="18"/>
          <w:color w:val="auto"/>
        </w:rPr>
        <w:t>We believe that the potentially enhanced therapeutic benefit and favorable safety profile for CRLX301 would enable combination therapies incorporating CRLX301 with other anti-cancer therapies that may not be combinable today due to docetaxel’s toxicities.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117"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Dose Escalation</w:t>
      </w:r>
    </w:p>
    <w:p>
      <w:pPr>
        <w:spacing w:after="0" w:line="104" w:lineRule="exact"/>
        <w:rPr>
          <w:rFonts w:ascii="Times New Roman" w:cs="Times New Roman" w:eastAsia="Times New Roman" w:hAnsi="Times New Roman"/>
          <w:sz w:val="18"/>
          <w:szCs w:val="18"/>
          <w:color w:val="auto"/>
        </w:rPr>
      </w:pPr>
    </w:p>
    <w:p>
      <w:pPr>
        <w:ind w:left="1540" w:right="60" w:hanging="513"/>
        <w:spacing w:after="0" w:line="25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u w:val="single" w:color="auto"/>
          <w:color w:val="auto"/>
        </w:rPr>
        <w:t>Current Trial</w:t>
      </w:r>
      <w:r>
        <w:rPr>
          <w:rFonts w:ascii="Times New Roman" w:cs="Times New Roman" w:eastAsia="Times New Roman" w:hAnsi="Times New Roman"/>
          <w:sz w:val="18"/>
          <w:szCs w:val="18"/>
          <w:color w:val="auto"/>
        </w:rPr>
        <w:t>: We are studying CRLX301 in a Phase 1/2a trial in patients with advanced solid tumor malignancies in order to evaluate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safety of the drug and establish an MTD for two dosing schedules. We explored tolerability of dose ranges when the drug candidate was administered once every three weeks. We completed the first six dosing cohorts starting at 7.5 mg/ 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and then escalated to 15, 30, 60, 75, and 90 mg/ 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At 90 mg/ 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we observed dose limiting toxicities in two of six patients. As a result, we have determined an MTD of 75 mg/ 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for this dosing schedule, which is equivalent to the standard dose level and schedule for commercial docetaxel. We are exploring a weekly dosing schedule to determine the MTD for that regimen. These parallel paths will allow us to determine the recommended Phase 2 dose with the preferred dosing schedule.</w:t>
      </w:r>
    </w:p>
    <w:p>
      <w:pPr>
        <w:spacing w:after="0" w:line="81" w:lineRule="exact"/>
        <w:rPr>
          <w:rFonts w:ascii="Times New Roman" w:cs="Times New Roman" w:eastAsia="Times New Roman" w:hAnsi="Times New Roman"/>
          <w:sz w:val="18"/>
          <w:szCs w:val="18"/>
          <w:color w:val="auto"/>
        </w:rPr>
      </w:pPr>
    </w:p>
    <w:p>
      <w:pPr>
        <w:ind w:left="1540" w:right="40" w:hanging="513"/>
        <w:spacing w:after="0" w:line="254"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u w:val="single" w:color="auto"/>
          <w:color w:val="auto"/>
        </w:rPr>
        <w:t>Market Opportunity</w:t>
      </w:r>
      <w:r>
        <w:rPr>
          <w:rFonts w:ascii="Times New Roman" w:cs="Times New Roman" w:eastAsia="Times New Roman" w:hAnsi="Times New Roman"/>
          <w:sz w:val="18"/>
          <w:szCs w:val="18"/>
          <w:color w:val="auto"/>
        </w:rPr>
        <w:t>: Docetaxel is one of the most commonly used anti-cancer drugs and is approved for use in multiple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indications. Although docetaxel is efficacious in these and other indications, its market opportunity is limited by its significant toxicities. We believe that CRLX301 is potentially useful in all of the tumor types where docetaxel is currently used, and might also be useful in settings where docetaxel currently is not used due to toxicity. Therefore, it is difficult to calculate an estimated number of potential patients for CRLX301 at this time. When we pick a lead indication, we may choose from among those tumor types in which docetaxel is approved and active, and in which docetaxel is not approved but where taxanes have demonstrated efficacy or in which resistance to prior taxanes has been established. Such possible tumor types include, among others, ovarian cancer, cervical cancer, breast cancer, gastric cancer, prostate cancer, melanoma and head and neck cancer. Once we have selected the recommended Phase 2 dose and schedule, then we may choose to conduct a randomized Phase 2 clinical trial in an indication of interest in order to conduct a head-to-head comparison of CRLX301 against the standard of care in this tumor type.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2" w:name="page13"/>
    <w:bookmarkEnd w:id="12"/>
    <w:p>
      <w:pPr>
        <w:ind w:left="1540" w:right="20" w:hanging="506"/>
        <w:spacing w:after="0" w:line="252" w:lineRule="auto"/>
        <w:tabs>
          <w:tab w:leader="none" w:pos="1540" w:val="left"/>
        </w:tabs>
        <w:numPr>
          <w:ilvl w:val="0"/>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u w:val="single" w:color="auto"/>
          <w:color w:val="auto"/>
        </w:rPr>
        <w:t>Rationale for Use of CRLX301</w:t>
      </w:r>
      <w:r>
        <w:rPr>
          <w:rFonts w:ascii="Times New Roman" w:cs="Times New Roman" w:eastAsia="Times New Roman" w:hAnsi="Times New Roman"/>
          <w:sz w:val="18"/>
          <w:szCs w:val="18"/>
          <w:color w:val="auto"/>
        </w:rPr>
        <w:t>: We have advanced CRLX301 into clinical trials based on data from our preclinical studies, which showed tumor levels of docetaxel from CRLX301 that were 10 times higher than tumor levels of separately dosed docetaxel. In a mouse tumor pharmacokinetics study we measured concentrations of docetaxel following administration of a single dose of either CRLX301 or docetaxel to mice, in which certain mouse melanoma tumor cells were implanted subcutaneously and allowed to establish tumors. Approximately 10 times the amount of docetaxel released from CRLX301 was detected in tumors of the mice that were dosed with CRLX301 as compared to the mice that were dosed with the same amount of docetaxel. We also tested the anti-tumor activity of CRLX301 in animal xenograft models of prostate cancer, squamous non-small cell lung cancer, adenocarcinoma non-small cell lung cancer, ovarian cancer, multi-drug resistant ovarian cancer, triple-negative breast cancer and in a syngeneic melanoma model. In all of these models, CRLX301 was either superior or comparable to docetaxel in either delay of tumor progression and/or complete response rate. CRLX301 also showed a statistically significant survival benefit in five out of seven models.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Collaborators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 key component to our strategy is to collaborate with other companies to discover and develop new NDCs. In November 2015, we entered into a collaboration with AstraZeneca and the NCI, part of the National Institutes of Health, to study AstraZeneca’s drug Lynparza in combination with CRLX101. Lynparza is an FDA-approved PARP inhibitor for the treatment of certain advanced ovarian cancers. The collaboration will explore the combination of PARP and topo 1 inhibition. Preclinical data generated by AstraZeneca with the Lynparza-CRLX101 combination demonstrated a synergistic anti-tumor effect from targeting two validated pathways. While PARP-topo 1 combinations have traditionally been limited by toxicity, we believe that with our NDC and the work AstraZeneca has done to define a clinical dose and schedule we may be able to develop an effective and tolerable Lynparza-CRLX101 combination. The NCI will conduct a combination Phase 1/2a trial.</w:t>
      </w:r>
    </w:p>
    <w:p>
      <w:pPr>
        <w:spacing w:after="0" w:line="18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are collaborating with Massachusetts General Hospital and the GOG on two clinical trials in relapsed ovarian cancer. The first trial is a Phase 2 single-arm IST of CRLX101 as monotherapy and in combination with Avastin in patients with relapsed ovarian cancer. This IST is being conducted at Massachusetts General Hospital and affiliated Harvard University teaching hospitals. The second trial is a company-sponsored Phase 1b open label trial that we are conducting in collaboration with the GOG testing CRLX101 in combination with weekly paclitaxel in patients with relapsed ovarian cancer.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biopharmaceutical industry is characterized by rapidly advancing technologies, intense competition and a strong emphasis on proprietary products. While we believe that our technology,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84"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manufacturing, marketing, drug development, technical and human resources than we do.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176"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Due to the large unmet medical need, global demographics and relatively attractive reimbursement dynamics, the oncology market is fiercely competitive. In each indication we are pursuing, there are approved cancer therapeutics and agents under clinical development for use as monotherapy and combination therapy. Each of the top ten global pharmaceutical companies and most of the mid-size pharmaceutical companies has a strong research and development and commercial presence in oncology. Smaller companies also focus on oncology, including, without limitation, companies such as Acceleron Pharma, Inc., Agios Pharmaceuticals, Inc., AVEO Pharmaceuticals Inc., ARIAD Pharmaceuticals, Inc., Argos Therapeutics, Inc., BIND Therapeutics, Inc., Clovis Oncology, Inc., Endocyte, Inc., Epizyme, Inc., Exelixis, Inc., ImmunoGen, Inc., Incyte Corporation, Infinity Pharmaceuticals, Inc., MacroGenics, Inc., Medivation, Inc., Merrimack Pharmaceuticals, Inc., OncoMed Pharmaceuticals, Inc., Onconova Therapeutics, Inc., Pharmacyclics, Inc. (which was acquired by AbbVie Inc. on May 26, 2015), Puma Biotechnology, Inc., Seattle Genetics, Inc., TESARO, Inc. and Verastem,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3" w:name="page14"/>
    <w:bookmarkEnd w:id="13"/>
    <w:p>
      <w:pPr>
        <w:ind w:right="220" w:firstLine="518"/>
        <w:spacing w:after="0" w:line="254" w:lineRule="auto"/>
        <w:rPr>
          <w:sz w:val="20"/>
          <w:szCs w:val="20"/>
          <w:color w:val="auto"/>
        </w:rPr>
      </w:pPr>
      <w:r>
        <w:rPr>
          <w:rFonts w:ascii="Times New Roman" w:cs="Times New Roman" w:eastAsia="Times New Roman" w:hAnsi="Times New Roman"/>
          <w:sz w:val="18"/>
          <w:szCs w:val="18"/>
          <w:color w:val="auto"/>
        </w:rPr>
        <w:t>Companies with marketed nanotechnology-based oncology products include Celgene Corporation (Abraxane® (nab-paclitaxel) indicated for breast cancer, NSCLC and pancreatic cancer), Janssen Products, LP (Doxil indicated for ovarian cancer and, in combination with Velcade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(bortezomib), for multiple myeloma), Merrimack Pharmaceuticals, Inc. (Onivyde</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(irinotecan liposome injection) indicated for pancreatic and colorectal cancer) and Spectrum Pharmaceuticals, Inc. (Marqibo® (vincristine sulfate liposome injection) indicated for relapsed Philadelphia chromosome-negative acute lymphoblastic leukemia). Companies with nanotechnology-based oncology product candidates in clinical development include, without limitation, BIND Therapeutics, Inc. (BIND 014 for squamous NSCLC, urothelial carcinoma, cholangiocarcinoma, cervical cancer and squamous cell carcinoma of the head and neck), Celator Pharmaceuticals, Inc. (CPX-351 for acute myeloid leukemia), Celsion Corporation (ThermoDox (lyso-thermosensitive liposomal doxorubicin) for liver cancer and breast cancer), Cytimmune Sciences, Inc. (CYT-6091 for NSCLC), Cristal Delivery B.V. d/b/a Cristal Therapeutics (CriPec® docetaxel for oncology), Nektar Therapeutics (NKTR102 for solid tumors), Nippon Kayku Seizo Co., Ltd. (NK105 in breast cancer), Starpharma Holdings Ltd. (DEP® docetaxel for oncology), and Supratek Pharma Inc. (SP1049C for solid tumors).</w:t>
      </w:r>
    </w:p>
    <w:p>
      <w:pPr>
        <w:spacing w:after="0" w:line="18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believe CRLX101 is the only non-nucleotide oncology product candidate in clinical development that inhibits the HIF pathway as well as topo 1. F. Hoffmann-La Roche Ltd. acquired a Locked Nucleic Acid oncology product candidate that targets HIF-1α (SPC-2968, which was referred to as EZN-2968 when it was being developed by Enzon Pharmaceuticals, Inc. and Santaris Pharma A/S). Peloton Therapeutics, Inc. has developed an orally bioavailable small molecule inhibitor specific to HIF-2α that is in a Phase 1 clinical development in clear cell RCC (PT2385). In addition, there are drugs and biologics in development that could compete with CRLX101 in each of its lead indications.</w:t>
      </w:r>
    </w:p>
    <w:p>
      <w:pPr>
        <w:spacing w:after="0" w:line="184" w:lineRule="exact"/>
        <w:rPr>
          <w:sz w:val="20"/>
          <w:szCs w:val="20"/>
          <w:color w:val="auto"/>
        </w:rPr>
      </w:pPr>
    </w:p>
    <w:p>
      <w:pPr>
        <w:jc w:val="both"/>
        <w:ind w:right="40" w:firstLine="518"/>
        <w:spacing w:after="0" w:line="272" w:lineRule="auto"/>
        <w:rPr>
          <w:sz w:val="20"/>
          <w:szCs w:val="20"/>
          <w:color w:val="auto"/>
        </w:rPr>
      </w:pPr>
      <w:r>
        <w:rPr>
          <w:rFonts w:ascii="Times New Roman" w:cs="Times New Roman" w:eastAsia="Times New Roman" w:hAnsi="Times New Roman"/>
          <w:sz w:val="17"/>
          <w:szCs w:val="17"/>
          <w:color w:val="auto"/>
        </w:rPr>
        <w:t>In relapsed RCC, the FDA-approved therapies commonly used for treatment represent several mechanistic classes— immune checkpoint inhibitors of PD-1, TKIs, including small molecules as well as the antibody to VEGF ligand, Avastin, and inhibitors of mTOR—and there are no approved cytotoxic drugs that we are aware of. Bristol-Myers Squibb Company’s PD-1 antibody Opdivo is approved in relapsed RCC following progression on one targeted therapy.</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There are also several drugs in development that have the potential to obtain FDA marketing approval and change the standard of care. Antibodies against PD-1/PD-L1 and CTL-A4 are in late stage development in first line RCC, both as monotherapies and in combination with other agents including Avastin and small molecule TKIs. For example, Bristol-Myers Squibb is developing Opdivo in combination with Yervoy™ (ipilimumab) in first line, Merck is developing Keytruda® (pembrolizumab) in combination with Votrient in first line and Roche is developing a PD-L1 inhibitor, atezolizumab, in combination with Avastin in first line. Argos Therapeutics, Inc. is developing AGS-003, a dendritic cell therapy, in first line RCC for patients with unfavorable risk. New small molecule TKIs are also in development. Exelixis Inc.’s TKI, Cometriq</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(cabozantinib), TRACON Pharmaceuticals, Inc.’s TRC105, and Acceleron Pharma, Inc.’s dalantercept (the latter two are in combination with Inlyta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(axitinib)) are in development in second line or later stage relapsed RCC. Eisai Co., Ltd. is developing Lenvima® (lenvantinib) in combination with Afinitor® (everolimus) in second line. AVEO Pharmaceuticals, Inc. is developing tivozanib in third line. Regardless of the results of these trials, we believe that there will remain a place for VEGF targeted therapies, and therefore a role for CRLX101, if approved, in treating patients who progress on a VEGF targeted agent.</w:t>
      </w:r>
    </w:p>
    <w:p>
      <w:pPr>
        <w:spacing w:after="0" w:line="194"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relapsed ovarian cancer, there are multiple approved therapies, including most recently Avastin, in combination with chemotherapy, and Lynparza. Multiple companies are developing other therapeutic candidates, which are at various stages of development. For example, Abbvie Inc., Clovis Oncology, Inc., Medivation Inc., and TESARO Inc. all have PARP inhibitors in development in BRCA mutated ovarian cancer and breast cancer. ImmunoGen is also developing IMGN853 in folate receptor positive ovarian cancer. OncoMed Pharmaceuticals is developing demcizumab, and Genentech, Inc. is developing DMOT4039A. Although each of these agents has the potential to be used in combination with CRLX101, thereby expanding the market for CRLX101, they also have the potential to compete with CRLX101.</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Several companies are developing taxane-containing nanoparticles for oncology that are competitors to CRLX301. For example, BIND Therapeutics Inc.’s BIND-014 is a docetaxel containing nanoparticle in active clinical development in squamous NSCLC as well as cervical cancer and head and neck cancer. Nippon Kayaku’s NK105 is a paclitaxel micelle nanoparticle in late stage clinical development for breast and stomach cancer. Drug-polymer conjugated nanoparticles, such as CTI BioPharma’s paclitaxel poliglumex, are in late stage clinical development as maintenance therapy for advanced ovarian cancer.</w:t>
      </w:r>
    </w:p>
    <w:p>
      <w:pPr>
        <w:spacing w:after="0" w:line="184"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our therapeutic product candidates, if approved, are likely to be their efficacy, safety, dosing convenience, price, the level of generic competition and the availability of reimbursement from government and other third party payors.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We strive to protect the proprietary technologies that we believe are important to our business, including seeking and maintaining patent protection intended to protect, for example, the technology platforms used to generate our product candidate, related technologies and/or other aspects of the inventions that are important to our business. We also rely on trade secrets and careful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 w:name="page15"/>
    <w:bookmarkEnd w:id="14"/>
    <w:p>
      <w:pPr>
        <w:ind w:right="560"/>
        <w:spacing w:after="0" w:line="282" w:lineRule="auto"/>
        <w:rPr>
          <w:sz w:val="20"/>
          <w:szCs w:val="20"/>
          <w:color w:val="auto"/>
        </w:rPr>
      </w:pPr>
      <w:r>
        <w:rPr>
          <w:rFonts w:ascii="Times New Roman" w:cs="Times New Roman" w:eastAsia="Times New Roman" w:hAnsi="Times New Roman"/>
          <w:sz w:val="18"/>
          <w:szCs w:val="18"/>
          <w:color w:val="auto"/>
        </w:rPr>
        <w:t>monitoring of our proprietary information to protect aspects of our business that are not amenable to, or that we do not consider appropriate for, patent protection.</w:t>
      </w:r>
    </w:p>
    <w:p>
      <w:pPr>
        <w:spacing w:after="0" w:line="162" w:lineRule="exact"/>
        <w:rPr>
          <w:sz w:val="20"/>
          <w:szCs w:val="20"/>
          <w:color w:val="auto"/>
        </w:rPr>
      </w:pPr>
    </w:p>
    <w:p>
      <w:pPr>
        <w:ind w:right="60" w:firstLine="518"/>
        <w:spacing w:after="0" w:line="274" w:lineRule="auto"/>
        <w:rPr>
          <w:sz w:val="20"/>
          <w:szCs w:val="20"/>
          <w:color w:val="auto"/>
        </w:rPr>
      </w:pPr>
      <w:r>
        <w:rPr>
          <w:rFonts w:ascii="Times New Roman" w:cs="Times New Roman" w:eastAsia="Times New Roman" w:hAnsi="Times New Roman"/>
          <w:sz w:val="17"/>
          <w:szCs w:val="17"/>
          <w:color w:val="auto"/>
        </w:rPr>
        <w:t>We plan to continue to expand our intellectual property estate by filing patent applications directed to improvements of our platform as well as dosage forms, methods of treatment and additional compositions created or identified from our platform and ongoing development of our product candidates. Our success will depend significantly on our ability to obtain and maintain patent and other proprietary protection for commercially important technology, inventions and know-how related to our business; defend and enforce our patents; maintain our licenses to use intellectual property owned by third parties; preserve the confidentiality of our trade secrets; and operate without infringing the valid and enforceable patents and other proprietary rights of third parties. We also rely on know-how, continuing technological innovation and in-licensing opportunities to develop, strengthen, and maintain our proprietary positions.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Our patent portfolio includes issued patents and pending applications worldwide. These patents and applications fall into three broad categories:</w:t>
      </w:r>
    </w:p>
    <w:p>
      <w:pPr>
        <w:spacing w:after="0" w:line="27" w:lineRule="exact"/>
        <w:rPr>
          <w:sz w:val="20"/>
          <w:szCs w:val="20"/>
          <w:color w:val="auto"/>
        </w:rPr>
      </w:pPr>
    </w:p>
    <w:p>
      <w:pPr>
        <w:ind w:right="600" w:firstLine="8"/>
        <w:spacing w:after="0" w:line="261"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NDCs comprising covalent linkage of specific therapeutic agents to our proprietary cyclodextrin polyethylene polymer, or CDP, including without limitation CRLX101 and CRLX301; (2) methods of use of our NDCs; and (3) our evolving platform technology relating to polymeric NDCs.</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We hold issued patents in the United States, Japan, and several other countries, covering the composition of matter of CRLX101 that expire in 2023 and 2024, excluding any potential patent term extension. Due to the ability of NDCs to target the “leaky” vasculature that is present in all solid tumors and CRLX101’s apparently favorable adverse event profile observed to date, we believe CRLX101 may have significant clinical utility in several cancer indications, particularly in combination with other cancer therapies. Our development focus is on tumor types where HIF is up-regulated, topo 1 inhibition is desirable, and drug combinations with CRLX101 can be pursued.</w:t>
      </w:r>
    </w:p>
    <w:p>
      <w:pPr>
        <w:spacing w:after="0" w:line="184"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We hold issued patents in the United States, Japan, and several other countries covering the composition of matter of CRLX301 that expire in 2023 and 2024, excluding any potential patent term extension.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Term</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base term of a United States patent is 20 years from the filing date of the earliest-filed non-provisional patent application from which the patent claims priority. The term of a United States patent can be lengthened by patent term adjustment, which compensates the owner of the patent for administrative delays at the United States Patent and Trademark Office, or USPTO. In some cases, the term of a United States patent is shortened by terminal disclaimer that reduces its term to that of an earlier-expiring patent.</w:t>
      </w:r>
    </w:p>
    <w:p>
      <w:pPr>
        <w:spacing w:after="0" w:line="180"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The term of a United States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United States patent that includes at least one claim covering the composition of matter of an FDA-approved drug, an FDA-approved method of treatment using the drug, and/or a method of manufacturing the FDA-approved drug. The extended patent term cannot exceed the shorter of five years beyond the non-extended expiration of the patent or 14 years from the date of the FDA approval of the drug. Some foreign jurisdictions, including Europe and Japan, have analogous patent term extension provisions which allow for extension of the term of a patent that covers a drug approved by the applicable foreign regulatory agency. In the future, if and when our pharmaceutical products receive FDA approval, we expect to apply for patent term extensions on patents covering those products, their methods of use, and/or methods of manufacture.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typically rely on trade secrets to protect aspects of our business that are not amenable to, or that we do not consider appropriate for, patent protection. For example, significant elements of the making and formulating of our products are based on trade secrets and know-how that are not publicly disclosed. We protect trade secrets and know-how by establishing confidentiality agreements and invention assignment agreements with our employees, consultants, scientific advisors, contractors and commercial partners. These agreements provide that all confidential information developed or made known during the course of an individual or entity’s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technology by third parties.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also seek trademark protection in the United States and in foreign jurisdictions where available and when appropriate. The name “CERULEAN” is a registered trademark in the United States, Australia, China, the European Union, India, Israel, Japan, South Korea, Liechtenstein, Mexico, Norway, Russia, Singapore, Switzerland, Turkey, and the Ukraine and is covered by a pending application for trademark registration in Canada. The trademark is solely owned by Cerulean Pharma Inc., in the field of pharmaceutical preparations as well as in the field of diagnostic and prognostic preparations. The Cerulean logo is a registered trademark in the United States and is solely owned by Cerulean Pharma Inc. CERULEAN and the Cerulean logo is a registered trademark in Mexico and is solely owned by Cerulean Pharma Inc. The term “Leadership in Nanopharmaceuticals” is a registered trademark in the United States and is solely owned by Cerulean Pharma Inc. The symbol ™ indicates a common law trademark. Other service marks, trademarks and trade names appearing elsewhere in this Annual Report on Form 10-K are the property of their respective owners.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Assignments and In-License Agreements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Calando Pharmaceuticals, Inc.</w:t>
      </w:r>
    </w:p>
    <w:p>
      <w:pPr>
        <w:spacing w:after="0" w:line="227"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June 2009, we entered into two agreements with Calando Pharmaceuticals, Inc., or Calando, the CRLX101 Agreement and the Platform Agreement, each of which we subsequently amended. Under these agreements, Calando assigned and licensed to us certain assets. These assets include the clinical asset then known as IT-101, later renamed CRLX101, and rights to Calando’s cyclodextrin system for purposes of conjugating or complexing certain other therapeutic agents to the system.</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CRLX101 Agreement:</w:t>
      </w:r>
    </w:p>
    <w:p>
      <w:pPr>
        <w:spacing w:after="0" w:line="227"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Under the CRLX101 Agreement, we obtained certain rights to CRLX101. As noted below in the description of the Platform Agreement, Calando also assigned to us certain patents and patent applications, including, with respect to composition of matter and methods of use, for CRLX101. In addition, under the CRLX101 Agreement, Calando transferred ownership of the CRLX101 IND to Cerulean. Also, under the CRLX101 Agreement, Calando initially granted to us a worldwide, royalty bearing, exclusive (even as to Calando) license, with the right to grant sublicenses, to Calando’s interest under certain patents, patent applications, and know-how owned or controlled by Calando, to research, develop, make, have made, use, market, offer to sell, distribute, sell and import CRLX101 formulated for intravenous, intrarterial, intrathecal and/or intraperitoneal therapy, to treat and/or prevent disease in humans. As noted below in the description of the Caltech Agreement, all of the patents, patent applications and know-how that were initially licensed to us by Calando under the CRLX101 Agreement and upon which CRLX101 is dependent are now directly licensed to us by Caltech, and we retained the license described above from Calando for patents, patent applications and know-how that are directed to other aspects of the cyclodextrin system but on which CRLX101 is not dependent. For purposes of our obligations to Calando under the CRLX101 Agreement, we treat the intellectual property licensed to us by Caltech as if it were still licensed to us by Calando. These licensed and assigned patent rights are described in more detail above under “Intellectual Property.”</w:t>
      </w:r>
    </w:p>
    <w:p>
      <w:pPr>
        <w:spacing w:after="0" w:line="193"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Under the CRLX101 Agreement, we are obligated to use commercially reasonable efforts to develop CRLX101 throughout the world and, following the first commercial sale of CRLX101 in a particular country, to make CRLX101 commercially available in such country.</w:t>
      </w:r>
    </w:p>
    <w:p>
      <w:pPr>
        <w:spacing w:after="0" w:line="162"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Upon entering the CRLX101 Agreement, we paid Calando approximately $1.3 million, which included the purchase of CRLX101 drug substance and drug product inventory. If we achieve certain development and sales events with CRLX101, we are obligated to pay milestone payments which could total, in the aggregate, $32.8 million. If we or one of our affiliates sells CRLX101, we are also required to pay tiered royalty payments ranging from low-to mid-single digits, depending on whether or not there is patent protection for CRLX101 at the time of sale as a percentage of worldwide net sales. Our royalty payment obligations in a particular country begin on the date of first commercial sale of CRLX101 in that country and end on the later of ten years from the date of first commercial sale of CRLX101 in that country or the expiration of all patents licensed to us by Caltech or Calando, referred to as Licensed Patent Rights, or assigned to us by Calando, referred to as the Assigned Patent Rights, which cover CRLX101 in that country. With respect to CRLX101 that is developed and sold by an unaffiliated third party to whom we grant a license or sublicense under any of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sublicense income that we are obligated to pay Calando is in the low- to mid-double digits, and varies depending on the stage of development of CRLX101 at the time that we first provide or receive draft terms of a license arrangement with the third party that results in a license arrangement, unless the negotiations terminate, in which case the percentage depends on the development stage of CRLX101 when the negotiations restart.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6" w:name="page17"/>
    <w:bookmarkEnd w:id="16"/>
    <w:p>
      <w:pPr>
        <w:ind w:firstLine="518"/>
        <w:spacing w:after="0" w:line="282" w:lineRule="auto"/>
        <w:rPr>
          <w:sz w:val="20"/>
          <w:szCs w:val="20"/>
          <w:color w:val="auto"/>
        </w:rPr>
      </w:pPr>
      <w:r>
        <w:rPr>
          <w:rFonts w:ascii="Times New Roman" w:cs="Times New Roman" w:eastAsia="Times New Roman" w:hAnsi="Times New Roman"/>
          <w:sz w:val="18"/>
          <w:szCs w:val="18"/>
          <w:color w:val="auto"/>
        </w:rPr>
        <w:t>We have the first right to enforce the Licensed Patent Rights and Assigned Patent Rights, other than one subset of licensed patents on which CRLX101 is not dependent, which Calando has the sole right to enforce.</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and Calando are required to indemnify each other for losses and expenses in connection with any third party claims arising out of the indemnifying party’s breach of the CRLX101 Agreement, the negligence or willful misconduct of the indemnifying party or its affiliates or sublicensees under the CRLX101 Agreement or any product liability arising out of CRLX101 developed, made, used or sold by or on behalf of the indemnifying party or its affiliates or sublicensees.</w:t>
      </w:r>
    </w:p>
    <w:p>
      <w:pPr>
        <w:spacing w:after="0" w:line="180"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 CRLX101 Agreement will remain in effect until the expiration of all of our royalty obligations to Calando. We also have the right to terminate the CRLX101 Agreement for any reason on thirty days prior notice to Calando, in which case, unless we certify that the termination was due to specified safety concerns with CRLX101, we will grant Calando an exclusive (even as to Cerulean), royalty-free license, under the Assigned Patent Rights, to research, develop, make, have made, use, market, offer to sell, distribute, sell and import CRLX101, we will assign the IND for CRLX101 to Calando and, if consistent with our business plans, we will discuss granting Calando a license under know-how that we developed that relates to CRLX101. If we fail to meet our diligence obligations under the CRLX101 Agreement after a specified cure period, the license may convert to a non-exclusive license and we will have to grant Calando a non-exclusive license under the Assigned Patent Rights to research, develop, make, have made, use, market, offer to sell, distribute, sell and import CRLX101. If the license is converted to a non-exclusive license, the royalties payable to Calando will be reduced by a specified percentage. If we fail to meet our payment obligations under the agreement and are unable to cure such failure within specified time periods, Calando can terminate the agreement, we are obligated to grant Calando an exclusive (even as to Cerulean), royalty-free license, under the Assigned Patent Rights to research, develop, make, have made, use, market, offer to sell, distribute, sell and import CRLX101 and to assign the IND for CRLX101 to Calando, resulting in our loss of rights to CRLX101. If we or one of our affiliates challenges the validity or enforceability of any of the licensed patents, Calando has the right to terminate the agreement. For any breach of the CRLX101 Agreement not described above, the non-breaching party’s sole remedy if such breach is not cured within a specified time period is to seek money damages from the breaching party.</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Platform Agreement:</w:t>
      </w:r>
    </w:p>
    <w:p>
      <w:pPr>
        <w:spacing w:after="0" w:line="227"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Under the Platform Agreement, Calando assigned to us the Assigned Patent Rights and granted to us a worldwide, royalty bearing, exclusive (even as to Calando) license, with the right to grant sublicenses, to Calando’s interest under certain patents, patent applications, and know-how owned or controlled by Calando (a) to conduct research and development on the cyclodextrin system, including making improvements thereto, in order to research, develop, make, have made, use, market, offer to sell, distribute, sell and import CDP-based Products and (b) to research, develop, make, have made, use, market, offer to sell, distribute, sell and import CDP-based Products. The field of the license is the treatment and/or prevention of disease in humans. CDP-based Products are defined as products conjugated or complexed to the cyclodextrin system, other than any products containing cytolysin, tubulysin, certain second generation epothilones or a nucleic acid, which we refer to as Retained Products, and CRLX101, which is covered by the CRLX101 Agreement described above. Under the Platform Agreement, we are obligated to use commercially reasonable efforts to develop CDP-based Products throughout the world and, following the first commercial sale of CDP-based Product in a particular country, to make CDP-based Product commercially available in such country.</w:t>
      </w:r>
    </w:p>
    <w:p>
      <w:pPr>
        <w:spacing w:after="0" w:line="18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Upon entering the Platform Agreement, we paid to Calando approximately $1.2 million, which included the payment for assignment of the Assigned Patent Rights and cyclodextrin-containing polymers and precursor inventory. We granted Calando a worldwide, royalty-free, exclusive (even as to Cerulean), perpetual and irrevocable license, with the right to grant sublicenses, under the Assigned Patent Rights to research, develop, make, have made, use, market, offer to sell, sell and import the Retained Products.</w:t>
      </w:r>
    </w:p>
    <w:p>
      <w:pPr>
        <w:spacing w:after="0" w:line="180"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If we achieve certain development and sales events with respect to any CDP-based Product, we are obligated to pay milestone payments which could total, in the aggregate, $18.0 million per CDP-based Product. Upon the initiation of our CRLX301 Phase 1 trial in December 2014, we made a milestone payment of $250,000 to Calando in January 2015. If we or one of our affiliates sells a CDP-based Product, we are also required to pay tiered royalty payments ranging from low-to mid-single digits, depending on whether or not there is patent protection at the time of sale, as a percentage of worldwide net sales. Our royalty payment obligations in a particular country begin on the first date of first commercial sale of the CDP-based Product in that country and end on the later of ten years from the date of first commercial sale of that CDP-based Product in that country or the expiration of all patents licensed or assigned from Calando which cover that CDP-based Product in that country. With respect to a CDP-based Product that is developed and sold by a third party to whom we grant a license or sublicense under any of the intellectual property that we licensed from Calando or that Calando assigned to us, we are required to pay Calando a percentage of the income we receive from the licensee or sublicensee to the extent attributable to such license or sublicense, subject to certain exceptions. The percentage of such sublicense income that we are obligated to pay Calando does not exceed the low-double digits.</w:t>
      </w:r>
    </w:p>
    <w:p>
      <w:pPr>
        <w:spacing w:after="0" w:line="186"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We have the first right to enforce the licensed patent rights and the Assigned Patent Rights, other than one subset of licensed patents which Calando has the sole right to enforce.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7" w:name="page18"/>
    <w:bookmarkEnd w:id="17"/>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and Calando are required to indemnify each other for losses and expenses in connection with any third party claims arising out of the indemnifying party’s breach of the Platform Agreement, the negligence or willful misconduct of the indemnifying party or its affiliates or sublicensees under the Platform Agreement or any product liability arising out of a CDP-based Product developed, made, used or sold by or on behalf of the indemnifying party or its affiliates or sublicensees. Calando also indemnifies us for losses and expenses in connection with any third party claim arising out of a Retained Product developed, made, used or sold by or on behalf of Calando or its affiliates or licensees.</w:t>
      </w:r>
    </w:p>
    <w:p>
      <w:pPr>
        <w:spacing w:after="0" w:line="18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Platform Agreement will remain in effect until the expiration of all of our royalty obligations to Calando. We also have the right to terminate the Platform Agreement for any reason on thirty days prior written notice to Calando, in which case we will grant Calando an exclusive (even as to Cerulean), royalty-free license, under Assigned Patent Rights, to research, develop, make, have made, use, market, offer to sell, distribute, sell and import the CDP-based Products and, if consistent with our business plans, we would discuss granting Calando a license under know-how that we developed that relates to the cyclodextrin system or CDP-based Products. If we fail to meet our diligence obligations under the agreement after a specified cure period, Calando may convert the license to a non-exclusive license and we will have to grant Calando a non-exclusive license under the Assigned Patent Rights to research, develop, make, have made, use, market, offer to sell, distribute, sell and import CDP-based Products. If the license is converted to a non-exclusive license, the royalties payable to Calando will be reduced by a certain percentage. If we fail to meet our payment obligations under the agreement and are unable to cure such failure within specified time periods, Calando can terminate the agreement, resulting in our loss of rights to the CDP-based Products and an obligation to grant Calando an exclusive (even as to Cerulean), royalty-free license, under the Assigned Patent Rights to research, develop, make, have made, use, market, offer to sell, distribute, sell and import CDP-based Products. If we or one of our affiliates challenges the validity or enforceability of any of the licensed patents, Calando has the right to terminate the agreement. For any breach of the Platform Agreement not described above, the non-breaching party’s sole remedy if such breach is not cured within a specified time period is to seek money damages from the breaching party.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California Institute of Technology</w:t>
      </w:r>
    </w:p>
    <w:p>
      <w:pPr>
        <w:spacing w:after="0" w:line="227"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Certain of the patents, patent applications, and know-how licensed to us under the CRLX101 Agreement and the Platform Agreement were originally licensed to Calando by the California Institute of Technology, or Caltech, pursuant to an agreement entered into between Calando and Caltech in May 2000 and subsequently amended, which we refer to as the Calando/Caltech Agreement. In August 2013, we entered into an agreement with Calando and Caltech under which Calando terminated its rights and obligations under the Calando/Caltech Agreement and Caltech agreed to directly honor the exclusive license, including the right to grant further sublicenses, granted to us by Calando under the Caltech intellectual property formerly licensed to Calando.</w:t>
      </w:r>
    </w:p>
    <w:p>
      <w:pPr>
        <w:spacing w:after="0" w:line="184"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We are obligated to pay Caltech minimum annual royalties and the costs it incurs to prosecute and maintain the licensed patent rights. We may offset those prosecution and maintenance costs against any milestones or royalties that we owe to Calando under the CRLX101 Agreement or the Platform Agreement.</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Following the earlier of our receipt of notice from Calando that it has made certain payments to third parties or the first anniversary of the first commercial sale of a product covered by the Caltech patent rights, we will directly pay to Caltech the amounts that it would have been entitled to receive from Calando with respect to our sales of the licensed products, and we will pay to Calando the remainder of the royalties we owe them under the CRLX101 Agreement and the Platform Agreement.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the first right to enforce the Caltech licensed patent rights.</w:t>
      </w:r>
    </w:p>
    <w:p>
      <w:pPr>
        <w:spacing w:after="0" w:line="225"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We may terminate our rights and obligations to Caltech and Calando with respect to any of the Caltech licensed intellectual property either in its entirety or as to any jurisdiction or as to any part of the intellectual property upon a specified period of prior notice to Caltech and Calando. Caltech has the right to terminate the agreement if we fail to make a payment, or otherwise materially breach the agreement and fail to cure such breach within specified grace periods.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Research Foundation of State University of New York on behalf of University at Buffalo</w:t>
      </w:r>
    </w:p>
    <w:p>
      <w:pPr>
        <w:spacing w:after="0" w:line="227"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In August 2007, we entered into an exclusive license agreement with The Research Foundation of State University of New York on behalf of University at Buffalo, which we refer to as the SUNY Agreement. The SUNY Agreement has been amended four times, including to extend the time period for achieving certain diligence milestones, and the most recent amendment was entered into in September 2013. Under the SUNY Agreement, we have a worldwide, royalty bearing, exclusive license, with the right to grant sublicenses, for the treatment and/or prevention of disease in humans, under certain patent rights owned by SUNY, to research, develop, make, have made, use, offer for sale, sell, have sold, import and export certain products covered by the licensed patent rights.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8" w:name="page19"/>
    <w:bookmarkEnd w:id="18"/>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We are required to diligently proceed with the research, development, manufacture, use and sale of licensed products under the agreement, to use commercially reasonable efforts to commercialize and market licensed products as soon as practicable, and to make licensed products available on commercially reasonable terms once introduced into the marketplace. In particular, we are required to fulfill specific development and regulatory milestones by particular dates and, during each calendar year prior to the first commercial sale of a licensed product, spend a specified amount on the research, development or commercialization of licensed products or precursor technologies or products, and if we fail to do so SUNY may elect to increase our license maintenance fee and, in the case of a second failure, our exclusive license will be converted to a non-exclusive license.</w:t>
      </w:r>
    </w:p>
    <w:p>
      <w:pPr>
        <w:spacing w:after="0" w:line="188"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Under the SUNY Agreement, as of December 31, 2015, we had paid SUNY approximately $0.2 million in the aggregate, consisting of an upfront license fee, a field-of-use expansion fee, annual maintenance fees and reimbursement of patent-related fees incurred by SUNY. We are also obligated to pay SUNY an escalating annual license maintenance fee and development milestone payments which could total, in the aggregate, less than $0.1 million and royalties in the low single digits as a percentage of net sales by us, our affiliates or our sublicensees of licensed products.</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SUNY retains the right to practice the licensed patent rights for educational purposes and internal research and development, including collaborations with researchers at other academic and non-profit research institutions. Any of the licensed patent rights claiming inventions that were funded by the government are subject to certain rights retained by the United States government under a law commonly called the Bayh-Dole Act. These rights include, among other things, a royalty-free, non-exclusive license for the United States government to practice these inventions. Any products used or sold in the United States and covered by these patents must be substantially manufactured in the United States, unless a waiver is obtained from the U.S. government.</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SUNY controls prosecution and maintenance of the licensed patents, although we have an approval right over certain actions. We reimburse SUNY for all reasonable costs associated with filing, prosecuting and maintaining the licensed patent rights. SUNY has the first right to enforce the licensed patents against infringers in the licensed field. We have the right to enforce the licensed patents if SUNY does not institute an infringement action within a specified period of time.</w:t>
      </w:r>
    </w:p>
    <w:p>
      <w:pPr>
        <w:spacing w:after="0" w:line="180"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We are required to indemnify SUNY for any claims and expenses resulting from the exercise or practice of the license granted to us, including liabilities arising from the production, manufacture, sale, use, lease or advertisement of the licensed products.</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SUNY Agreement will remain in effect until the expiration of all licensed patents and patent applications, unless we elect to earlier terminate the entire license, or the license with respect to certain patent families, subject to providing SUNY with a specified amount of prior written notice. SUNY has the right to terminate the SUNY Agreement if we have a bankruptcy action filed against us, have a receiver appointed for us, or if we materially breach the agreement and fail to cure such situation or breach within a specified grace period. The SUNY Agreement will automatically terminate if we cease to carry on our business, file for bankruptcy, become insolvent, make an assignment for the benefit of creditors, or challenge the validity or enforceability of any of the licensed patents.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We currently contract with third parties for the manufacture of our product candidates for preclinical studies and clinical trials and intend to do so in the future. We do not own or operate manufacturing facilities for the production of clinical or commercial quantities of our product candidates. We currently have no plans to build our own clinical or commercial scale manufacturing capabilities. To meet our projected needs for commercial manufacturing, third parties with whom we currently work will need to increase their scale of production or we will need to secure alternate suppliers. Although we rely on contract manufacturers, we have personnel with manufacturing experience to oversee our relationships with contract manufacturers.</w:t>
      </w:r>
    </w:p>
    <w:p>
      <w:pPr>
        <w:spacing w:after="0" w:line="184"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Our contract manufacturers have manufactured what we believe to be sufficient quantities of CRLX101 drug product to support clinical trials through 2016, and have begun manufacturing additional supplies to continue clinical development of CRLX101 beyond 2016. The current drug substance and drug product manufacturing processes for CRLX101 are scaled to support Phase 2/3 clinical development under current Good Manufacturing Practice, or cGMP, standards. Although we believe our drug substance and drug product manufacturing processes are capable of supporting further development and scale up for commercial demand at a reasonable cost of goods, we are exploring more scalable and cost effective modifications to the drug substance manufacturing process. While we believe that our existing supplier of drug substance is capable of producing drug substance in commercial quantities, we are in the process of identifying a new third party drug product manufacturer capable of providing commercial quantities. If we are unable to arrange for third-party manufacturing with this or other alternative vendors, or fail to do so on commercially reasonable terms, we may not be able to successfully produce and market CRLX101.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9" w:name="page20"/>
    <w:bookmarkEnd w:id="19"/>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Processes for producing CRLX301 have been developed and used successfully to produce drug substance and drug product for good laboratory practice, or GLP, safety studies and cGMP Phase 1/2a clinical supply. Improvements to both the drug substance manufacturing process and the drug product formulation are currently underway in preparation for Phase 2 development.</w:t>
      </w:r>
    </w:p>
    <w:p>
      <w:pPr>
        <w:spacing w:after="0" w:line="176"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Both CRLX101 and CRLX301 include complicated polymer backbone structures as well as cytotoxic agents. Although these characteristics may limit alternative third party manufacturers, we believe that there are alternate sources of supply that can satisfy our clinical and commercial requirements, and we have or are pursuing back-up suppliers for certain stages of the manufacturing process. We cannot be certain, however, that identifying and establishing relationships with additional alternate sources, if necessary, would not result in significant delay or material additional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intend to build the commercial infrastructure in the United States necessary to effectively support the commercialization of CRLX101, if approved, and future oncology products, if approved. The commercial infrastructure for specialty oncology products typically consists of a targeted, specialty sales force that calls on a limited and focused group of physicians supported by sales management, internal sales support, an internal marketing group and distribution support. Additional capabilities important to the oncology marketplace include the management of key accounts such as managed care organizations, group-purchasing organizations, specialty pharmacies, oncology group networks and government accounts.</w:t>
      </w:r>
    </w:p>
    <w:p>
      <w:pPr>
        <w:spacing w:after="0" w:line="184"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Based on the number of physicians who treat the lead oncology indications for CRLX101 and the size of competitive sales forces, we believe that we can effectively target the relevant U.S. market with a focused sales force. If CRLX101 is approved in multiple indications, we might need to increase the number of representatives. To develop the appropriate U.S. commercial infrastructure, we will have to invest significant amounts of financial and management resources.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future, we may utilize one or more strategic partners to optimally commercialize CRLX101 and our other products outside of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and the successful outcome of those processes cannot be guaranteed.</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Drugs in the United States</w:t>
      </w:r>
    </w:p>
    <w:p>
      <w:pPr>
        <w:spacing w:after="0" w:line="22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applicant seeking approval to market and distribute a new drug product in the United States must typically undertake the following:</w:t>
      </w:r>
    </w:p>
    <w:p>
      <w:pPr>
        <w:spacing w:after="0" w:line="117" w:lineRule="exact"/>
        <w:rPr>
          <w:sz w:val="20"/>
          <w:szCs w:val="20"/>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GLP regulations;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take effect before human clinical trials may begin;</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clinical trial(s) by an independent institutional review board(s), or IRB(s), representing each clinical site before each clinical trial may be initiated;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0" w:name="page21"/>
    <w:bookmarkEnd w:id="20"/>
    <w:p>
      <w:pPr>
        <w:ind w:left="104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 to establish the safety and efficacy of the proposed drug product for each indication;</w:t>
      </w:r>
    </w:p>
    <w:p>
      <w:pPr>
        <w:spacing w:after="0" w:line="53"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or NDA summarizing available data to support the proposed approval of the new drug product for the proposed use;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as may be requested by the FDA to assist with its review;</w:t>
      </w:r>
    </w:p>
    <w:p>
      <w:pPr>
        <w:spacing w:after="0" w:line="117"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clinical trial sites to assure compliance with GCPs and the integrity of the clinical data;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(per published PDUFA guidelines for that year) and securing FDA approval of the NDA; and</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Risk Evaluation and Mitigation Strategies, or REMS, and post-approval studies required by the FDA.</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Nonclinical Studies</w:t>
      </w:r>
    </w:p>
    <w:p>
      <w:pPr>
        <w:spacing w:after="0" w:line="227"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Nonclinical studies include laboratory evaluation of the purity and stability of the manufactured drug substance or active pharmaceutical ingredient and the formulated drug or drug product. They also include in vitro and animal studies to assess the safety and activity of the drug to start dose assessment for initial testing in humans and to further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studies, among other things, are submitted to the FDA as part of an IND for clinical investigation in the United States. Some long-term preclinical testing, such as animal tests of reproductive adverse events and carcinogenicity, may continue after the IND is submitted.</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Human Clinical Studies in Support of an NDA</w:t>
      </w:r>
    </w:p>
    <w:p>
      <w:pPr>
        <w:spacing w:after="0" w:line="22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IND and 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w:t>
      </w:r>
    </w:p>
    <w:p>
      <w:pPr>
        <w:spacing w:after="0" w:line="189"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major amendments and informed consent information to be provided to study subjects. An IRB must operate in compliance with FDA regulations. Information about certain clinical trials must be submitted within specific timeframes to the National Institutes of Health for public dissemination on their ClinicalTrials.gov website.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225"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Phase 1: Phase 1 includes the initial introduction of an investigational new drug into humans. Phase 1 studies are typically closely monitored and may be conducted in patients or normal volunteer subjects. These studies are designed to determine the metabolism and pharmacologic actions of the drug in humans, the toxicities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The total number of subjects and patients included in Phase 1 studies varies with the drug, but are generally smaller than later stage studies. Phase 1 studies also include studies of drug metabolism, structure-activity relationships, and mechanism of action in humans, as well as studies in which investigational drugs are used as research tools to explore biological phenomena or disease processes.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Phase 2: Phase 2 includes the controlled clinical studies conducted to evaluate the effectiveness of the drug for a particular indication or indications in patients with the disease or condition under study and to determine the common short-term side effects and risks associated with the drug. Phase 2 studies are typically well controlled, closely monitored, and conducted in a relatively small number of patients, usually involving no more than several hundred subjects.</w:t>
      </w:r>
    </w:p>
    <w:p>
      <w:pPr>
        <w:spacing w:after="0" w:line="176" w:lineRule="exact"/>
        <w:rPr>
          <w:sz w:val="20"/>
          <w:szCs w:val="20"/>
          <w:color w:val="auto"/>
        </w:rPr>
      </w:pPr>
    </w:p>
    <w:p>
      <w:pPr>
        <w:jc w:val="both"/>
        <w:ind w:right="120" w:firstLine="518"/>
        <w:spacing w:after="0" w:line="261" w:lineRule="auto"/>
        <w:rPr>
          <w:sz w:val="20"/>
          <w:szCs w:val="20"/>
          <w:color w:val="auto"/>
        </w:rPr>
      </w:pPr>
      <w:r>
        <w:rPr>
          <w:rFonts w:ascii="Times New Roman" w:cs="Times New Roman" w:eastAsia="Times New Roman" w:hAnsi="Times New Roman"/>
          <w:sz w:val="18"/>
          <w:szCs w:val="18"/>
          <w:color w:val="auto"/>
        </w:rPr>
        <w:t>Phase 3: Phase 3 studies are expanded trials, generally at geographically dispersed clinical trial sites. They are performed after preliminary evidence suggesting effectiveness of the drug has been obtained, and are intended to gather the additional information about effectiveness and safety that is needed to evaluate the overall benefit-risk relationship of the drug and to provide an adequate basis for physician labeling. Phase 3 studies usually include from several hundred to several thousand subjects.</w:t>
      </w:r>
    </w:p>
    <w:p>
      <w:pPr>
        <w:spacing w:after="0" w:line="180"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Phase 4. Post-approval studies may be conducted after initial marketing approval. These studies are used to gain additional experience from the treatment of patients in the intended therapeutic indication.</w:t>
      </w:r>
    </w:p>
    <w:p>
      <w:pPr>
        <w:spacing w:after="0" w:line="162"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through the IND and more frequently if serious adverse events occur. In addition, IND safety reports must be submitted to the FDA for any of the following: serious and unexpected suspected adverse reactions; findings from other studies or animal or in vitro testing that suggest a significant risk in humans exposed to the drug; and any clinically important increase in the case of a serious suspected adverse reaction over that listed in the protocol or investigator brochure. The FDA or the sponsor or the data monitoring committee may suspend or terminate a clinical trial at any time on various grounds, including a finding that the research subjects are being exposed to an unacceptable health risk. The FDA will typically inspect one or more clinical sites to assure compliance with GCP and the integrity of the clinical data submitted.</w:t>
      </w:r>
    </w:p>
    <w:p>
      <w:pPr>
        <w:spacing w:after="0" w:line="189"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w:t>
      </w:r>
    </w:p>
    <w:p>
      <w:pPr>
        <w:spacing w:after="0" w:line="180"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In order to protect the rights and welfare of human research subjects and to verify the quality and integrity of data submitted to the FDA in support of marketing applications, the FDA monitors all aspects of FDA-regulated research through a comprehensive program of on-site inspections and data audits. Under the FDA’s Bioresearch Monitoring Program, FDA field investigators and headquarters’ scientists conduct site visits of research sponsors, clinical investigators, contract research organizations, IRBs, radioactive drug research committees, and non-clinical (animal) laboratories.</w:t>
      </w:r>
    </w:p>
    <w:p>
      <w:pPr>
        <w:spacing w:after="0" w:line="180"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In general, the FDA accepts foreign safety and efficacy studies that were not conducted under an IND provided that they are well designed, well conducted, performed by qualified investigators, and conducted in accordance with ethical principles acceptable to the world community. The conduct of these studies must meet at least minimum standards for assuring human subject protection. Therefore, for studies submitted in support of an NDA that were conducted outside the U.S. and not under an IND, the agency requires demonstration that such studies were conducted in accordance with Good Clinical Practices.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227"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w:t>
      </w:r>
    </w:p>
    <w:p>
      <w:pPr>
        <w:spacing w:after="0" w:line="176"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w:t>
      </w:r>
    </w:p>
    <w:p>
      <w:pPr>
        <w:spacing w:after="0" w:line="54" w:lineRule="exact"/>
        <w:rPr>
          <w:sz w:val="20"/>
          <w:szCs w:val="20"/>
          <w:color w:val="auto"/>
        </w:rPr>
      </w:pPr>
    </w:p>
    <w:p>
      <w:pPr>
        <w:ind w:left="104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have a serious or immediately life-threatening disease or condition, and there is no comparable or satisfactory alternative therapy to diagnose, monitor, or treat the disease or condition;</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patient benefit justifies the potential risks of the treatment and the potential risks are not unreasonable in the context of the disease or condition to be treated; and</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FDA regulations allow access to investigational drugs under an IND by the company or the treating physician (see investigator-sponsored trials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treatment purposes on a case-by-case basis for:</w:t>
      </w:r>
    </w:p>
    <w:p>
      <w:pPr>
        <w:spacing w:after="0" w:line="99"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patients (single-patient IND applications for treatment in emergency settings and non-emergency settings);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intermediate-size patient populations (groups of patients, n &gt;1);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populations for use of the drug under a treatment protocol or Treatment IND Application.</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Investigator-Sponsored Trials</w:t>
      </w:r>
    </w:p>
    <w:p>
      <w:pPr>
        <w:spacing w:after="0" w:line="227"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Investigator-sponsored trials are clinical trials where the investigator of the trial is also the “sponsor” of the trial for regulatory purposes. An “investigator” conducts clinical investigations and is the person under whose immediate direction the study drug is administered or dispensed to patients. A “sponsor” initiates and takes responsibility for a clinical investigation. A person who both initiates and conducts a clinical trial, and is responsible for all regulatory requirements, is designated as a “sponsor-investigator” by the FDA. Clinical investigators at academic medical centers who initiate clinical trials with a lawfully marketed drug to be used in a patient population or investigational (unapproved) indication often fit within this designation. In addition, as is the case with our investigator-sponsored trials, a company may provide a sponsor-investigator with supply of its unapproved product candidate and funding for the trial. Investigators who initiate and conduct such trials are responsible for obtaining an IND from the FDA and for ensuring compliance with the IND and associated regulatory requirements. As provided by the FDA’s regulations, the sponsor of a clinical trial is responsible for, among other things, selecting qualified investigators, providing them with the information they need to conduct the trial properly, ensuring proper monitoring of the trial, ensuring that the trial is conducted in accordance with the protocols contained in the IND, maintaining an effective IND with respect to the trial, and ensuring that the FDA, the company, and all participating investigators are promptly informed of significant new adverse effects or risks with respect to the drug. In contrast, in a company-sponsored trial, the pharmaceutical company whose drug will be studied is the sponsor of the trial and, as such, is responsible for ensuring compliance with all regulatory requirements, including obtaining the IND.</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connection with our ongoing investigator-sponsored trials of CRLX101, we have entered into agreements with the institutions at which the trials are being conducted. The terms of these agreements are customary and generally provide that (a) the institution is responsible for obtaining and maintaining any necessary IND for the trial, for conducting the trial in accordance with an agreed upon protocol and applicable regulatory requirements and for safety reporting to us, the IRB, and the FDA, (b) the institution grants to us a license to use the trial data for any legally permissible purpose and assigns to us all intellectual property rights relating to the trial drug developed during the course of the agreement, (c) we are responsible for supplying the trial drug and making agreed upon payments to the institution to fund the trial and (d) the term of the agreement is the duration of the applicable trial, however, the agreement can be terminated for convenience with notice, upon the request of an applicable regulatory agency, for safety reasons or following an uncured material breach by the other party.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Submission of an NDA to the FDA</w:t>
      </w:r>
    </w:p>
    <w:p>
      <w:pPr>
        <w:spacing w:after="0" w:line="227"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Detailed information and results from preclinical and clinical studies and other requirements relating to the product’s chemistry, manufacture, controls and proposed labeling are submitted to the FDA as part of an NDA requesting approval to market the drug product for one or more indications. Under federal law, the submission of most NDAs is additionally subject to an application user fee, currently exceeding $2.3 million, and the sponsor of an approved NDA is also subject to annual product and establishment user fees, currently exceeding $114,000 per product and $585,000 per establishment for fiscal year 2016. These fees are typically increased annually. Important exceptions or waivers for user fees include:</w:t>
      </w:r>
    </w:p>
    <w:p>
      <w:pPr>
        <w:spacing w:after="0" w:line="76" w:lineRule="exact"/>
        <w:rPr>
          <w:sz w:val="20"/>
          <w:szCs w:val="20"/>
          <w:color w:val="auto"/>
        </w:rPr>
      </w:pPr>
    </w:p>
    <w:p>
      <w:pPr>
        <w:jc w:val="both"/>
        <w:ind w:left="1040" w:hanging="519"/>
        <w:spacing w:after="0" w:line="266"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company (fewer than 500 employees, including employees of affiliates) may submit a written request for a waiver by the FDA to waive the application fee for its first human drug application. After a waiver for a first human drug application is granted, the small business is assessed appropriate user fees for all subsequent human drug applications and supplements submitted for review.</w:t>
      </w:r>
    </w:p>
    <w:p>
      <w:pPr>
        <w:spacing w:after="0" w:line="68"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with orphan drug designation for a particular indication are not subject to an application user fee provided there are no other intended uses in the NDA.</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“Standard review”, representing most such applications is generally reviewed within ten months from the date of filing. “Priority review”, as may be designated by the FDA for a drug that treats a serious condition and, if approved,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3" w:name="page24"/>
    <w:bookmarkEnd w:id="23"/>
    <w:p>
      <w:pPr>
        <w:ind w:right="100"/>
        <w:spacing w:after="0" w:line="266" w:lineRule="auto"/>
        <w:rPr>
          <w:sz w:val="20"/>
          <w:szCs w:val="20"/>
          <w:color w:val="auto"/>
        </w:rPr>
      </w:pPr>
      <w:r>
        <w:rPr>
          <w:rFonts w:ascii="Times New Roman" w:cs="Times New Roman" w:eastAsia="Times New Roman" w:hAnsi="Times New Roman"/>
          <w:sz w:val="18"/>
          <w:szCs w:val="18"/>
          <w:color w:val="auto"/>
        </w:rPr>
        <w:t>would provide a significant improvement in safety or effectiveness, are targeted to be reviewed within six months from the date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or will be manufactured. These pre-approval inspections usually cover all facilities associated with an NDA submission, including drug component manufacturing (such as Active Pharmaceutical Ingredients), finished drug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meeting specific criteria to assure compliance with GCP. The FDA may also inspect the company to evaluate, for example, processes, safety reporting procedures, training and compliance with U.S. regulations as the sponsor.</w:t>
      </w:r>
    </w:p>
    <w:p>
      <w:pPr>
        <w:spacing w:after="0" w:line="189"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In addition, as a condition of approval, the FDA may require an applicant to develop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85"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Fast Track, Breakthrough Therapy and Priority Review</w:t>
      </w:r>
    </w:p>
    <w:p>
      <w:pPr>
        <w:spacing w:after="0" w:line="227"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intended to expedite drug development, and priority review designation, intended to expedite review and approval of an NDA.</w:t>
      </w:r>
    </w:p>
    <w:p>
      <w:pPr>
        <w:spacing w:after="0" w:line="17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Specifically, the FDA may designate a product for fast track review if it is intended, whether alone or in combination with one or more other drugs, for the treatment of a serious or life-threatening disease or condition, and it demonstrates the potential to address unmet medical needs for such a disease or condition. For fast track products, sponsors may have greater interactions with the FDA regarding drug development and the company may submit sections of a fast track product’s NDA before the application is complete. A rolling review must be communicated to and agreed upon by the FDA. The sponsor must also provide, and the FDA must approve, a schedule for the submission of the remaining information. The sponsor must pay the applicable user fee upon submission of the first module in the rolling submission. However, the FDA’s time period goal for reviewing a rolling NDA does not begin until the last module of the NDA is submitted. Notably, fast track designation may be withdrawn by the FDA if the FDA believes that the designation is no longer supported by data emerging in the clinical trial process.</w:t>
      </w:r>
    </w:p>
    <w:p>
      <w:pPr>
        <w:spacing w:after="0" w:line="185"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In 2012, Congress enacted the Food and Drug Administration Safety and Improvement Act, or FDASIA. This law established a new regulatory scheme allowing for expedited review of products designated as “breakthrough therapies.” A product may be designated as a breakthrough therapy if it is intended, either alone or in combination with one or more other drugs, to treat a serious or life-threatening disease or condition and preliminary clinical evidence indicates that the product may demonstrate substantial improvement over existing therapies on one or more clinically significant endpoints. The FDA may take certain actions with respect to breakthrough therapies, including holding increased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 In oncology, new products with breakthrough therapy designation have occasionally been approved well before the PDUFA review timeline, even for priority review, has elapsed.</w:t>
      </w:r>
    </w:p>
    <w:p>
      <w:pPr>
        <w:spacing w:after="0" w:line="185"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An NDA for a drug will receive priority review designation by the FDA if it is a drug that treats a serious condition and, if approved, would provide a significant improvement in safety or effectiveness. The FDA determines, on a case-by-case basis, whether the proposed drug represents a significant improvement when compared with other available therapies. Significant improvement may be illustrated by evidence of increased effectiveness in the treatment of a condition, elimination or substantial reduction of a treatment-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4" w:name="page25"/>
    <w:bookmarkEnd w:id="24"/>
    <w:p>
      <w:pPr>
        <w:ind w:right="60"/>
        <w:spacing w:after="0" w:line="266" w:lineRule="auto"/>
        <w:rPr>
          <w:sz w:val="20"/>
          <w:szCs w:val="20"/>
          <w:color w:val="auto"/>
        </w:rPr>
      </w:pPr>
      <w:r>
        <w:rPr>
          <w:rFonts w:ascii="Times New Roman" w:cs="Times New Roman" w:eastAsia="Times New Roman" w:hAnsi="Times New Roman"/>
          <w:sz w:val="18"/>
          <w:szCs w:val="18"/>
          <w:color w:val="auto"/>
        </w:rPr>
        <w:t>limiting drug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 after the application is accepted for filing.</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227"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8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89" w:lineRule="exact"/>
        <w:rPr>
          <w:sz w:val="20"/>
          <w:szCs w:val="20"/>
          <w:color w:val="auto"/>
        </w:rPr>
      </w:pPr>
    </w:p>
    <w:p>
      <w:pPr>
        <w:jc w:val="both"/>
        <w:ind w:right="60" w:firstLine="518"/>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4"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Accelerated approval will be subject to the requirement that the applicant study the drug further, to verify and describe its clinical benefit, where there is uncertainty as to the relation of the surrogate endpoint to clinical benefit, or of the observed clinical benefit to ultimate outcome. Post-marketing studies would usually be studies already underway. When required to be conducted, such studies must also be adequate and well-controlled. The applicant shall carry out any such studies with due diligence.</w:t>
      </w:r>
    </w:p>
    <w:p>
      <w:pPr>
        <w:spacing w:after="0" w:line="1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FDA’s Decision on an NDA</w:t>
      </w:r>
    </w:p>
    <w:p>
      <w:pPr>
        <w:spacing w:after="0" w:line="22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additional, sometimes substantial,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If the FDA approves a product, it may impose post-marketing requirements, which are studies and clinical trials that the sponsor is required to conduct under one or more statutes or regulations, or post-marketing commitments which are studies or clinical trials that the sponsor has agreed to conduct, but that are not required by a statute or regulation. The FDA may limit the approved indications for use for the product, require that contraindications, warnings and/or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5" w:name="page26"/>
    <w:bookmarkEnd w:id="25"/>
    <w:p>
      <w:pPr>
        <w:ind w:right="580"/>
        <w:spacing w:after="0" w:line="282" w:lineRule="auto"/>
        <w:rPr>
          <w:sz w:val="20"/>
          <w:szCs w:val="20"/>
          <w:color w:val="auto"/>
        </w:rPr>
      </w:pPr>
      <w:r>
        <w:rPr>
          <w:rFonts w:ascii="Times New Roman" w:cs="Times New Roman" w:eastAsia="Times New Roman" w:hAnsi="Times New Roman"/>
          <w:sz w:val="18"/>
          <w:szCs w:val="18"/>
          <w:color w:val="auto"/>
        </w:rPr>
        <w:t>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Maintenance</w:t>
      </w:r>
    </w:p>
    <w:p>
      <w:pPr>
        <w:spacing w:after="0" w:line="227"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or without clinical data.</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6" w:lineRule="exact"/>
        <w:rPr>
          <w:sz w:val="20"/>
          <w:szCs w:val="20"/>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right="100" w:firstLine="518"/>
        <w:spacing w:after="0" w:line="289"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5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drugs and prescription drug samples at the federal level, and set minimum standards for the regulation of drug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227"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preclinical and clinical testing previously conducted for a drug product previously approved under an NDA, known as the reference listed drug, or RLD.</w:t>
      </w:r>
    </w:p>
    <w:p>
      <w:pPr>
        <w:spacing w:after="0" w:line="180"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6" w:name="page27"/>
    <w:bookmarkEnd w:id="26"/>
    <w:p>
      <w:pPr>
        <w:ind w:right="40"/>
        <w:spacing w:after="0" w:line="282" w:lineRule="auto"/>
        <w:rPr>
          <w:sz w:val="20"/>
          <w:szCs w:val="20"/>
          <w:color w:val="auto"/>
        </w:rPr>
      </w:pPr>
      <w:r>
        <w:rPr>
          <w:rFonts w:ascii="Times New Roman" w:cs="Times New Roman" w:eastAsia="Times New Roman" w:hAnsi="Times New Roman"/>
          <w:sz w:val="18"/>
          <w:szCs w:val="18"/>
          <w:color w:val="auto"/>
        </w:rPr>
        <w:t>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162"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In cases where such exclusivity has been granted, an ANDA may not be filed with the FDA until the expiration of five years unless the submission is accompanied by a Paragraph IV certification, as discussed below,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 Month Stay</w:t>
      </w:r>
    </w:p>
    <w:p>
      <w:pPr>
        <w:spacing w:after="0" w:line="227"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117" w:lineRule="exact"/>
        <w:rPr>
          <w:sz w:val="20"/>
          <w:szCs w:val="20"/>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225"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applicant is not seeking approval).</w:t>
      </w:r>
    </w:p>
    <w:p>
      <w:pPr>
        <w:spacing w:after="0" w:line="180"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 and Exclusivity</w:t>
      </w:r>
    </w:p>
    <w:p>
      <w:pPr>
        <w:spacing w:after="0" w:line="227"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of 2003, a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information submitted, consult with each other, and agree upon a final plan. The FDA or the applicant may request an amendment to the plan at any time.</w:t>
      </w:r>
    </w:p>
    <w:p>
      <w:pPr>
        <w:spacing w:after="0" w:line="22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0"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The Best Pharmaceuticals for Children Act is intended to improve the FDA and applicant accountability for the agreed-upon pediatric studies by creating a new mechanism for funding pediatric studies that sponsors or holders of approved applications declined to conduct voluntarily. Pediatric exclusivity, if granted, provides for the attachment of an additional six months of marketing protection to the term of any existing regulatory exclusivity, including the non-patent and orphan exclusivity, which is discussed below.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that cover the product are extended by six months. This is not a patent term extension, but it effectively extends the regulatory period during which the FDA cannot approve another application.</w:t>
      </w:r>
    </w:p>
    <w:p>
      <w:pPr>
        <w:spacing w:after="0" w:line="18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In some oncology indications, where pediatric studies are impossible or highly impractical (because, for example, the number of pediatric patients is so small or geographically dispersed), it may be possible to request a waiver.</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A company must request orphan product designation before submitting a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the product generally will receive orphan product exclusivity. Orphan product exclusivity means that the FDA may not approve any other applications for the same product for the same indication for seven years, except in certain limited circumstances.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88"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Pharmaceutical companies developing an orphan drug to treat an uncommon disease may be eligible for the research tax credit for qualified research expenses or the orphan drug tax credit for development costs attributable to qualified clinical testing incurred in developing the drug.</w:t>
      </w:r>
    </w:p>
    <w:p>
      <w:pPr>
        <w:spacing w:after="0" w:line="16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Unless otherwise required by regulation, the pediatric data requirements under the Pediatric Research Equity Act do not apply to products with orphan designation.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227"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 NDA, plus the time between the submission date of a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USPTO reviews and approves the application for any patent term extension or restoration in consultation with the FDA.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 Products in the European Union</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Trial Approval in the European Union (EU)</w:t>
      </w:r>
    </w:p>
    <w:p>
      <w:pPr>
        <w:spacing w:after="0" w:line="227"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Pursuant to the currently applicable Clinical Trials Directives, an applicant must obtain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applicant may only start a clinical trial at a specific study site after the competent ethics committee has issued a favorable opinion. In April 2014, the EU adopted a new Clinical Trials Regulation, which is set to replace the current Clinical Trials Directive. The new Clinical Trials Regulation will be directly applicable to and binding in all 28 EU member states without the need for any national implementing legislation, and will become applicable no earlier than May 28, 2016. Under the new coordinated procedure for the approval of clinical trials, the sponsor of a clinical trial will be required to submit a single application for approval of a clinical trial to a reporting EU member state through an EU Portal. The submission procedure will be the same irrespective of whether the clinical trial is to be conducted in a single EU member state or in more than one EU member state. The Clinical Trials Regulation also aims to streamline and simplify the rules on safety reporting for clinical trials.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27"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To obtain marketing approval of a drug under EU regulatory systems, an applicant must submit a marketing authorization application, or MAA, using the appropriate registration procedure.</w:t>
      </w:r>
    </w:p>
    <w:p>
      <w:pPr>
        <w:spacing w:after="0" w:line="162"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European Union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The working definition includes all malignant and borderline malignant neoplasms, following the current International Classification of Diseases for Oncology, including primary or secondary malignant neoplasms, carcinoma in situ, and neoplasms classified as uncertain whether benign or</w:t>
      </w:r>
    </w:p>
    <w:p>
      <w:pPr>
        <w:spacing w:after="0" w:line="3"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malignant. Medicinal products for cancer treatment include antineoplastic agents (including modulators and enhancers of antineoplastic activity) and adjuvant treatments. For products with a new active substance indicated for the treatment of other diseases and products that are highly innovative or for which a centralized process is in the interest of patients, the centralized procedure may be optional.</w:t>
      </w:r>
    </w:p>
    <w:p>
      <w:pPr>
        <w:spacing w:after="0" w:line="186" w:lineRule="exact"/>
        <w:rPr>
          <w:sz w:val="20"/>
          <w:szCs w:val="20"/>
          <w:color w:val="auto"/>
        </w:rPr>
      </w:pPr>
    </w:p>
    <w:p>
      <w:pPr>
        <w:ind w:right="40" w:firstLine="518"/>
        <w:spacing w:after="0" w:line="274" w:lineRule="auto"/>
        <w:rPr>
          <w:sz w:val="20"/>
          <w:szCs w:val="20"/>
          <w:color w:val="auto"/>
        </w:rPr>
      </w:pPr>
      <w:r>
        <w:rPr>
          <w:rFonts w:ascii="Times New Roman" w:cs="Times New Roman" w:eastAsia="Times New Roman" w:hAnsi="Times New Roman"/>
          <w:sz w:val="17"/>
          <w:szCs w:val="17"/>
          <w:color w:val="auto"/>
        </w:rPr>
        <w:t>The Committee for Medicinal Products for Human Use, or CHMP, is responsible for preparing EMA’s opinions on all questions concerning medicines for human use, in accordance with European regulation. In the centralized procedure, the CHMP is responsible for conducting the initial assessment of medicines for which an EU-wide marketing authorization is sought.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74"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CHMP is also responsible for several post-authorization and maintenance activities, such as the assessment of modifications or extensions to an existing marketing authorization.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w:t>
      </w:r>
    </w:p>
    <w:p>
      <w:pPr>
        <w:spacing w:after="0" w:line="227" w:lineRule="exact"/>
        <w:rPr>
          <w:sz w:val="20"/>
          <w:szCs w:val="20"/>
          <w:color w:val="auto"/>
        </w:rPr>
      </w:pPr>
    </w:p>
    <w:p>
      <w:pPr>
        <w:ind w:right="60" w:firstLine="518"/>
        <w:spacing w:after="0" w:line="272" w:lineRule="auto"/>
        <w:rPr>
          <w:sz w:val="20"/>
          <w:szCs w:val="20"/>
          <w:color w:val="auto"/>
        </w:rPr>
      </w:pPr>
      <w:r>
        <w:rPr>
          <w:rFonts w:ascii="Times New Roman" w:cs="Times New Roman" w:eastAsia="Times New Roman" w:hAnsi="Times New Roman"/>
          <w:sz w:val="17"/>
          <w:szCs w:val="17"/>
          <w:color w:val="auto"/>
        </w:rPr>
        <w:t>In the EU, new chemical entities qualify for eight years of data exclusivity upon marketing authorization and an additional two years of market exclusivity. This data exclusivity, if granted, prevents regulatory authorities in the EU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drug if such company can complete a full MAA with a complete database of pharmaceutical test, preclinical tests and clinical trials and obtain marketing approval of its product.</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22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in the United States such as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imply that an adequate reimbursement rate will be approved. Third-party reimbursement may not be sufficient to maintain price levels high enough to realize an appropriate return on investment in product development.</w:t>
      </w:r>
    </w:p>
    <w:p>
      <w:pPr>
        <w:spacing w:after="0" w:line="184"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For example, the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Healthcare Law and Regulation</w:t>
      </w:r>
    </w:p>
    <w:p>
      <w:pPr>
        <w:spacing w:after="0" w:line="227"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drug products that are granted marketing approval. Arrangements with third-party payors and customers are subject to broadly applicable fraud and abuse and other healthcare laws and regulations. Such restrictions under applicable federal and state healthcare laws and regulations, include the following:</w:t>
      </w:r>
    </w:p>
    <w:p>
      <w:pPr>
        <w:spacing w:after="0" w:line="68" w:lineRule="exact"/>
        <w:rPr>
          <w:sz w:val="20"/>
          <w:szCs w:val="20"/>
          <w:color w:val="auto"/>
        </w:rPr>
      </w:pPr>
    </w:p>
    <w:p>
      <w:pPr>
        <w:ind w:left="1040" w:right="60" w:hanging="519"/>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jc w:val="both"/>
        <w:ind w:left="1040" w:right="160" w:hanging="519"/>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30" w:name="page31"/>
    <w:bookmarkEnd w:id="30"/>
    <w:p>
      <w:pPr>
        <w:ind w:left="1040" w:right="10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40" w:right="80" w:hanging="519"/>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68" w:lineRule="exact"/>
        <w:rPr>
          <w:rFonts w:ascii="Times New Roman" w:cs="Times New Roman" w:eastAsia="Times New Roman" w:hAnsi="Times New Roman"/>
          <w:sz w:val="18"/>
          <w:szCs w:val="18"/>
          <w:color w:val="auto"/>
        </w:rPr>
      </w:pPr>
    </w:p>
    <w:p>
      <w:pPr>
        <w:ind w:left="1040" w:right="58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will require manufacturers of drugs, devices, drugs and medical supplies to report to the Department of Health and Human Services information related to payments and other transfers of value to physicians and teaching hospitals and physician ownership and investment interests; and</w:t>
      </w:r>
    </w:p>
    <w:p>
      <w:pPr>
        <w:spacing w:after="0" w:line="68" w:lineRule="exact"/>
        <w:rPr>
          <w:rFonts w:ascii="Times New Roman" w:cs="Times New Roman" w:eastAsia="Times New Roman" w:hAnsi="Times New Roman"/>
          <w:sz w:val="18"/>
          <w:szCs w:val="18"/>
          <w:color w:val="auto"/>
        </w:rPr>
      </w:pPr>
    </w:p>
    <w:p>
      <w:pPr>
        <w:ind w:left="1040" w:right="60" w:hanging="519"/>
        <w:spacing w:after="0" w:line="313" w:lineRule="auto"/>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38" w:lineRule="exact"/>
        <w:rPr>
          <w:sz w:val="20"/>
          <w:szCs w:val="20"/>
          <w:color w:val="auto"/>
        </w:rPr>
      </w:pPr>
    </w:p>
    <w:p>
      <w:pPr>
        <w:ind w:right="100" w:firstLine="518"/>
        <w:spacing w:after="0" w:line="281" w:lineRule="auto"/>
        <w:rPr>
          <w:sz w:val="20"/>
          <w:szCs w:val="20"/>
          <w:color w:val="auto"/>
        </w:rPr>
      </w:pPr>
      <w:r>
        <w:rPr>
          <w:rFonts w:ascii="Times New Roman" w:cs="Times New Roman" w:eastAsia="Times New Roman" w:hAnsi="Times New Roman"/>
          <w:sz w:val="17"/>
          <w:szCs w:val="17"/>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As of February 1, 2016, we had 47 full-time employees, including a total of 17 employees with M.D. or Ph.D. degrees. Of our workforce, 22 employees are engaged in research and development. None of our employees is represented by labor unions or covered by collective bargaining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518"/>
        <w:spacing w:after="0" w:line="281" w:lineRule="auto"/>
        <w:rPr>
          <w:sz w:val="20"/>
          <w:szCs w:val="20"/>
          <w:color w:val="auto"/>
        </w:rPr>
      </w:pPr>
      <w:r>
        <w:rPr>
          <w:rFonts w:ascii="Times New Roman" w:cs="Times New Roman" w:eastAsia="Times New Roman" w:hAnsi="Times New Roman"/>
          <w:sz w:val="17"/>
          <w:szCs w:val="17"/>
          <w:color w:val="auto"/>
        </w:rPr>
        <w:t>We file reports and other information with the Securities and Exchange Commission, or SEC, as required by the Securities Exchange Act of 1934, as amended, which we refer to as the Exchange Act. You can find, copy and inspect information we file at the SEC’s public reference room, which is located at 100 F Street, N.E., Room 1580, Washington, DC 20549. Please call the SEC at 1-800-SEC-0330 for more information about the operation of the SEC’s public reference room. You can review our electronically filed reports and other information that we file with the SEC on the SEC’s web site at http://www.sec.gov.</w:t>
      </w:r>
    </w:p>
    <w:p>
      <w:pPr>
        <w:spacing w:after="0" w:line="16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Our Internet website is http://www.ceruleanrx.com.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w:t>
      </w:r>
    </w:p>
    <w:p>
      <w:pPr>
        <w:spacing w:after="0" w:line="184"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foregoing references to our website are not intended to, nor shall they be deemed to, incorporate information on our website into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1" w:name="page32"/>
    <w:bookmarkEnd w:id="3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3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59"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advance the clinical development of CRLX101 and CRLX301 and continue research and development and initiate additional clinical trials of, and seek regulatory approval for, these and other future product candidates. In addition, if we obtain regulatory approval for any of our product candidates, we expect to incur significant commercialization expenses related to product manufacturing, marketing, sales and distribution. In particular, the costs that may be required for the manufacture of any product candidate that receives marketing approval may be substantial, and manufacturing our nanoparticle-drug conjugates, or NDCs, for commercial sale will require expensive and specialized facilities, processes and materials. Furthermore, relative to previous years when we operated as a private company, we expect to incur significant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plan to use our current cash and cash equivalents to fund our ongoing research and development efforts. We will be required to expend significant funds in order to advance development of CRLX101, CRLX301 and our other potential product candidates. Our existing cash and cash equivalents will not be sufficient to fund all of the efforts that we plan to undertake, such as additional randomized trials of CRLX101 or CRLX301. Accordingly, we will be required to obtain further funding through public or private equity offerings, debt financings, collaborations or licensing arrangements or other sources. Adequate and additional funding may not be available to us on acceptable terms or at all.</w:t>
      </w:r>
    </w:p>
    <w:p>
      <w:pPr>
        <w:spacing w:after="0" w:line="18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On January 8, 2015 we entered into a loan and security agreement, which we refer to as the Hercules Loan Agreement, with Hercules Technology Growth Capital, Inc., or Hercules, and drew the first tranche of $15.0 million under the Hercules Loan Agreement. On November 24, 2015, we drew a second tranche of $6.0 million under the Hercules Loan Agreement. We elected not to commence a randomized Phase 2 clinical trial of CRLX101 in combination with chemoradiotherapy on or prior to December 15, 2015, which was a condition of obtaining an additional tranche in an amount of up to $5.0 million. As a result, we are no longer eligible to borrow this amount under the Hercules Loan Agreement.</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If we elect to obtain any additional debt financing, our ability to do so may be limited by covenants we have made under the Hercules Loan Agreement and our pledge to Hercules of substantially all of our assets, other than our intellectual property, as collateral. We have also granted Hercules a negative pledge with respect to our intellectual property, which, among other things, prohibits us from selling, transferring, assigning, mortgaging, pledging, leasing, granting a security interest in or otherwise encumbering our intellectual property. This negative pledge could further limit our ability to obtain additional debt financing. Our failure to raise capital as and when needed would have a negative impact on our financial condition and our ability to pursue our business strategy.</w:t>
      </w:r>
    </w:p>
    <w:p>
      <w:pPr>
        <w:spacing w:after="0" w:line="188"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On April 10, 2015 we closed an underwritten public offering, or the Secondary Offering, of 6,716,000 shares of common stock, including 876,000 shares sold pursuant to the full exercise of the underwriters’ option to purchase additional shares, at a public offering price of $6.00 per share. The gross proceeds to us from the Secondary Offering were approximately $40.3 million, before deducting underwriting discounts and commissions and offering expenses payable by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2" w:name="page33"/>
    <w:bookmarkEnd w:id="32"/>
    <w:p>
      <w:pPr>
        <w:ind w:right="60" w:firstLine="518"/>
        <w:spacing w:after="0" w:line="289" w:lineRule="auto"/>
        <w:rPr>
          <w:sz w:val="20"/>
          <w:szCs w:val="20"/>
          <w:color w:val="auto"/>
        </w:rPr>
      </w:pPr>
      <w:r>
        <w:rPr>
          <w:rFonts w:ascii="Times New Roman" w:cs="Times New Roman" w:eastAsia="Times New Roman" w:hAnsi="Times New Roman"/>
          <w:sz w:val="17"/>
          <w:szCs w:val="17"/>
          <w:color w:val="auto"/>
        </w:rPr>
        <w:t>We believe that our cash and cash equivalents as of December 31, 2015 will enable us to fund our operating expenses, debt service and scheduled capital expenditures for at least twelve months from our 2015 financial statement issuance date. We have based this estimate on assumptions that may prove to be wrong, and we could use our capital resources sooner than we currently expect. Our future capital requirements will depend on many factors, including:</w:t>
      </w:r>
    </w:p>
    <w:p>
      <w:pPr>
        <w:ind w:left="1040" w:hanging="519"/>
        <w:spacing w:after="0" w:line="204" w:lineRule="auto"/>
        <w:tabs>
          <w:tab w:leader="none" w:pos="104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number and development requirements of the product candidates we pursue;</w:t>
      </w:r>
    </w:p>
    <w:p>
      <w:pPr>
        <w:spacing w:after="0" w:line="110" w:lineRule="exact"/>
        <w:rPr>
          <w:rFonts w:ascii="Times New Roman" w:cs="Times New Roman" w:eastAsia="Times New Roman" w:hAnsi="Times New Roman"/>
          <w:sz w:val="29"/>
          <w:szCs w:val="29"/>
          <w:color w:val="auto"/>
          <w:vertAlign w:val="superscript"/>
        </w:rPr>
      </w:pPr>
    </w:p>
    <w:p>
      <w:pPr>
        <w:ind w:left="1040" w:right="380" w:hanging="519"/>
        <w:spacing w:after="0" w:line="191" w:lineRule="auto"/>
        <w:tabs>
          <w:tab w:leader="none" w:pos="104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scope, progress, timing, results and costs of researching and developing our product candidates, and conducting preclinical and clinical trials;</w:t>
      </w:r>
    </w:p>
    <w:p>
      <w:pPr>
        <w:ind w:left="1040" w:hanging="519"/>
        <w:spacing w:after="0" w:line="233" w:lineRule="auto"/>
        <w:tabs>
          <w:tab w:leader="none" w:pos="104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costs, timing and outcome of regulatory review of our product candidates;</w:t>
      </w:r>
    </w:p>
    <w:p>
      <w:pPr>
        <w:spacing w:after="0" w:line="110" w:lineRule="exact"/>
        <w:rPr>
          <w:rFonts w:ascii="Times New Roman" w:cs="Times New Roman" w:eastAsia="Times New Roman" w:hAnsi="Times New Roman"/>
          <w:sz w:val="29"/>
          <w:szCs w:val="29"/>
          <w:color w:val="auto"/>
          <w:vertAlign w:val="superscript"/>
        </w:rPr>
      </w:pPr>
    </w:p>
    <w:p>
      <w:pPr>
        <w:ind w:left="1040" w:right="260" w:hanging="519"/>
        <w:spacing w:after="0" w:line="191" w:lineRule="auto"/>
        <w:tabs>
          <w:tab w:leader="none" w:pos="104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of our product candidates for which we receive marketing approval;</w:t>
      </w:r>
    </w:p>
    <w:p>
      <w:pPr>
        <w:ind w:left="1040" w:hanging="519"/>
        <w:spacing w:after="0" w:line="233" w:lineRule="auto"/>
        <w:tabs>
          <w:tab w:leader="none" w:pos="104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revenue, if any, received from commercial sales of any product candidates for which we receive marketing approval;</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establish and maintain strategic partnerships, licensing or other arrangements and the financial terms of such agreements;</w:t>
      </w:r>
    </w:p>
    <w:p>
      <w:pPr>
        <w:spacing w:after="0" w:line="110" w:lineRule="exact"/>
        <w:rPr>
          <w:rFonts w:ascii="Times New Roman" w:cs="Times New Roman" w:eastAsia="Times New Roman" w:hAnsi="Times New Roman"/>
          <w:sz w:val="24"/>
          <w:szCs w:val="24"/>
          <w:color w:val="auto"/>
          <w:vertAlign w:val="superscript"/>
        </w:rPr>
      </w:pPr>
    </w:p>
    <w:p>
      <w:pPr>
        <w:ind w:left="1040" w:right="380" w:hanging="519"/>
        <w:spacing w:after="0" w:line="191" w:lineRule="auto"/>
        <w:tabs>
          <w:tab w:leader="none" w:pos="104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ind w:left="1040" w:hanging="519"/>
        <w:spacing w:after="0" w:line="233" w:lineRule="auto"/>
        <w:tabs>
          <w:tab w:leader="none" w:pos="104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extent to which we acquire or in-license other medicines and technology;</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headcount growth and associated costs;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costs of operating as a public company.</w:t>
      </w:r>
    </w:p>
    <w:p>
      <w:pPr>
        <w:spacing w:after="0" w:line="19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w:t>
      </w:r>
    </w:p>
    <w:p>
      <w:pPr>
        <w:spacing w:after="0" w:line="180" w:lineRule="exact"/>
        <w:rPr>
          <w:sz w:val="20"/>
          <w:szCs w:val="20"/>
          <w:color w:val="auto"/>
        </w:rPr>
      </w:pPr>
    </w:p>
    <w:p>
      <w:pPr>
        <w:ind w:right="4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technologies or product candidates.</w:t>
      </w:r>
    </w:p>
    <w:p>
      <w:pPr>
        <w:spacing w:after="0" w:line="159"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public or private equity offerings, debt financings, license and development agreements with collaboration partners or other sources.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our existing stockholders. Debt financing and preferred equity financing, if available, may involve agreements that include restrictive covenants that limit our ability to take specified actions, such as incurring additional debt, making capital expenditures or declaring dividends. In addition, additional debt financing would result in increased fixed payment obligations.</w:t>
      </w:r>
    </w:p>
    <w:p>
      <w:pPr>
        <w:spacing w:after="0" w:line="185"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22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On January 8, 2015, we entered into the Hercules Loan Agreement and drew the first tranche of $15.0 million. We used $3.6 million of the proceeds from our draw under the Hercules Loan Agreement to repay in full our outstanding indebtedness under our loan and security agreement with Lighthouse Capital Partners VI, L.P. On November 24, 2015 we drew an additional tranche of $6.0 million under the Hercules Loan Agreement. As of December 31, 2015, we had approximately $22.5 million in outstanding indebtedness under the Hercules Loan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3" w:name="page34"/>
    <w:bookmarkEnd w:id="33"/>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Our outstanding indebtedness combined with current and future financial obligations and contractual commitments, including any additional indebtedness beyond our borrowings from Hercules, could have significant adverse consequences, including:</w:t>
      </w:r>
    </w:p>
    <w:p>
      <w:pPr>
        <w:spacing w:after="0" w:line="54" w:lineRule="exact"/>
        <w:rPr>
          <w:sz w:val="20"/>
          <w:szCs w:val="20"/>
          <w:color w:val="auto"/>
        </w:rPr>
      </w:pPr>
    </w:p>
    <w:p>
      <w:pPr>
        <w:ind w:left="1040" w:right="300" w:hanging="519"/>
        <w:spacing w:after="0" w:line="214" w:lineRule="auto"/>
        <w:tabs>
          <w:tab w:leader="none" w:pos="104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requiring us to dedicate a portion of our cash resources to the payment of interest and principal, and prepayment and repayment fees and penalties, thereby reducing money available to fund working capital, capital expenditures, product development and other general corporate purposes;</w:t>
      </w:r>
    </w:p>
    <w:p>
      <w:pPr>
        <w:ind w:left="1040" w:hanging="519"/>
        <w:spacing w:after="0" w:line="233" w:lineRule="auto"/>
        <w:tabs>
          <w:tab w:leader="none" w:pos="104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subjecting us to restrictive covenants that may reduce our ability to take certain corporate actions or obtain further debt or equity financing;</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limiting our flexibility in planning for, or reacting to, changes in our business and the industry in which we compete;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placing us at a competitive disadvantage compared to our competitors that have less debt or better debt servicing options.</w:t>
      </w:r>
    </w:p>
    <w:p>
      <w:pPr>
        <w:spacing w:after="0" w:line="19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existing cash and cash equivalents. Nevertheless, we may not have sufficient funds, and may be unable to arrange for additional financing, to pay the amounts due under our existing debt instruments. Failure to make payments or comply with other covenants under our existing debt instruments could result in an event of default and acceleration of amounts due. If an event of default occurs and Hercules accelerates the amounts due, we may not be able to make accelerated payments, and Hercules could seek to enforce security interests in the collateral securing such indebtedness, which includes substantially all of our assets other than our intellectual property.</w:t>
      </w:r>
    </w:p>
    <w:p>
      <w:pPr>
        <w:spacing w:after="0" w:line="288" w:lineRule="exact"/>
        <w:rPr>
          <w:sz w:val="20"/>
          <w:szCs w:val="20"/>
          <w:color w:val="auto"/>
        </w:rPr>
      </w:pPr>
    </w:p>
    <w:p>
      <w:pPr>
        <w:ind w:right="1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incorporation. We expect to incur losses over the next several years and may never achieve or maintain profitability.</w:t>
      </w:r>
    </w:p>
    <w:p>
      <w:pPr>
        <w:spacing w:after="0" w:line="15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Since incorporation, we have incurred significant operating losses. As of December 31, 2015, we had an accumulated deficit of $161.4 million. We do not know whether or when we will become profitable. We have not generated any revenues to date from product sales and have financed our operations primarily through public offerings of our common stock, private placements of our preferred stock, convertible debt financings and secured debt financings. We have not completed development of any product candidate and have devoted substantially all of our financial resources and efforts to research and development, including preclinical studies and clinical trials. We expect to continue to incur significant expenses and operating losses over the next several years. Our net losses may fluctuate significantly from quarter to quarter and year to year. Net losses and negative cash flows have had, and will continue to have, an adverse effect on our stockholders deficit and working capital. We anticipate that our expenses will increase substantially if and as we:</w:t>
      </w:r>
    </w:p>
    <w:p>
      <w:pPr>
        <w:spacing w:after="0" w:line="81" w:lineRule="exact"/>
        <w:rPr>
          <w:sz w:val="20"/>
          <w:szCs w:val="20"/>
          <w:color w:val="auto"/>
        </w:rPr>
      </w:pPr>
    </w:p>
    <w:p>
      <w:pPr>
        <w:ind w:left="1040" w:right="360" w:hanging="519"/>
        <w:spacing w:after="0" w:line="200" w:lineRule="auto"/>
        <w:tabs>
          <w:tab w:leader="none" w:pos="1040" w:val="left"/>
        </w:tabs>
        <w:numPr>
          <w:ilvl w:val="0"/>
          <w:numId w:val="2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initiate and continue company-sponsored clinical trials of CRLX101, our most advanced product candidate, including single-arm trials and randomized controlled trials, alone or in combination with other agents;</w:t>
      </w:r>
    </w:p>
    <w:p>
      <w:pPr>
        <w:ind w:left="1040" w:hanging="519"/>
        <w:spacing w:after="0" w:line="233" w:lineRule="auto"/>
        <w:tabs>
          <w:tab w:leader="none" w:pos="1040" w:val="left"/>
        </w:tabs>
        <w:numPr>
          <w:ilvl w:val="0"/>
          <w:numId w:val="2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support ongoing and any new investigator-sponsored clinical trials, or ISTs, of CRLX101;</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continue our Phase 1/2a clinical trial of CRLX301, our second most advanced product candidate, as well as subsequent studies of CRLX301;</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elect to expand, amend or redesign any current trial of CRLX101 or CRLX301;</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continue our research and preclinical development of additional product candidates utilizing our Dynamic Tumor Targeting Platform;</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seek regulatory approvals for any product candidates that successfully complete clinical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 the future, establish a sales, marketing and distribution infrastructure in the United States;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scale up external manufacturing capabilities to commercialize any products for which we may obtain regulatory approval;</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maintain, expand and protect our intellectual property portfolio;</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add equipment and physical infrastructure to support our research and development;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hire additional personnel and/or incur severance costs associated with the termination of employment of any existing personnel.</w:t>
      </w:r>
    </w:p>
    <w:p>
      <w:pPr>
        <w:spacing w:after="0" w:line="198" w:lineRule="exact"/>
        <w:rPr>
          <w:sz w:val="20"/>
          <w:szCs w:val="20"/>
          <w:color w:val="auto"/>
        </w:rPr>
      </w:pPr>
    </w:p>
    <w:p>
      <w:pPr>
        <w:jc w:val="both"/>
        <w:ind w:right="120" w:firstLine="518"/>
        <w:spacing w:after="0" w:line="261"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4" w:name="page35"/>
    <w:bookmarkEnd w:id="34"/>
    <w:p>
      <w:pPr>
        <w:ind w:right="80"/>
        <w:spacing w:after="0" w:line="261" w:lineRule="auto"/>
        <w:rPr>
          <w:sz w:val="20"/>
          <w:szCs w:val="20"/>
          <w:color w:val="auto"/>
        </w:rPr>
      </w:pPr>
      <w:r>
        <w:rPr>
          <w:rFonts w:ascii="Times New Roman" w:cs="Times New Roman" w:eastAsia="Times New Roman" w:hAnsi="Times New Roman"/>
          <w:sz w:val="18"/>
          <w:szCs w:val="18"/>
          <w:color w:val="auto"/>
        </w:rPr>
        <w:t>candidates, obtaining regulatory approval for these product candidates, manufacturing, marketing and selling any products for which we may obtain regulatory approval, satisfying any post-marketing requirements and obtaining reimbursement for our products from private insurance or government payors. We are only in the preliminary stages of most of these activities and have not yet commenced other of these activities. We may never succeed in these activities and, even if we do, may never generate revenues that are significant enough to achieve profitability.</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United States Food and Drug Administration, or FDA, or the European Medicines Agency, or EMA,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cause our stockholders to lose all or part of their investment.</w:t>
      </w:r>
    </w:p>
    <w:p>
      <w:pPr>
        <w:spacing w:after="0" w:line="18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Given our planned expenditures for the next several years, including, without limitation, expenditures in connection with our clinical trials of CRLX101 and CRLX301, our independent registered public accounting firm may conclude that there is substantial doubt regarding our ability to continue as a going concern.</w:t>
      </w:r>
    </w:p>
    <w:p>
      <w:pPr>
        <w:spacing w:after="0" w:line="172" w:lineRule="exact"/>
        <w:rPr>
          <w:sz w:val="20"/>
          <w:szCs w:val="20"/>
          <w:color w:val="auto"/>
        </w:rPr>
      </w:pPr>
    </w:p>
    <w:p>
      <w:pPr>
        <w:ind w:right="5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5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our company, developing and securing our technology, raising capital and undertaking preclinical studies and clinical trials of our product candidates. We have not yet demonstrated the ability to successfully complete development of any product candidates, obtain marketing approvals, manufacture a commercial scale product, or arrange for a third party to do so on our behalf, or conduct sales and marketing activities necessary for successful product commercialization. Consequently, any predictions about our future success or viability may not be as accurate as they could be if we had a longer operating history or a history of successfully developing and commercializing pharmaceutical products.</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Assuming we obtain marketing approval for any of our product candidates,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225" w:lineRule="exact"/>
        <w:rPr>
          <w:sz w:val="20"/>
          <w:szCs w:val="20"/>
          <w:color w:val="auto"/>
        </w:rPr>
      </w:pPr>
    </w:p>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Dynamic Tumor Targeting Platform is unproven, and we do not know whether we will be able to develop any products of commercial value.</w:t>
      </w:r>
    </w:p>
    <w:p>
      <w:pPr>
        <w:spacing w:after="0" w:line="15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are focused on applying our proprietary Dynamic Tumor Targeting Platform to develop drugs that address serious unmet medical needs. We believe that our Dynamic Tumor Targeting Platform has the potential to create drugs that may have significant utility in several cancer indications, particularly in combination with other cancer therapies. While the results of preclinical studies and early-stage clinical trials have suggested that certain of our product candidates may have such utility, we have not yet succeeded and may not succeed in demonstrating efficacy and safety for any of our product candidates in later stage clinical trials or in obtaining marketing approval thereafter. For example, we have not yet advanced a compound beyond Phase 2 clinical development. Moreover, the only compound for which we have completed a Phase 2 clinical trial, CRLX101 for the potential treatment of patients with advanced non-small cell lung cancer, or NSCLC, who had progressed through one or two prior regimens of chemotherapy, failed to meet its primary endpoint of improvement in overall survival.</w:t>
      </w:r>
    </w:p>
    <w:p>
      <w:pPr>
        <w:spacing w:after="0" w:line="185"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we have never had a product candidate receive approval or clearance from the FDA or a non-U.S. regulatory authority. While the FDA has approved nanoparticles such as Doxil® (doxorubicin hydrochloride liposome injection) and Abraxane® (nab-paclitaxel), to our knowledge, the FDA has not yet approved a polymeric nanoparticle such as our NDCs, which are a new way of targeting tumors. The regulatory review process for novel product candidates, such as ours, can be more expensive and take longer than for product candidates based on more well-known or extensively studied technologies due to regulatory authorities’ lack of experience with them. As a result, we may be required to conduct additional studies and/or trials beyond those we anticipate and it may take us longer to develop and/or obtain regulatory approval for our existing and any future product candidates than we expect.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5" w:name="page36"/>
    <w:bookmarkEnd w:id="35"/>
    <w:p>
      <w:pPr>
        <w:ind w:right="16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particularly dependent on the success of our lead product candidate, CRLX101, and our ability to develop, obtain marketing approval for and successfully commercialize CRLX101. If we are unable to develop, obtain marketing approval for or successfully commercialize CRLX101, either alone or through a collaboration, or experience significant delays in doing so, our business could be materially harmed.</w:t>
      </w:r>
    </w:p>
    <w:p>
      <w:pPr>
        <w:spacing w:after="0" w:line="17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currently have no products approved for sale and have invested a significant portion of our efforts and financial resources in the development of CRLX101 for the treatment of patients with inadequately treated forms of cancer. Our prospects are substantially dependent on our ability to develop, obtain marketing approval for and successfully commercialize CRLX101. The success of CRLX101 will depend, among other things, on our ability to successfully complete clinical trials of CRLX101. The clinical trial process is uncertain, and failure of one or more clinical trials can occur at any stage of testing. For example, in 2011, we initiated an open-label, randomized Phase 2 clinical trial of CRLX101 as monotherapy in patients with advanced NSCLC who had progressed through one or two prior regimens of chemotherapy. In this Phase 2 clinical trial, CRLX101 failed to meet its primary endpoint of improvement in overall survival of the CRLX101-treated group as compared to the control arm of the study, which was best supportive care.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the successful completion of clinical trials, the success of CRLX101 will also depend on several other factors, including the following:</w:t>
      </w:r>
    </w:p>
    <w:p>
      <w:pPr>
        <w:spacing w:after="0" w:line="18" w:lineRule="exact"/>
        <w:rPr>
          <w:sz w:val="20"/>
          <w:szCs w:val="20"/>
          <w:color w:val="auto"/>
        </w:rPr>
      </w:pPr>
    </w:p>
    <w:p>
      <w:pPr>
        <w:ind w:left="1040" w:hanging="519"/>
        <w:spacing w:after="0"/>
        <w:tabs>
          <w:tab w:leader="none" w:pos="1040"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receipt of marketing approvals from the FDA or other applicable regulatory authorities;</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performance of our future collaborators for CRLX101, if any;</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extent of any required post-marketing approval commitments to applicable regulatory authorities;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establishment and management of supply arrangements with third party raw materials suppliers and manufacturers;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establishment and management of supply arrangements for the delivery of our product candidates both in the United States and internationally;</w:t>
      </w:r>
    </w:p>
    <w:p>
      <w:pPr>
        <w:spacing w:after="0" w:line="110" w:lineRule="exact"/>
        <w:rPr>
          <w:rFonts w:ascii="Times New Roman" w:cs="Times New Roman" w:eastAsia="Times New Roman" w:hAnsi="Times New Roman"/>
          <w:sz w:val="24"/>
          <w:szCs w:val="24"/>
          <w:color w:val="auto"/>
          <w:vertAlign w:val="superscript"/>
        </w:rPr>
      </w:pPr>
    </w:p>
    <w:p>
      <w:pPr>
        <w:ind w:left="1040" w:right="300" w:hanging="519"/>
        <w:spacing w:after="0" w:line="191" w:lineRule="auto"/>
        <w:tabs>
          <w:tab w:leader="none" w:pos="1040"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establishment and coordination of supply arrangements for the delivery of combination agents and/or standard of care drugs internationally, depending on the jurisdiction;</w:t>
      </w:r>
    </w:p>
    <w:p>
      <w:pPr>
        <w:ind w:left="1040" w:hanging="519"/>
        <w:spacing w:after="0" w:line="233" w:lineRule="auto"/>
        <w:tabs>
          <w:tab w:leader="none" w:pos="1040"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obtaining and maintaining patent, trade secret protection and regulatory exclusivity both in the United States and internationally;</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protection of our rights in our intellectual property portfolio;</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launch of commercial sales if and when approved;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 continued acceptable safety profile of CRLX101 following any marketing approval;</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commercial acceptance, if and when approved, by patients, the medical community and third party payors;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establishment of arrangements with third party manufacturers to obtain finished drug products that are appropriately packaged for sale;</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establishing and maintaining pricing sufficient to realize a meaningful return on our investment;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competition with other therapies.</w:t>
      </w:r>
    </w:p>
    <w:p>
      <w:pPr>
        <w:spacing w:after="0" w:line="198"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If we are unable to develop, receive marketing approval for, or successfully commercialize CRLX101, or experience delays as a result of any of these factors or otherwise, our business could be materially harmed.</w:t>
      </w:r>
    </w:p>
    <w:p>
      <w:pPr>
        <w:spacing w:after="0" w:line="158" w:lineRule="exact"/>
        <w:rPr>
          <w:sz w:val="20"/>
          <w:szCs w:val="20"/>
          <w:color w:val="auto"/>
        </w:rPr>
      </w:pPr>
    </w:p>
    <w:p>
      <w:pPr>
        <w:ind w:right="7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we may not achieve our clinical development on our anticipated timeline, or at all, and our receipt of necessary regulatory approvals could be delayed or prevented.</w:t>
      </w:r>
    </w:p>
    <w:p>
      <w:pPr>
        <w:spacing w:after="0" w:line="159"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CRLX101 or any of our other product candidates if we are unable to locate and enroll a sufficient number of eligible patients to participate in clinical trials. Patient enrollment is a significant factor in the timing of clinical trials, and is affected by many factors, including:</w:t>
      </w:r>
    </w:p>
    <w:p>
      <w:pPr>
        <w:ind w:left="1040" w:hanging="519"/>
        <w:spacing w:after="0" w:line="217" w:lineRule="auto"/>
        <w:tabs>
          <w:tab w:leader="none" w:pos="104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size and nature of the patient population;</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severity of the disease under investigation;</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unexpected or serious adverse events that occur in the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proximity of patients to sites;</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sectPr>
      </w:pPr>
    </w:p>
    <w:bookmarkStart w:id="36" w:name="page37"/>
    <w:bookmarkEnd w:id="36"/>
    <w:p>
      <w:pPr>
        <w:ind w:left="1040" w:hanging="519"/>
        <w:spacing w:after="0"/>
        <w:tabs>
          <w:tab w:leader="none" w:pos="104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eligibility criteria for the trial;</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design of the trial;</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efforts to facilitate timely enrollment;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investigators’ engagement with, or enthusiasm about, the trial;</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complexity of initiating or expanding trials with sites outside the United States;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competing trials; and</w:t>
      </w:r>
    </w:p>
    <w:p>
      <w:pPr>
        <w:spacing w:after="0" w:line="110" w:lineRule="exact"/>
        <w:rPr>
          <w:rFonts w:ascii="Times New Roman" w:cs="Times New Roman" w:eastAsia="Times New Roman" w:hAnsi="Times New Roman"/>
          <w:sz w:val="24"/>
          <w:szCs w:val="24"/>
          <w:color w:val="auto"/>
          <w:vertAlign w:val="superscript"/>
        </w:rPr>
      </w:pPr>
    </w:p>
    <w:p>
      <w:pPr>
        <w:ind w:left="1040" w:right="260" w:hanging="519"/>
        <w:spacing w:after="0" w:line="191" w:lineRule="auto"/>
        <w:tabs>
          <w:tab w:leader="none" w:pos="104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98"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product candidates. Any of the foregoing could cause the value of our company to decline and limit our ability to obtain additional financing, if needed.</w:t>
      </w:r>
    </w:p>
    <w:p>
      <w:pPr>
        <w:spacing w:after="0" w:line="184" w:lineRule="exact"/>
        <w:rPr>
          <w:sz w:val="20"/>
          <w:szCs w:val="20"/>
          <w:color w:val="auto"/>
        </w:rPr>
      </w:pPr>
    </w:p>
    <w:p>
      <w:pPr>
        <w:ind w:right="4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may require more extensive or expensive trials for our combination product candidates than may be required for single agent pharmaceuticals.</w:t>
      </w:r>
    </w:p>
    <w:p>
      <w:pPr>
        <w:spacing w:after="0" w:line="15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To obtain regulatory approval for a combination product candidate, the FDA typically requires an applicant to show that each active ingredient in an investigational combination drug candidate makes a contribution to the combined investigational drug candidate’s claimed effects and that the dosage of each component, including amount, frequency and duration, is such that the combination is safe and effective for a significant patient population requiring such concurrent therapy. This could require us to conduct more extensive and more expensive clinical trials than would be the case for a single agent pharmaceutical. As a result, the need to conduct such trials could make it more difficult and costly to obtain regulatory approval of our combination drug product candidate than of a new drug containing only a single active pharmaceutical ingredient.</w:t>
      </w:r>
    </w:p>
    <w:p>
      <w:pPr>
        <w:spacing w:after="0" w:line="184" w:lineRule="exact"/>
        <w:rPr>
          <w:sz w:val="20"/>
          <w:szCs w:val="20"/>
          <w:color w:val="auto"/>
        </w:rPr>
      </w:pPr>
    </w:p>
    <w:p>
      <w:pPr>
        <w:ind w:right="6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pursuing the clinical development of CRLX101 in combinations with other drugs. For example, we are exploring combinations with Avastin in relapsed renal cell carcinoma and relapsed ovarian cancer. If the FDA revokes its approval of, or if safety, efficacy, manufacturing or supply issues arise with, Avastin or any other therapeutic that we use in combination with CRLX101 in the future, we may be unable to market CRLX101 or may experience significant regulatory delays or supply shortages, and our business could be materially harmed.</w:t>
      </w:r>
    </w:p>
    <w:p>
      <w:pPr>
        <w:spacing w:after="0" w:line="18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If the FDA revokes its approval of Avastin, or any other approved therapeutic that we intend to use in combination therapy with CRLX101, then we will not be able to market CRLX101 in combination with that agent. If safety or efficacy issues arise with such combination agent, we may experience significant regulatory delays, and the FDA may require us to redesign or terminate the applicable clinical trials. Moreover, if Avastin, or another potential combination agent for CRLX101, for instance, were to receive regulatory approval in combination with a different therapeutic in any indication for which we are pursuing approval, such approval could impact the feasibility and design of any subsequent clinical trials that we may seek to conduct evaluating CRLX101 in combination with such agent. In addition, if manufacturing, cost or other issues result in a supply shortage of Avastin or any other combination agent, we may not be able to complete clinical development of CRLX101 on our current timeline or at all.</w:t>
      </w:r>
    </w:p>
    <w:p>
      <w:pPr>
        <w:spacing w:after="0" w:line="189"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Even if CRLX101 were to receive regulatory approval and be commercialized for use in combination with an approved combination agent, we would continue to be subject to the risk that the FDA could revoke its approval of such agent, that safety, efficacy, manufacturing, cost or supply issues could arise with one of these therapeutic agents. This could result in CRLX101 being removed from the market or being less successful commercially.</w:t>
      </w:r>
    </w:p>
    <w:p>
      <w:pPr>
        <w:spacing w:after="0" w:line="172" w:lineRule="exact"/>
        <w:rPr>
          <w:sz w:val="20"/>
          <w:szCs w:val="20"/>
          <w:color w:val="auto"/>
        </w:rPr>
      </w:pPr>
    </w:p>
    <w:p>
      <w:pPr>
        <w:ind w:right="4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hypothesis regarding the role of hypoxia inducible factor, or HIF, in cancer cells proves incorrect, it may adversely affect our ability to commercialize and market CRLX101.</w:t>
      </w:r>
    </w:p>
    <w:p>
      <w:pPr>
        <w:spacing w:after="0" w:line="15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believe that the anti-cancer activity shown by CRLX101 in preclinical tumor models is due in part to its inhibition of HIF, and we have prioritized the clinical development of CRLX101, among other criteria, on HIF-driven tumor types. In support of this hypothesis in November 2015 we announced at the AACR-NCI-EORTC International Conference on Molecular Targets and Cancer Therapeutics that we have shown that CRLX101 inhibits carbonic anhydrase 9 in patient tumors, considered to be a sensor of HIF-1α. This clinical evidence is consistent with our preclinical data. While HIF-1α has become a target of increasing interest in cancer</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37" w:name="page38"/>
    <w:bookmarkEnd w:id="37"/>
    <w:p>
      <w:pPr>
        <w:ind w:right="60"/>
        <w:spacing w:after="0" w:line="261" w:lineRule="auto"/>
        <w:rPr>
          <w:sz w:val="20"/>
          <w:szCs w:val="20"/>
          <w:color w:val="auto"/>
        </w:rPr>
      </w:pPr>
      <w:r>
        <w:rPr>
          <w:rFonts w:ascii="Times New Roman" w:cs="Times New Roman" w:eastAsia="Times New Roman" w:hAnsi="Times New Roman"/>
          <w:sz w:val="18"/>
          <w:szCs w:val="18"/>
          <w:color w:val="auto"/>
        </w:rPr>
        <w:t>research and recent research suggests that HIF-1α is a master regulator for many cancer cell survival pathways, the science underlying HIF-1α is based on recent discoveries and not fully understood. Moreover, the exact role of HIF-2α is less well described and understood. If our hypothesis with respect to the role of HIF in cancer cells proves incorrect, CRLX101 may not have the same level of therapeutic benefit as it might otherwise have, and in that case we may be unable to receive marketing approval for, or successfully commercialize, CRLX101, and our business could be materially harmed.</w:t>
      </w:r>
    </w:p>
    <w:p>
      <w:pPr>
        <w:spacing w:after="0" w:line="176" w:lineRule="exact"/>
        <w:rPr>
          <w:sz w:val="20"/>
          <w:szCs w:val="20"/>
          <w:color w:val="auto"/>
        </w:rPr>
      </w:pPr>
    </w:p>
    <w:p>
      <w:pPr>
        <w:ind w:right="4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Two of our product candidates are in clinical development, all of our other potential product candidates are in preclinical development, and the risk of failure of all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clinical development of our product candidates is susceptible to the risk of failure inherent at any stage of drug development, including failure to have a sufficient quantity of our product candidate available when needed, failure to demonstrate efficacy in a clinical trial or across a broad population of patients, the occurrence of severe or medically or commercially unacceptable adverse events, failure to comply with protocols or applicable regulatory requirements and determination by the FDA or any comparable non-U.S. regulatory authority that a drug product is not approvable. It is possible that even if one or more of our product candidates has a beneficial effect, that effect will not be detected during clinical evaluation as a result of one or more of a variety of factors, including the size, duration, dose, dosing schedule,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w:t>
      </w:r>
    </w:p>
    <w:p>
      <w:pPr>
        <w:spacing w:after="0" w:line="19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and interim results of a clinical trial do not necessarily predict final results. For example, although a Phase 1/2a clinical trial of CRLX101 supported advancement of CRLX101 as monotherapy into Phase 2 clinical trials for patients with advanced NSCLC who had progressed through one or two prior regimens of chemotherapy, CRLX101 failed to meet its primary endpoint of improvement in overall survival of patients in this indication. Many companies in the pharmaceutical and biotechnology industries have suffered significant setbacks in late-stage clinical trials after achieving positive results in earlier development, and we cannot be certain that we will not face additional setbacks. For example, although the results of the Phase 1b/2 single-arm IST of CRLX101 in patients with relapsed RCC supported our hypothesis that CRLX101 in combination with Avastin may be effective in this setting, there is no assurance that the RCC Trial will meet its endpoint or further support our registration strategy for CRLX101 in RCC. Moreover, there are currently multiple open-label ISTs of CRLX101 ongoing, including a Phase 2 open-label IST in patients with relapsed ovarian cancer, consisting of a single-arm trial of CRLX101 as monotherapy and a single-arm combination trial of CRLX101 and Avastin; and a Phase 1b/2 open-label IST of CRLX101 in combination with chemoradiotherapy in patients with locally advanced rectal cancer. Interim investigator-reported data from subsets of the total patient populations in certain of these ISTs have been reported. These ISTs are still in progress and final results are not yet available. The preliminary results reported from the ISTs have in some cases been observed in only a small number of patients and may not be achieved by other patients on these or other clinical trials. There can be no assurance that company-sponsored trials will confirm the data seen in the ISTs.</w:t>
      </w:r>
    </w:p>
    <w:p>
      <w:pPr>
        <w:spacing w:after="0" w:line="199"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design of a clinical trial can determine whether its results will support approval of a product, and flaws in the design of a clinical trial may not become apparent until the clinical trial is well advanced or completed and protocol amendments, if any, to address such flaws may not be sufficiently timely or corrective. We have limited experience in designing clinical trials and may be unable to design and execute a clinical trial to support marketing approval. For example, we believe that a significant increase in pathologic complete response may be a clinically meaningful endpoint for the treatment of locally advanced rectal cancer, but there can be no assurance that the FDA will agree. Moreover, no drug has yet been approved in this setting.</w:t>
      </w:r>
    </w:p>
    <w:p>
      <w:pPr>
        <w:spacing w:after="0" w:line="184"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In addition, for several reasons it may become more challenging to design a timely, successful Phase 3 clinical trial for CRLX101 for patients with RCC. These factors include differences in the design requirements for a Phase 3 trial as compared to a Phase 2 trial and recent product approvals in this indication, which are significantly impacting the standard of care, as well as the regulatory thresholds for approval in RCC.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8" w:name="page39"/>
    <w:bookmarkEnd w:id="38"/>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Another challenge is that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our product candidates warrant marketing approval, the FDA or comparable non-U.S. regulatory authorities may disagree and may not grant marketing approval of our product candidates.</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type and disease progression of the patient populations, changes in and adherence to the clinical trial protocols, variability in the quality of clinical supply batches and the rate of dropout among clinical trial participants. Any Phase 2, Phase 3 or other clinical trials that we may conduct may not demonstrate the efficacy and safety necessary to obtain regulatory approval to market our product candidates.</w:t>
      </w:r>
    </w:p>
    <w:p>
      <w:pPr>
        <w:spacing w:after="0" w:line="180" w:lineRule="exact"/>
        <w:rPr>
          <w:sz w:val="20"/>
          <w:szCs w:val="20"/>
          <w:color w:val="auto"/>
        </w:rPr>
      </w:pPr>
    </w:p>
    <w:p>
      <w:pPr>
        <w:ind w:right="2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any of a number of possible unforeseen events in connection with clinical trials of our product candidates, potential marketing approval or commercialization of our product candidates could be delayed or prevented.</w:t>
      </w:r>
    </w:p>
    <w:p>
      <w:pPr>
        <w:spacing w:after="0" w:line="159"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marketing approval of our product candidates, including:</w:t>
      </w:r>
    </w:p>
    <w:p>
      <w:pPr>
        <w:spacing w:after="0" w:line="54" w:lineRule="exact"/>
        <w:rPr>
          <w:sz w:val="20"/>
          <w:szCs w:val="20"/>
          <w:color w:val="auto"/>
        </w:rPr>
      </w:pPr>
    </w:p>
    <w:p>
      <w:pPr>
        <w:ind w:left="1040" w:right="160" w:hanging="519"/>
        <w:spacing w:after="0" w:line="200" w:lineRule="auto"/>
        <w:tabs>
          <w:tab w:leader="none" w:pos="10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clinical trials of our product candidates may produce unfavorable, incomplete or inconclusive results, such as with our Phase 2 clinical trial of CRLX101 as monotherapy for patients with advanced NSCLC who had progressed through one or two prior regimens of chemotherapy;</w:t>
      </w:r>
    </w:p>
    <w:p>
      <w:pPr>
        <w:spacing w:after="0" w:line="89" w:lineRule="exact"/>
        <w:rPr>
          <w:rFonts w:ascii="Times New Roman" w:cs="Times New Roman" w:eastAsia="Times New Roman" w:hAnsi="Times New Roman"/>
          <w:sz w:val="29"/>
          <w:szCs w:val="29"/>
          <w:color w:val="auto"/>
          <w:vertAlign w:val="superscript"/>
        </w:rPr>
      </w:pPr>
    </w:p>
    <w:p>
      <w:pPr>
        <w:ind w:left="1040" w:right="340" w:hanging="519"/>
        <w:spacing w:after="0" w:line="200" w:lineRule="auto"/>
        <w:tabs>
          <w:tab w:leader="none" w:pos="10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decide, or regulators may advise us, to conduct additional clinical trials or we may decide to abandon an indication or development program following changes in the regulatory environment;</w:t>
      </w:r>
    </w:p>
    <w:p>
      <w:pPr>
        <w:ind w:left="1040" w:hanging="519"/>
        <w:spacing w:after="0" w:line="233" w:lineRule="auto"/>
        <w:tabs>
          <w:tab w:leader="none" w:pos="10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decide to change a dosing schedule for any given clinical trial based on relevant data;</w:t>
      </w:r>
    </w:p>
    <w:p>
      <w:pPr>
        <w:spacing w:after="0" w:line="110" w:lineRule="exact"/>
        <w:rPr>
          <w:rFonts w:ascii="Times New Roman" w:cs="Times New Roman" w:eastAsia="Times New Roman" w:hAnsi="Times New Roman"/>
          <w:sz w:val="29"/>
          <w:szCs w:val="29"/>
          <w:color w:val="auto"/>
          <w:vertAlign w:val="superscript"/>
        </w:rPr>
      </w:pPr>
    </w:p>
    <w:p>
      <w:pPr>
        <w:ind w:left="1040" w:right="40" w:hanging="519"/>
        <w:spacing w:after="0" w:line="191" w:lineRule="auto"/>
        <w:tabs>
          <w:tab w:leader="none" w:pos="10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number of patients required for clinical trials of our product candidates may be larger than we anticipate, patient enrollment in these clinical trials may be slower than we anticipate or participants may drop out of these clinical trials at a higher rate than we anticipate;</w:t>
      </w:r>
    </w:p>
    <w:p>
      <w:pPr>
        <w:spacing w:after="0" w:line="90" w:lineRule="exact"/>
        <w:rPr>
          <w:rFonts w:ascii="Times New Roman" w:cs="Times New Roman" w:eastAsia="Times New Roman" w:hAnsi="Times New Roman"/>
          <w:sz w:val="29"/>
          <w:szCs w:val="29"/>
          <w:color w:val="auto"/>
          <w:vertAlign w:val="superscript"/>
        </w:rPr>
      </w:pPr>
    </w:p>
    <w:p>
      <w:pPr>
        <w:ind w:left="1040" w:hanging="519"/>
        <w:spacing w:after="0" w:line="200" w:lineRule="auto"/>
        <w:tabs>
          <w:tab w:leader="none" w:pos="10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supply of product candidates may be insufficient to complete our clinical trials as planned due to a batch failure, a lack of funds, a change in priorities, planning errors or other reasons;</w:t>
      </w:r>
    </w:p>
    <w:p>
      <w:pPr>
        <w:spacing w:after="0" w:line="89" w:lineRule="exact"/>
        <w:rPr>
          <w:rFonts w:ascii="Times New Roman" w:cs="Times New Roman" w:eastAsia="Times New Roman" w:hAnsi="Times New Roman"/>
          <w:sz w:val="29"/>
          <w:szCs w:val="29"/>
          <w:color w:val="auto"/>
          <w:vertAlign w:val="superscript"/>
        </w:rPr>
      </w:pPr>
    </w:p>
    <w:p>
      <w:pPr>
        <w:ind w:left="1040" w:right="200" w:hanging="519"/>
        <w:spacing w:after="0" w:line="200" w:lineRule="auto"/>
        <w:tabs>
          <w:tab w:leader="none" w:pos="10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third party contractors, including those manufacturing our product candidates or components or ingredients thereof or conducting clinical trials on our behalf, may fail to comply with regulatory requirements or meet our expectations in a timely manner or at all;</w:t>
      </w:r>
    </w:p>
    <w:p>
      <w:pPr>
        <w:spacing w:after="0" w:line="89" w:lineRule="exact"/>
        <w:rPr>
          <w:rFonts w:ascii="Times New Roman" w:cs="Times New Roman" w:eastAsia="Times New Roman" w:hAnsi="Times New Roman"/>
          <w:sz w:val="29"/>
          <w:szCs w:val="29"/>
          <w:color w:val="auto"/>
          <w:vertAlign w:val="superscript"/>
        </w:rPr>
      </w:pPr>
    </w:p>
    <w:p>
      <w:pPr>
        <w:ind w:left="1040" w:right="320" w:hanging="519"/>
        <w:spacing w:after="0" w:line="200" w:lineRule="auto"/>
        <w:tabs>
          <w:tab w:leader="none" w:pos="10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ind w:left="1040" w:hanging="519"/>
        <w:spacing w:after="0" w:line="233" w:lineRule="auto"/>
        <w:tabs>
          <w:tab w:leader="none" w:pos="10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investigators may deviate from the trial protocol, fail to conduct the trial in accordance with regulatory requirements or misreport study data;</w:t>
      </w:r>
    </w:p>
    <w:p>
      <w:pPr>
        <w:spacing w:after="0" w:line="110" w:lineRule="exact"/>
        <w:rPr>
          <w:rFonts w:ascii="Times New Roman" w:cs="Times New Roman" w:eastAsia="Times New Roman" w:hAnsi="Times New Roman"/>
          <w:sz w:val="29"/>
          <w:szCs w:val="29"/>
          <w:color w:val="auto"/>
          <w:vertAlign w:val="superscript"/>
        </w:rPr>
      </w:pPr>
    </w:p>
    <w:p>
      <w:pPr>
        <w:ind w:left="1040" w:right="60" w:hanging="519"/>
        <w:spacing w:after="0" w:line="191" w:lineRule="auto"/>
        <w:tabs>
          <w:tab w:leader="none" w:pos="10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90" w:lineRule="exact"/>
        <w:rPr>
          <w:rFonts w:ascii="Times New Roman" w:cs="Times New Roman" w:eastAsia="Times New Roman" w:hAnsi="Times New Roman"/>
          <w:sz w:val="29"/>
          <w:szCs w:val="29"/>
          <w:color w:val="auto"/>
          <w:vertAlign w:val="superscript"/>
        </w:rPr>
      </w:pPr>
    </w:p>
    <w:p>
      <w:pPr>
        <w:ind w:left="1040" w:right="220" w:hanging="519"/>
        <w:spacing w:after="0" w:line="200" w:lineRule="auto"/>
        <w:tabs>
          <w:tab w:leader="none" w:pos="10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prospective clinical trial sites may be unwilling to participate in one or more of our combination clinical trials due to a perceived difficulty in obtaining reimbursement from managed care plans, government, or other third party payors;</w:t>
      </w:r>
    </w:p>
    <w:p>
      <w:pPr>
        <w:spacing w:after="0" w:line="89" w:lineRule="exact"/>
        <w:rPr>
          <w:rFonts w:ascii="Times New Roman" w:cs="Times New Roman" w:eastAsia="Times New Roman" w:hAnsi="Times New Roman"/>
          <w:sz w:val="29"/>
          <w:szCs w:val="29"/>
          <w:color w:val="auto"/>
          <w:vertAlign w:val="superscript"/>
        </w:rPr>
      </w:pPr>
    </w:p>
    <w:p>
      <w:pPr>
        <w:ind w:left="1040" w:right="160" w:hanging="519"/>
        <w:spacing w:after="0" w:line="214" w:lineRule="auto"/>
        <w:tabs>
          <w:tab w:leader="none" w:pos="10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patients who enroll in a clinical trial, or the investigators enrolling such patients, may misrepresent the patients’ eligibility to participate in the trial or may otherwise not comply with the clinical trial protocol, resulting in the need to drop the patients from the clinical trial, increase the enrollment size for the clinical trial or extend the clinical trial’s duration;</w:t>
      </w:r>
    </w:p>
    <w:p>
      <w:pPr>
        <w:ind w:left="1040" w:hanging="519"/>
        <w:spacing w:after="0" w:line="233" w:lineRule="auto"/>
        <w:tabs>
          <w:tab w:leader="none" w:pos="10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any given trial we may find it necessary to open more clinical trial sites than originally planned;</w:t>
      </w:r>
    </w:p>
    <w:p>
      <w:pPr>
        <w:spacing w:after="0" w:line="110" w:lineRule="exact"/>
        <w:rPr>
          <w:rFonts w:ascii="Times New Roman" w:cs="Times New Roman" w:eastAsia="Times New Roman" w:hAnsi="Times New Roman"/>
          <w:sz w:val="29"/>
          <w:szCs w:val="29"/>
          <w:color w:val="auto"/>
          <w:vertAlign w:val="superscript"/>
        </w:rPr>
      </w:pPr>
    </w:p>
    <w:p>
      <w:pPr>
        <w:ind w:left="1040" w:right="80" w:hanging="519"/>
        <w:spacing w:after="0" w:line="216" w:lineRule="auto"/>
        <w:tabs>
          <w:tab w:leader="none" w:pos="10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have to suspend or terminate one or more clinical trials of our product candidates for various reasons, including unfavorable, incomplete or inconclusive data, a change in priorities, a determination that the path to commercialization is too difficult or uncertain, a lack of sufficient funding, changes in the competitive or regulatory landscape, a finding that the participants are being exposed to unacceptable health risks, unexpected or serious adverse events or other unexpected characteristics of a product candidate;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9" w:name="page40"/>
    <w:bookmarkEnd w:id="39"/>
    <w:p>
      <w:pPr>
        <w:ind w:left="1040" w:hanging="519"/>
        <w:spacing w:after="0" w:line="227" w:lineRule="auto"/>
        <w:tabs>
          <w:tab w:leader="none" w:pos="104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respective standards of conduct, a finding that the participants are being exposed to unacceptable health risks, unexpected or serious adverse events or other unexpected characteristics of the product candidate or other therapeutic agents used in our clinical trials or findings of undesirable effects caused by a chemically or mechanistically similar drug or drug candidate;</w:t>
      </w:r>
    </w:p>
    <w:p>
      <w:pPr>
        <w:spacing w:after="0" w:line="89" w:lineRule="exact"/>
        <w:rPr>
          <w:rFonts w:ascii="Times New Roman" w:cs="Times New Roman" w:eastAsia="Times New Roman" w:hAnsi="Times New Roman"/>
          <w:sz w:val="29"/>
          <w:szCs w:val="29"/>
          <w:color w:val="auto"/>
          <w:vertAlign w:val="superscript"/>
        </w:rPr>
      </w:pPr>
    </w:p>
    <w:p>
      <w:pPr>
        <w:jc w:val="both"/>
        <w:ind w:left="1040" w:right="80" w:hanging="519"/>
        <w:spacing w:after="0" w:line="214" w:lineRule="auto"/>
        <w:tabs>
          <w:tab w:leader="none" w:pos="104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FDA or comparable non-U.S.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89" w:lineRule="exact"/>
        <w:rPr>
          <w:rFonts w:ascii="Times New Roman" w:cs="Times New Roman" w:eastAsia="Times New Roman" w:hAnsi="Times New Roman"/>
          <w:sz w:val="29"/>
          <w:szCs w:val="29"/>
          <w:color w:val="auto"/>
          <w:vertAlign w:val="superscript"/>
        </w:rPr>
      </w:pPr>
    </w:p>
    <w:p>
      <w:pPr>
        <w:ind w:left="1040" w:right="400" w:hanging="519"/>
        <w:spacing w:after="0" w:line="200" w:lineRule="auto"/>
        <w:tabs>
          <w:tab w:leader="none" w:pos="104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FDA or comparable non-U.S. regulatory authorities may fail to approve or subsequently find fault with the manufacturing processes or facilities of third party manufacturers with which we enter into agreements for clinical and commercial supplies;</w:t>
      </w:r>
    </w:p>
    <w:p>
      <w:pPr>
        <w:spacing w:after="0" w:line="89" w:lineRule="exact"/>
        <w:rPr>
          <w:rFonts w:ascii="Times New Roman" w:cs="Times New Roman" w:eastAsia="Times New Roman" w:hAnsi="Times New Roman"/>
          <w:sz w:val="29"/>
          <w:szCs w:val="29"/>
          <w:color w:val="auto"/>
          <w:vertAlign w:val="superscript"/>
        </w:rPr>
      </w:pPr>
    </w:p>
    <w:p>
      <w:pPr>
        <w:jc w:val="both"/>
        <w:ind w:left="1040" w:right="140" w:hanging="519"/>
        <w:spacing w:after="0" w:line="214" w:lineRule="auto"/>
        <w:tabs>
          <w:tab w:leader="none" w:pos="104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supply or quality of raw materials or manufactured product candidates or drugs (whether provided by us or third parties) or other materials necessary to conduct clinical trials of our product candidates may be insufficient, inadequate or not available at an acceptable cost, or we may experience interruptions in supply; and</w:t>
      </w:r>
    </w:p>
    <w:p>
      <w:pPr>
        <w:spacing w:after="0" w:line="89" w:lineRule="exact"/>
        <w:rPr>
          <w:rFonts w:ascii="Times New Roman" w:cs="Times New Roman" w:eastAsia="Times New Roman" w:hAnsi="Times New Roman"/>
          <w:sz w:val="29"/>
          <w:szCs w:val="29"/>
          <w:color w:val="auto"/>
          <w:vertAlign w:val="superscript"/>
        </w:rPr>
      </w:pPr>
    </w:p>
    <w:p>
      <w:pPr>
        <w:ind w:left="1040" w:right="140" w:hanging="519"/>
        <w:spacing w:after="0" w:line="200" w:lineRule="auto"/>
        <w:tabs>
          <w:tab w:leader="none" w:pos="104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approval policies or regulations of the FDA or comparable non-U.S. regulatory authorities may significantly change in a manner rendering our clinical data insufficient to obtain marketing approval.</w:t>
      </w:r>
    </w:p>
    <w:p>
      <w:pPr>
        <w:spacing w:after="0" w:line="198" w:lineRule="exact"/>
        <w:rPr>
          <w:sz w:val="20"/>
          <w:szCs w:val="20"/>
          <w:color w:val="auto"/>
        </w:rPr>
      </w:pPr>
    </w:p>
    <w:p>
      <w:pPr>
        <w:ind w:firstLine="518"/>
        <w:spacing w:after="0" w:line="274" w:lineRule="auto"/>
        <w:rPr>
          <w:sz w:val="20"/>
          <w:szCs w:val="20"/>
          <w:color w:val="auto"/>
        </w:rPr>
      </w:pPr>
      <w:r>
        <w:rPr>
          <w:rFonts w:ascii="Times New Roman" w:cs="Times New Roman" w:eastAsia="Times New Roman" w:hAnsi="Times New Roman"/>
          <w:sz w:val="17"/>
          <w:szCs w:val="17"/>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clinical trial delays may ultimately lead to the denial of marketing approval of any of our product candidates.</w:t>
      </w:r>
    </w:p>
    <w:p>
      <w:pPr>
        <w:spacing w:after="0" w:line="170" w:lineRule="exact"/>
        <w:rPr>
          <w:sz w:val="20"/>
          <w:szCs w:val="20"/>
          <w:color w:val="auto"/>
        </w:rPr>
      </w:pPr>
    </w:p>
    <w:p>
      <w:pPr>
        <w:ind w:right="1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intend to conduct additional clinical trials for certain of our product candidates at sites outside the United States, and the FDA may not accept data from trials conducted in such locations.</w:t>
      </w:r>
    </w:p>
    <w:p>
      <w:pPr>
        <w:spacing w:after="0" w:line="15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have conducted, currently are conducting and intend in the future to conduct, clinical trials outside the United States. Opening trial sites outside the United States may involve additional regulatory, administrative and financial burdens, including compliance with foreign and local requirements relating to regulatory submission and clinical trial practices. For example, in late 2014, we commenced in Australia the Phase 1 portion of a Phase 1/2a clinical trial of CRLX301 in patients with advanced solid tumor malignancies. In addition, in the first half of 2015, we expanded the RCC Trial to South Korea where we opened five additional clinical sites. We expect to continue to conduct clinical trials of our product candidates at sites outside the U.S.</w:t>
      </w:r>
    </w:p>
    <w:p>
      <w:pPr>
        <w:spacing w:after="0" w:line="184"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good clinical practices, including review and approval by an independent ethics committee and informed consent from trial patients. The trial population must also adequately represent the U.S. population, and the data must be applicable to the U.S. population and U.S. medical practice in ways that the FDA deems clinically meaningful.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our Phase 1/2a clinical trial of CRLX301 in Australia, for example, or any other trial that we conduct outside the United States, it would likely result in the need for additional clinical trials, which would be costly and time-consuming and delay or permanently halt our development of CRLX101, CRLX301 or any future product candidates.</w:t>
      </w:r>
    </w:p>
    <w:p>
      <w:pPr>
        <w:spacing w:after="0" w:line="186"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United States could have a significant impact on us. Risks inherent in conducting international clinical trials include:</w:t>
      </w:r>
    </w:p>
    <w:p>
      <w:pPr>
        <w:ind w:left="1040" w:hanging="519"/>
        <w:spacing w:after="0" w:line="207" w:lineRule="auto"/>
        <w:tabs>
          <w:tab w:leader="none" w:pos="104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foreign regulatory requirements that could burden or limit our ability to conduct our clinical trials;</w:t>
      </w:r>
    </w:p>
    <w:p>
      <w:pPr>
        <w:spacing w:after="0" w:line="110" w:lineRule="exact"/>
        <w:rPr>
          <w:rFonts w:ascii="Times New Roman" w:cs="Times New Roman" w:eastAsia="Times New Roman" w:hAnsi="Times New Roman"/>
          <w:sz w:val="29"/>
          <w:szCs w:val="29"/>
          <w:color w:val="auto"/>
          <w:vertAlign w:val="superscript"/>
        </w:rPr>
      </w:pPr>
    </w:p>
    <w:p>
      <w:pPr>
        <w:ind w:left="1040" w:right="220" w:hanging="519"/>
        <w:spacing w:after="0" w:line="191" w:lineRule="auto"/>
        <w:tabs>
          <w:tab w:leader="none" w:pos="104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increased costs and heightened supply constraints associated with the acquisition of standard of care drugs and/or combination or comparator agents for which we may bear responsibility in certain jurisdictions;</w:t>
      </w:r>
    </w:p>
    <w:p>
      <w:pPr>
        <w:ind w:left="1040" w:hanging="519"/>
        <w:spacing w:after="0" w:line="233" w:lineRule="auto"/>
        <w:tabs>
          <w:tab w:leader="none" w:pos="104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administrative burdens of conducting clinical trials under multiple foreign regulatory schema;</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foreign exchange fluctuations;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0" w:name="page41"/>
    <w:bookmarkEnd w:id="40"/>
    <w:p>
      <w:pPr>
        <w:ind w:left="1040" w:hanging="519"/>
        <w:spacing w:after="0"/>
        <w:tabs>
          <w:tab w:leader="none" w:pos="104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more burdensome manufacturing, customs, shipment and storage requirements;</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cultural differences in medical practice and clinical research;</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lack of consistency in standard of care from country to country;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diminished protection of intellectual property in some countries.</w:t>
      </w:r>
    </w:p>
    <w:p>
      <w:pPr>
        <w:spacing w:after="0" w:line="194" w:lineRule="exact"/>
        <w:rPr>
          <w:sz w:val="20"/>
          <w:szCs w:val="20"/>
          <w:color w:val="auto"/>
        </w:rPr>
      </w:pPr>
    </w:p>
    <w:p>
      <w:pPr>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demonstrate safety and efficacy to the satisfaction of the FDA and comparable non-U.S. regulators, we may incur additional costs or experience delays in completing, or ultimately be unable to complete, the development and commercialization of these product candidates.</w:t>
      </w:r>
    </w:p>
    <w:p>
      <w:pPr>
        <w:spacing w:after="0" w:line="175"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Comparable non-U.S. regulatory authorities, such as the EMA, impose similar restrictions. We may never receive such approvals. We must complete extensive preclinical development and clinical trials to demonstrate the safety and efficacy of our product candidates in humans before we will be able to obtain these approvals.</w:t>
      </w:r>
    </w:p>
    <w:p>
      <w:pPr>
        <w:spacing w:after="0" w:line="180"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have not previously submitted a new drug application, or an NDA, to the FDA or similar drug approval filings to comparable non-U.S. regulatory authorities for any of our product candidates.</w:t>
      </w:r>
    </w:p>
    <w:p>
      <w:pPr>
        <w:spacing w:after="0" w:line="17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and impair our ability to generate revenues from product sales, regulatory and commercialization milestones and royalties. In addition, if (1) we are required to conduct additional or different clinical trials or preclinical testing of our product candidates beyond the trials and testing that we contemplate, (2) we are unable to successfully complete clinical trials or preclinical testing of our product candidates, (3) the results of these trials or tests are unfavorable, incomplete or inconclusive, or (4) there are unacceptable safety concerns associated with our product candidates, we, in addition to incurring additional costs, may:</w:t>
      </w:r>
    </w:p>
    <w:p>
      <w:pPr>
        <w:ind w:left="1040" w:hanging="519"/>
        <w:spacing w:after="0" w:line="223" w:lineRule="auto"/>
        <w:tabs>
          <w:tab w:leader="none" w:pos="104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be delayed in obtaining marketing approval for our product candidates;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not obtain marketing approval at all;</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obtain approval for indications or patient populations that are not as broad as we intended or desired;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obtain approval with labeling that includes significant use or distribution restrictions or significant safety warnings, including boxed warnings;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be subject to additional post-marketing testing or other requirements; or</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be required to remove the product from the market after obtaining marketing approval.</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April 2015 we received fast track designation for CRLX101 for the treatment of metastatic RCC following progression through two or three prior lines of therapy. We may seek fast track designation for other indications or other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the FDA may still decide not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or stated intentions of our clinical development program.</w:t>
      </w:r>
    </w:p>
    <w:p>
      <w:pPr>
        <w:spacing w:after="0" w:line="185" w:lineRule="exact"/>
        <w:rPr>
          <w:sz w:val="20"/>
          <w:szCs w:val="20"/>
          <w:color w:val="auto"/>
        </w:rPr>
      </w:pPr>
    </w:p>
    <w:p>
      <w:pPr>
        <w:ind w:right="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59"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41" w:name="page42"/>
    <w:bookmarkEnd w:id="41"/>
    <w:p>
      <w:pPr>
        <w:ind w:right="220" w:firstLine="518"/>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qualifies as a breakthrough therapy, the FDA may later decide that the product no longer meets the conditions for qualification or decide that the time period for FDA review or approval will not be shortened.</w:t>
      </w:r>
    </w:p>
    <w:p>
      <w:pPr>
        <w:spacing w:after="0" w:line="184" w:lineRule="exact"/>
        <w:rPr>
          <w:sz w:val="20"/>
          <w:szCs w:val="20"/>
          <w:color w:val="auto"/>
        </w:rPr>
      </w:pPr>
    </w:p>
    <w:p>
      <w:pPr>
        <w:ind w:right="6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some of our product candidates, we will miss out on certain valuable incentives including a period of marketing exclusivity as well as federal grants, tax credits and a waiver of Prescription Drug User Fee Act filing fees.</w:t>
      </w:r>
    </w:p>
    <w:p>
      <w:pPr>
        <w:spacing w:after="0" w:line="15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intend to develop some product candidates that may be eligible for orphan drug designation from the FDA. Under the Orphan Drug Act, the FDA has discretion to designate a product as an orphan drug if it is designed to treat a rare disease or condition, which is defined as a patient population of less than 200,000 in the United States. The applicant that first obtains FDA approval for a designated orphan drug receives marketing exclusivity for use of that drug for the stated condition or disease for a period of seven years and becomes eligible for certain federal grants, tax credits and a waiver of Prescription Drug User Fee Act filing fees.</w:t>
      </w:r>
    </w:p>
    <w:p>
      <w:pPr>
        <w:spacing w:after="0" w:line="184"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For our product candidates that are eligible, we plan to rely on the exclusivity period under the Orphan Drug Act to attain a competitive position. If we do not obtain orphan drug exclusivity for our drug products that do not have broad patent protection, our competitors may then sell the same drug to treat the same condition and our revenues will be reduced. In May 2015, the FDA granted orphan drug designation to CRLX101 for the treatment of ovarian cancer.</w:t>
      </w:r>
    </w:p>
    <w:p>
      <w:pPr>
        <w:spacing w:after="0" w:line="176"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Even though we have obtained orphan drug designation for CRLX101 for the treatment of ovarian cancer, we still may not be the first to obtain marketing approval for any particular orphan indication. Further, even if we obtain orphan drug exclusivity for a product candidate, that exclusivity may not effectively protect it from competition because different drugs can be approved for the same condition. Even after an orphan drug is approved and granted orphan drug exclusivity, the FDA can subsequently approve the same drug for the same condition. Orphan drug designation neither shortens the development time or regulatory review time of a drug, nor gives the drug any advantage in the regulatory review or approval process.</w:t>
      </w:r>
    </w:p>
    <w:p>
      <w:pPr>
        <w:spacing w:after="0" w:line="180" w:lineRule="exact"/>
        <w:rPr>
          <w:sz w:val="20"/>
          <w:szCs w:val="20"/>
          <w:color w:val="auto"/>
        </w:rPr>
      </w:pPr>
    </w:p>
    <w:p>
      <w:pPr>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request Priority Review for one or more of our product candidates at the time of the submission of the NDA to the FDA. The FDA may not grant Priority Review for any of our product candidates. Moreover, even if the FDA designated Priority Review for one of our product candidates, that designation may not lead to a faster regulatory review or approval process and, in any event, would not assure FDA approval.</w:t>
      </w:r>
    </w:p>
    <w:p>
      <w:pPr>
        <w:spacing w:after="0" w:line="175"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A ten-month standard NDA review clock will begin at the conclusion of the 60 calendar day filing review period that starts on the date the FDA receives the original submission. This means the FDA has a total of twelve months from its receipt of the original submission to take regulatory action. We may be eligible for Priority Review designation for our NDA submission if the FDA determines that our product candidate treats a serious condition and, if approved, would provide a significant improvement in safety or effectiveness. The six-month Priority Review clock will begin at the conclusion of the 60 calendar day filing review period that starts on the date of FDA receipt of the original submission. Therefore, if granted Priority Review, the FDA has a total of eight months to take action on an application rather than the standard total of twelve months. We may request Priority Review for CRLX101 if and when we submit an NDA for CRLX101. Our current clinical development programs in areas of unmet medical need assume CRLX101 and/or CRLX301 will receive Priority Review. The FDA has broad discretion whether or not to grant Priority Review to a product candidate, so even if we believe a particular product candidate is eligible for such designation or status, the FDA may decide not to grant it. Thus, while the FDA has granted Priority Review to other oncology product candidates, CRLX101 or CRLX301 may not receive similar designation. Moreover, even if one of our product candidates is designated for Priority Review, such a designation does not necessarily mean a faster regulatory review process or necessarily confer any advantage with respect to approval compared to conventional FDA procedures. Receiving Priority Review from the FDA also does not guarantee approval within the eight-month review cycle or thereafter.</w:t>
      </w:r>
    </w:p>
    <w:p>
      <w:pPr>
        <w:spacing w:after="0" w:line="185" w:lineRule="exact"/>
        <w:rPr>
          <w:sz w:val="20"/>
          <w:szCs w:val="20"/>
          <w:color w:val="auto"/>
        </w:rPr>
      </w:pPr>
    </w:p>
    <w:p>
      <w:pPr>
        <w:jc w:val="both"/>
        <w:ind w:right="1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may in some instances be able to secure approval from the FDA or comparable non-U.S. regulatory authorities to use accelerated registration pathways. If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175" w:lineRule="exact"/>
        <w:rPr>
          <w:sz w:val="20"/>
          <w:szCs w:val="20"/>
          <w:color w:val="auto"/>
        </w:rPr>
      </w:pPr>
    </w:p>
    <w:p>
      <w:pPr>
        <w:ind w:right="480" w:firstLine="518"/>
        <w:spacing w:after="0" w:line="266" w:lineRule="auto"/>
        <w:rPr>
          <w:sz w:val="20"/>
          <w:szCs w:val="20"/>
          <w:color w:val="auto"/>
        </w:rPr>
      </w:pPr>
      <w:r>
        <w:rPr>
          <w:rFonts w:ascii="Times New Roman" w:cs="Times New Roman" w:eastAsia="Times New Roman" w:hAnsi="Times New Roman"/>
          <w:sz w:val="18"/>
          <w:szCs w:val="18"/>
          <w:color w:val="auto"/>
        </w:rPr>
        <w:t>We anticipate that we may seek an Accelerated Approval development pathway for certain indications for our product candidates. Under the Accelerated Approval provisions in the Federal Food, Drug, and Cosmetic Act, or FDCA, and the FDA’s implementing regulations, the FDA may grant Accelerated Approval to a product designed to treat a serious or life-threatening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ind w:right="20"/>
        <w:spacing w:after="0" w:line="254" w:lineRule="auto"/>
        <w:rPr>
          <w:sz w:val="20"/>
          <w:szCs w:val="20"/>
          <w:color w:val="auto"/>
        </w:rPr>
      </w:pPr>
      <w:r>
        <w:rPr>
          <w:rFonts w:ascii="Times New Roman" w:cs="Times New Roman" w:eastAsia="Times New Roman" w:hAnsi="Times New Roman"/>
          <w:sz w:val="18"/>
          <w:szCs w:val="18"/>
          <w:color w:val="auto"/>
        </w:rPr>
        <w:t>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contingent on the sponsor’s agreement to conduct, in a diligent manner, additional post-approval confirmatory studies to verify and describe the drug’s clinical profile or risks and benefits for Accelerated Approval. If such post-approval studies fail to confirm the drug’s clinical profile or risks and benefits, the FDA may withdraw its approval of the drug.</w:t>
      </w:r>
    </w:p>
    <w:p>
      <w:pPr>
        <w:spacing w:after="0" w:line="186"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If we choose to pursue Accelerated Approval, we intend to seek feedback from the FDA and will otherwise evaluate our ability to seek and receive such Accelerated Approval. There can be no assurance that the FDA will agree that our endpoint is an appropriate surrogate endpoint. There can also be no assurance that after our evaluation of the feedback and other factors we will decide to pursue or submit an NDA for Accelerated Approval or any other form of expedited development, review or approval. Similarly, there can be no assurance that after subsequent FDA feedback that we will continue to pursue or apply for Accelerated Approval or any other form of expedited development, review or approval, even if we initially decide to do so. Furthermore, if we decide to submit an application for Accelerated Approval, there can be no assurance that such submission or application will be accepted or that any expedited review or approval will be granted on a timely basis, or at all. The FDA or other non-U.S. authorities could also require us to conduct further studies prior to considering our application or granting approval of any type. Even if the FDA agreed that we could pursue an Accelerated Approval registration pathway, we might not be able to fulfill the FDA’s requirements with respect to chemistry, manufacturing and controls in a timely manner, which would cause delays, or approval might not be granted because our submission is deemed incomplete by the FDA.</w:t>
      </w:r>
    </w:p>
    <w:p>
      <w:pPr>
        <w:spacing w:after="0" w:line="186"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A failure to obtain Accelerated Approval or any other form of expedited development, review or approval for our product candidates would result in a longer time period to commercialize such product candidate, could increase the cost of development of such product candidate and could harm our competitive position in the marketplace.</w:t>
      </w:r>
    </w:p>
    <w:p>
      <w:pPr>
        <w:spacing w:after="0" w:line="172" w:lineRule="exact"/>
        <w:rPr>
          <w:sz w:val="20"/>
          <w:szCs w:val="20"/>
          <w:color w:val="auto"/>
        </w:rPr>
      </w:pPr>
    </w:p>
    <w:p>
      <w:pPr>
        <w:ind w:right="12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of CRLX101 or any of our product candidates may be identified during clinical development. Further, other unexpected properties of our product candidates may be identified during manufacture or development. Such adverse events or unexpected properties could delay or prevent the continued development and/or marketing approval of any such product candidate.</w:t>
      </w:r>
    </w:p>
    <w:p>
      <w:pPr>
        <w:spacing w:after="0" w:line="175"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Serious adverse events caused by, or other unexpected properties of, our product candidates could cause us, an institutional review board or regulatory authorities to interrupt, delay or halt clinical trials of one or more of our product candidates and could result in a more restrictive label or the delay or denial of marketing approval by the FDA or comparable non-U.S. regulatory authorities. If any of our product candidates is associated with serious adverse events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If we learn that the manufacture of our product candidates generates unexpected impurities or product degradants, these properties could contribute to serious adverse events and negatively impact our overall development cost and timelines as we address those properties. Many compounds that initially showed promise in clinical or earlier stage testing have later been found to cause serious or unexpected adverse events and negatively affect overall development costs and timelines, which may even prevent further development of the compound.</w:t>
      </w:r>
    </w:p>
    <w:p>
      <w:pPr>
        <w:spacing w:after="0" w:line="18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Both camptothecin, the anti-cancer payload of CRLX101, and docetaxel, the anti-cancer payload of CRLX301, have been associated with toxicities. These toxicities led to discontinuation of the clinical development in the case of camptothecin and have led to dose adjustments, treatment discontinuation and extensive supportive care in the case of docetaxel. While we believe that our Dynamic Tumor Targeting Platform has the potential to improve the unfavorable adverse event profiles of both camptothecin and docetaxel, if this hypothesis is wrong and we experience unexpected or more severe toxicities in our ongoing clinical trials or in clinical trials we conduct in the future, whether due to the inclusion of camptothecin or docetaxel or another therapeutic as the anti-cancer payload in our NDCs or otherwise, we may not receive approval to market, or achieve commercial success with respect to, any of our product candidates, which could prevent us from ever generating revenues or achieving profitability. In addition, our Dynamic Tumor Targeting Platform may have other limitations with respect to targeting tumors and limiting exposure of normal tissue to our NDCs’ anti-cancer payload. For example, liver tissue has pore sizes that are generally larger than other normal tissue, and therefore, our NDCs and their anti-cancer payloads may preferentially concentrate in the liver.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product candidates.</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development of new NDCs based on our Dynamic Tumor Targeting Platform is a key area of research for us. The drug discovery that we are conducting using our Dynamic Tumor Targeting Platform may not be successful in creating compounds that have commercial value or therapeutic utility. Our research programs may initially show promise in creating potential product candidates, yet fail to yield viable product candidates for clinical development for a number of reasons, including:</w:t>
      </w:r>
    </w:p>
    <w:p>
      <w:pPr>
        <w:ind w:left="1040" w:hanging="519"/>
        <w:spacing w:after="0" w:line="220" w:lineRule="auto"/>
        <w:tabs>
          <w:tab w:leader="none" w:pos="104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newly designed NDCs may not demonstrate satisfactory efficacy or other benefits, either alone or in combination with other therapeutics; or</w:t>
      </w:r>
    </w:p>
    <w:p>
      <w:pPr>
        <w:spacing w:after="0" w:line="110" w:lineRule="exact"/>
        <w:rPr>
          <w:rFonts w:ascii="Times New Roman" w:cs="Times New Roman" w:eastAsia="Times New Roman" w:hAnsi="Times New Roman"/>
          <w:sz w:val="29"/>
          <w:szCs w:val="29"/>
          <w:color w:val="auto"/>
          <w:vertAlign w:val="superscript"/>
        </w:rPr>
      </w:pPr>
    </w:p>
    <w:p>
      <w:pPr>
        <w:ind w:left="1040" w:right="540" w:hanging="519"/>
        <w:spacing w:after="0" w:line="191" w:lineRule="auto"/>
        <w:tabs>
          <w:tab w:leader="none" w:pos="104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potential product candidates may, on further study, be shown to have harmful toxicities or other characteristics that indicate that they are unlikely to be products that will receive marketing approval and achieve market acceptance.</w:t>
      </w:r>
    </w:p>
    <w:p>
      <w:pPr>
        <w:spacing w:after="0" w:line="19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To identify new product candidates, our research programs will require substantial technical, financial and human resources. We may be unsuccessful in our efforts to identify new potential product candidates. In addition, we may focus our efforts and resources on one or more potential product candidates that ultimately prove to be unsuccessful.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80" w:lineRule="exact"/>
        <w:rPr>
          <w:sz w:val="20"/>
          <w:szCs w:val="20"/>
          <w:color w:val="auto"/>
        </w:rPr>
      </w:pPr>
    </w:p>
    <w:p>
      <w:pPr>
        <w:ind w:right="1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one of our product candidates receives marketing approval, it may fail to achieve the degree of market acceptance by physicians, patients, third party payors and others in the medical community necessary for commercial success or the market opportunity for the product candidate may be smaller than we estimate.</w:t>
      </w:r>
    </w:p>
    <w:p>
      <w:pPr>
        <w:spacing w:after="0" w:line="17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have never commercialized a product. Even if CRLX101 or any of our other product candidates is approved by the appropriate regulatory authorities for marketing and sale, it may nonetheless fail to gain sufficient market acceptance by physicians, patients, third party payors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84" w:lineRule="exact"/>
        <w:rPr>
          <w:sz w:val="20"/>
          <w:szCs w:val="20"/>
          <w:color w:val="auto"/>
        </w:rPr>
      </w:pPr>
    </w:p>
    <w:p>
      <w:pPr>
        <w:jc w:val="both"/>
        <w:ind w:right="100" w:firstLine="518"/>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 party payors on the benefits of our product candidates may require significant resources and may not be successful. If any of our product candidates is approved but does not achieve an adequate level of market acceptance, we may not generate significant revenues and may not become profitable. The degree of market acceptance of CRLX101 or any of our other product candidates, if approved for commercial sale, will depend on a number of factors, including:</w:t>
      </w:r>
    </w:p>
    <w:p>
      <w:pPr>
        <w:ind w:left="1040" w:hanging="519"/>
        <w:spacing w:after="0" w:line="220" w:lineRule="auto"/>
        <w:tabs>
          <w:tab w:leader="none" w:pos="104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efficacy and safety of the product;</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potential advantages of the product compared to alternative treatments;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prevalence and severity of any side effects;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clinical indications for which the product is approved;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whether the product is designated under physician treatment guidelines as a first-line therapy or as a second- or third-line therapy;</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limitations or warnings, including distribution or use restrictions, contained in the product’s approved labeling;</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offer the product for sale at competitive prices;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establish and maintain pricing sufficient to realize a meaningful return on our investment;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product’s convenience and ease of administration compared to alternative treatments;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willingness of the target patient population to try, and of physicians to prescribe, the product;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strength of sales, marketing and distribution support;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availability of alternative treatments already approved or approval of other new products for the same indications;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changes in the standard of care for the targeted indications for the product;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timing of market introduction of our approved products as well as competitive products and other therapies;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availability and amount of reimbursement from government payors, managed care plans and other third party payors;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sectPr>
      </w:pPr>
    </w:p>
    <w:bookmarkStart w:id="44" w:name="page45"/>
    <w:bookmarkEnd w:id="44"/>
    <w:p>
      <w:pPr>
        <w:ind w:left="1040" w:hanging="519"/>
        <w:spacing w:after="0"/>
        <w:tabs>
          <w:tab w:leader="none" w:pos="104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strength and efficacy of our marketing and distribution efforts;</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adverse publicity about the product or favorable publicity about competitive products;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potential product liability claims.</w:t>
      </w:r>
    </w:p>
    <w:p>
      <w:pPr>
        <w:spacing w:after="0" w:line="19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estimate precisely. Our estimates of the potential market opportunities are predicated on many assumptions, including industry knowledge and publications, third 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80" w:lineRule="exact"/>
        <w:rPr>
          <w:sz w:val="20"/>
          <w:szCs w:val="20"/>
          <w:color w:val="auto"/>
        </w:rPr>
      </w:pPr>
    </w:p>
    <w:p>
      <w:pPr>
        <w:ind w:right="6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5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drug is less effective than previously believed or causes undesirable side effects that were not previously identified, any of the following adverse events could occur:</w:t>
      </w:r>
    </w:p>
    <w:p>
      <w:pPr>
        <w:ind w:left="1040" w:hanging="519"/>
        <w:spacing w:after="0" w:line="220" w:lineRule="auto"/>
        <w:tabs>
          <w:tab w:leader="none" w:pos="104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may be required to recall the drug or change the way the drug is administered;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additional restrictions may be imposed on the marketing of, or the manufacturing processes for, the particular drug;</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may be subject to fines, injunctions or the imposition of civil or criminal penalties;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regulatory authorities may require the addition of labeling statements, such as a “black box” warning or a contraindication;</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may be required to create a Medication Guide outlining the risks of the previously unidentified side effects for distribution to patients;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could be sued and held liable for harm caused to patients;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drug may become less competitive;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reputation may suffer.</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221" w:lineRule="exact"/>
        <w:rPr>
          <w:sz w:val="20"/>
          <w:szCs w:val="20"/>
          <w:color w:val="auto"/>
        </w:rPr>
      </w:pPr>
    </w:p>
    <w:p>
      <w:pPr>
        <w:ind w:right="6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acceptable sales, marketing and distribution arrangements with third parties, we may not be successful in commercializing any product candidates that we develop, if and when those product candidates are approved.</w:t>
      </w:r>
    </w:p>
    <w:p>
      <w:pPr>
        <w:spacing w:after="0" w:line="17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do not have a sales, marketing or distribution infrastructure and have limited experience in the sale, marketing or distribution of pharmaceutical products. To achieve commercial success for any approved product, we must either develop a sales and marketing organization or outsource these functions to third parties. If approved, we expect to commercialize our lead product candidates in the United States directly with a small and highly focused commercialization organization. The development of sales, marketing and distribution capabilities will require substantial resources, will be time-consuming and could delay any product launch. We expect that we will commence the development of these capabilities prior to receiving approval of any of our product candidates. If the commercial launch of a product candidate for which we recruit a sales force and establish marketing and distribution capabilities is delayed or does not occur for any reason, we could have prematurely or unnecessarily incurred these commercialization costs. Such a delay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45" w:name="page46"/>
    <w:bookmarkEnd w:id="45"/>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expect to seek one or more strategic partners for commercialization of our product candidates outside the United States.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84" w:lineRule="exact"/>
        <w:rPr>
          <w:sz w:val="20"/>
          <w:szCs w:val="20"/>
          <w:color w:val="auto"/>
        </w:rPr>
      </w:pPr>
    </w:p>
    <w:p>
      <w:pPr>
        <w:ind w:right="900" w:firstLine="518"/>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either on our own or in collaboration with third parties, we will not be successful in commercializing any of our product candidates that receive marketing approval.</w:t>
      </w:r>
    </w:p>
    <w:p>
      <w:pPr>
        <w:spacing w:after="0" w:line="158" w:lineRule="exact"/>
        <w:rPr>
          <w:sz w:val="20"/>
          <w:szCs w:val="20"/>
          <w:color w:val="auto"/>
        </w:rPr>
      </w:pPr>
    </w:p>
    <w:p>
      <w:pPr>
        <w:ind w:right="6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pharmaceutical and biotechnology companies and our operating results may suffer if we fail to compete effectively.</w:t>
      </w:r>
    </w:p>
    <w:p>
      <w:pPr>
        <w:spacing w:after="0" w:line="15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expect that we will face significant competition from major pharmaceutical companies, specialty pharmaceutical companies and biotechnology companies worldwide with respect to CRLX101, CRLX301 and any future product candidates that we may seek to develop or commercialize. Specifically, due to the large unmet medical need, global demographics and relatively attractive reimbursement dynamics, the oncology market is fiercely competitive and there are a number of large pharmaceutical and biotechnology companies that currently market and sell products or are pursuing the development of product candidates for the treatment of cancer. Our competitors may succeed in developing, acquiring or licensing technologies and drug products that are more effective, have fewer or more tolerable adverse events or are less costly than any product candidates that we are currently developing or that we may develop, which could render our product candidates obsolete and noncompetitive.</w:t>
      </w:r>
    </w:p>
    <w:p>
      <w:pPr>
        <w:spacing w:after="0" w:line="185"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Companies with marketed nanotechnology-based oncology products include Celgene Corporation (Abraxane® (nab-paclitaxel) indicated for breast cancer, NSCLC and pancreatic cancer), Janssen Products, LP (Doxil indicated for ovarian cancer and, in combination with Velcade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(bortezomib), for multiple myeloma), Merrimack Pharmaceuticals, Inc. (Onivyde™ (irinotecan liposomal injection) indicated for pancreatic and colorectal cancer), Spectrum Pharmaceuticals, Inc. (Marqibo ® (vincristine sulfate liposome injection) indicated for relapsed Philadelphia chromosome-negative acute lymphoblastic leukemia) and. Companies with nanotechnology-based oncology product candidates in clinical development include, without limitation, BIND Therapeutics, Inc. (BIND 014 for squamous NSCLC, urothelial carcinoma, cholangiocarcinoma, cervical cancer and squamous cell carcinoma of the head and</w:t>
      </w:r>
    </w:p>
    <w:p>
      <w:pPr>
        <w:ind w:right="220"/>
        <w:spacing w:after="0" w:line="254" w:lineRule="auto"/>
        <w:rPr>
          <w:sz w:val="20"/>
          <w:szCs w:val="20"/>
          <w:color w:val="auto"/>
        </w:rPr>
      </w:pPr>
      <w:r>
        <w:rPr>
          <w:rFonts w:ascii="Times New Roman" w:cs="Times New Roman" w:eastAsia="Times New Roman" w:hAnsi="Times New Roman"/>
          <w:sz w:val="18"/>
          <w:szCs w:val="18"/>
          <w:color w:val="auto"/>
        </w:rPr>
        <w:t>neck), Celator Pharmaceuticals, Inc. (CPX-351 for acute myeloid leukemia), Celsion Corporation (ThermoDox® (lyso-thermosensitive liposomal doxorubicin) for liver cancer and breast cancer), Cytimmune Sciences, Inc. (CYT-6091 for NSCLC), Cristal Delivery B.V. d/b/a Cristal Therapeutics (CriPec® docetaxel for oncology), Nektar Therapeutics (NKTR102 for solid tumors), Nippon Kayku Seizo Co., Ltd. (NK105 in breast cancer), Starpharma Holdings Ltd. (DEP® docetaxel for oncology), and Supratek Pharma Inc. (SP1049C for solid tumors).</w:t>
      </w:r>
    </w:p>
    <w:p>
      <w:pPr>
        <w:spacing w:after="0" w:line="18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 candidates before we are able to obtain approval for our product candidates, which could result in our competitors establishing a strong market position before we are able to enter the market. The competition for CRLX101 in our targeted indications includes the following:</w:t>
      </w:r>
    </w:p>
    <w:p>
      <w:pPr>
        <w:spacing w:after="0" w:line="17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Renal Cell Carcinoma. </w:t>
      </w:r>
      <w:r>
        <w:rPr>
          <w:rFonts w:ascii="Times New Roman" w:cs="Times New Roman" w:eastAsia="Times New Roman" w:hAnsi="Times New Roman"/>
          <w:sz w:val="18"/>
          <w:szCs w:val="18"/>
          <w:color w:val="auto"/>
        </w:rPr>
        <w:t>In relapsed RCC, the FDA-approved therapies commonly used for treatment represent several mechanistic classes — immune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checkpoint inhibitors of PD-1, tyrosine kinase inhibitors, or TKIs, including small molecules and antibody to VEGF ligand, Avastin, and inhibitors of mTOR</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and there are no approved cytotoxic drugs that we are aware of. For example, Bristol-Myers Squibb Company’s PD-1 antibody Opdivo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(nivolumab) is approved in relapsed RCC following progression on one targeted therapy. There are also several drugs in development that have the potential to obtain FDA marketing approval and change the standard of care. If this occurs, currently available treatments could be displaced and our commercial opportunity could be reduced. Antibodies against PD-1/PD-L1 and CTL-A4 are in late stage development in first line RCC, both as monotherapies and in combination with other agents including Avastin and small molecule TKIs. Bristol-Myers Squibb is also developing Opdivo in combination with Yervoy™ (ipilimumab) in first line, Merck is developing Keytruda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(pembrolizumab) in combination with Votrient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(pazopanib) in first line and Roche is developing a PD-L1 inhibitor, atezolizumab, in combination with Avastin in first line. Argos Therapeutics, Inc. is developing AGS-003, a dendritic cell therapy, in first line RCC for patients with unfavorable risk. New small molecule TKIs are also in development. Exelixis Inc.’s TKI, Cometriq</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(cabozantinib), TRACON Pharmaceuticals, Inc.’s TRC105, and Acceleron Pharma, Inc.’s dalantercept (the latter two are in combination with Inlyta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(axitinib)) are in development in second line or later stage relapsed RCC. Eisai Co., Ltd. is developing Lenvima® (lenvantinib) in combination with Afinitor® (everolimus) in second line. AVEO Pharmaceuticals, Inc. is developing tivozanib in third line.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6" w:name="page47"/>
    <w:bookmarkEnd w:id="46"/>
    <w:p>
      <w:pPr>
        <w:ind w:firstLine="518"/>
        <w:spacing w:after="0" w:line="258" w:lineRule="auto"/>
        <w:rPr>
          <w:sz w:val="20"/>
          <w:szCs w:val="20"/>
          <w:color w:val="auto"/>
        </w:rPr>
      </w:pPr>
      <w:r>
        <w:rPr>
          <w:rFonts w:ascii="Times New Roman" w:cs="Times New Roman" w:eastAsia="Times New Roman" w:hAnsi="Times New Roman"/>
          <w:sz w:val="18"/>
          <w:szCs w:val="18"/>
          <w:color w:val="auto"/>
        </w:rPr>
        <w:t>Although most of these product candidates are being tested for earlier lines of therapy, they also have the potential to change the standard of care in later lines of therapy in advanced RCC, and to impact the regulatory thresholds for product approvals in this setting. These factors could create questions about the optimal sequence of agents and, among other things, could change the role of Avastin in the treatment of RCC or result in existing first-line therapies being prescribed instead of later lines of therapy. Determining the optimal sequence of agents could be further complicated if their approval and/or availability is different in the United States and Europe. If this occurs, it would potentially reduce the commercial opportunity for CRLX101 in relapsed RCC.</w:t>
      </w:r>
    </w:p>
    <w:p>
      <w:pPr>
        <w:spacing w:after="0" w:line="182"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Relapsed Ovarian Cancer</w:t>
      </w:r>
      <w:r>
        <w:rPr>
          <w:rFonts w:ascii="Times New Roman" w:cs="Times New Roman" w:eastAsia="Times New Roman" w:hAnsi="Times New Roman"/>
          <w:sz w:val="18"/>
          <w:szCs w:val="18"/>
          <w:color w:val="auto"/>
        </w:rPr>
        <w:t>. In relapsed ovarian cancer, the recent FDA approvals of Avastin with chemotherapy and Lynparza in BRCA mutated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has changed the standard of care, which could reduce the commercial opportunity for CRLX101 in this indication. In addition, multiple companies are developing other therapeutic candidates, which are at various stages of development. For example, Abbvie Inc., Clovis Oncology, Inc. Medivation Inc., and TESARO Inc. all have PARP inhibitors in development in BRCA mutated ovarian cancer and breast cancer. ImmunoGen is also developing IMGN853 in folate receptor positive ovarian cancer. OncoMed Pharmaceuticals is developing demcizumab, and Genentech, Inc. is developing DMOT4039A. Although each of these agents has the potential to be used in combination with CRLX101, thereby expanding the market for CRLX101, they also have the potential to compete with CRLX101.</w:t>
      </w:r>
    </w:p>
    <w:p>
      <w:pPr>
        <w:spacing w:after="0" w:line="185" w:lineRule="exact"/>
        <w:rPr>
          <w:sz w:val="20"/>
          <w:szCs w:val="20"/>
          <w:color w:val="auto"/>
        </w:rPr>
      </w:pPr>
    </w:p>
    <w:p>
      <w:pPr>
        <w:ind w:right="220" w:firstLine="518"/>
        <w:spacing w:after="0" w:line="256" w:lineRule="auto"/>
        <w:rPr>
          <w:sz w:val="20"/>
          <w:szCs w:val="20"/>
          <w:color w:val="auto"/>
        </w:rPr>
      </w:pPr>
      <w:r>
        <w:rPr>
          <w:rFonts w:ascii="Times New Roman" w:cs="Times New Roman" w:eastAsia="Times New Roman" w:hAnsi="Times New Roman"/>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4" w:lineRule="exact"/>
        <w:rPr>
          <w:sz w:val="20"/>
          <w:szCs w:val="20"/>
          <w:color w:val="auto"/>
        </w:rPr>
      </w:pPr>
    </w:p>
    <w:p>
      <w:pPr>
        <w:jc w:val="both"/>
        <w:ind w:right="32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non-U.S.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7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 support of an ANDA, a generic manufacturer need not conduct clinical studies.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may be typically lost to the generic product.</w:t>
      </w:r>
    </w:p>
    <w:p>
      <w:pPr>
        <w:spacing w:after="0" w:line="18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in which such exclusivity has been granted, an ANDA may not be filed with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While we believe that CRLX101 would be treated as a new chemical entity by the FDA and, therefore, if approved, should be afforded five years of data exclusivity, the FDA may disagree with that conclusion and may approve generic products after a period that is less than five years. Our other product candidates, including CRLX301, may be treated as new chemical entities as well, but at this point we cannot predict the probability of success in that regard. Manufacturers may seek to launch these generic products following the expiration of the applicable marketing exclusivity period, even if we still have patent protection for our product.</w:t>
      </w:r>
    </w:p>
    <w:p>
      <w:pPr>
        <w:spacing w:after="0" w:line="189"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7" w:name="page48"/>
    <w:bookmarkEnd w:id="47"/>
    <w:p>
      <w:pPr>
        <w:jc w:val="both"/>
        <w:ind w:right="6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CRLX301 is, and any additional product candidate that we may develop in the future may be, an NDC that includes a generically available therapeutic as its anti-cancer payload. If physicians and/or third party payors do not believe our product offers substantial advantages over other therapies incorporating the same generic anti-cancer payload, we may not be able to successfully commercialize our product.</w:t>
      </w:r>
    </w:p>
    <w:p>
      <w:pPr>
        <w:spacing w:after="0" w:line="17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Although we have intellectual property rights, including composition of matter patents, covering our product candidates, if approved, we expect that our product candidates will compete in the same indications against other nanoparticles and delivery platforms incorporating the same generic therapeutics. In particular, if any of our product candidates is approved and becomes commercially successful, other companies may intensify their efforts to develop a competing product that includes the corresponding generic therapeutic. If physicians, rightly or wrongly, do not believe that a product that we develop offers substantial advantages over another nanoparticle or delivery platform incorporating the same generic therapeutic, physicians might not prescribe our product. In addition, third party payors might refuse to provide reimbursement for a product that we develop when another nanoparticle or delivery platform incorporating the same generic therapeutic offers a cheaper alternative therapy in the same indication, or might otherwise encourage use of another nanoparticle or delivery platform incorporating the same generic therapeutic over our product, even if our product possesses favorable pharmaceutical properties.</w:t>
      </w:r>
    </w:p>
    <w:p>
      <w:pPr>
        <w:spacing w:after="0" w:line="185" w:lineRule="exact"/>
        <w:rPr>
          <w:sz w:val="20"/>
          <w:szCs w:val="20"/>
          <w:color w:val="auto"/>
        </w:rPr>
      </w:pPr>
    </w:p>
    <w:p>
      <w:pPr>
        <w:ind w:right="1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that we develop, the product may become subject to unfavorable pricing regulations, third party payor reimbursement practices or healthcare reform initiatives that could harm our business.</w:t>
      </w:r>
    </w:p>
    <w:p>
      <w:pPr>
        <w:spacing w:after="0" w:line="159"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at limited levels, we may not be able to successfully commercialize our product candidates. Even if coverage is provided, the approved reimbursement amount may not be high enough to allow us to establish and maintain pricing sufficient to realize a meaningful return on our investment.</w:t>
      </w:r>
    </w:p>
    <w:p>
      <w:pPr>
        <w:spacing w:after="0" w:line="184"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 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89" w:lineRule="exact"/>
        <w:rPr>
          <w:sz w:val="20"/>
          <w:szCs w:val="20"/>
          <w:color w:val="auto"/>
        </w:rPr>
      </w:pPr>
    </w:p>
    <w:p>
      <w:pPr>
        <w:jc w:val="both"/>
        <w:ind w:right="340" w:firstLine="518"/>
        <w:spacing w:after="0" w:line="255" w:lineRule="auto"/>
        <w:rPr>
          <w:sz w:val="20"/>
          <w:szCs w:val="20"/>
          <w:color w:val="auto"/>
        </w:rPr>
      </w:pPr>
      <w:r>
        <w:rPr>
          <w:rFonts w:ascii="Times New Roman" w:cs="Times New Roman" w:eastAsia="Times New Roman" w:hAnsi="Times New Roman"/>
          <w:sz w:val="18"/>
          <w:szCs w:val="18"/>
          <w:color w:val="auto"/>
        </w:rPr>
        <w:t>Our ability to commercialize CRLX101 or any other product candidate will depend in part on the extent to which coverage and reimbursement for these products and related treatments will be available from government health administration authorities, private health insurers and other organizations. Government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Government authorities and third 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 party payors do not provide adequate coverage or reimbursement, our prospects for revenue and profitability will suffer.</w:t>
      </w:r>
    </w:p>
    <w:p>
      <w:pPr>
        <w:spacing w:after="0" w:line="190"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non-U.S.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4"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addition, increasingly, third party payors are requiring higher levels of evidence of the benefits and clinical outcomes of new technologies and are challenging the prices charged. We cannot be sure that coverage will be available for any product candidate that we, or others, commercialize and, if available, that the reimbursement rates will be adequate. Further, the net reimbursement for drug products may be subject to additional reductions if there are changes to laws that presently restrict imports of drugs from countries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8" w:name="page49"/>
    <w:bookmarkEnd w:id="48"/>
    <w:p>
      <w:pPr>
        <w:ind w:right="260"/>
        <w:spacing w:after="0" w:line="266" w:lineRule="auto"/>
        <w:rPr>
          <w:sz w:val="20"/>
          <w:szCs w:val="20"/>
          <w:color w:val="auto"/>
        </w:rPr>
      </w:pPr>
      <w:r>
        <w:rPr>
          <w:rFonts w:ascii="Times New Roman" w:cs="Times New Roman" w:eastAsia="Times New Roman" w:hAnsi="Times New Roman"/>
          <w:sz w:val="18"/>
          <w:szCs w:val="18"/>
          <w:color w:val="auto"/>
        </w:rPr>
        <w:t>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financial condition.</w:t>
      </w:r>
    </w:p>
    <w:p>
      <w:pPr>
        <w:spacing w:after="0" w:line="172"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15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the clinical testing of our product candidates despite obtaining informed consents from our clinical trial participants. We will face an even greater risk if we commercially sell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ind w:left="1040" w:hanging="519"/>
        <w:spacing w:after="0" w:line="227" w:lineRule="auto"/>
        <w:tabs>
          <w:tab w:leader="none" w:pos="104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decreased demand for our product candidates or products that we may develop;</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injury to our reputation and significant negative media attention;</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loss of existing clinical trial participants or difficulty in enrolling future clinical trial participants;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significant costs to defend resulting litigation or to reach a settlement;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substantial payments to trial participants or patients;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loss of revenue;</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reduced resources of our management to pursue our business strategy;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inability to commercialize any products that we may develop.</w:t>
      </w:r>
    </w:p>
    <w:p>
      <w:pPr>
        <w:spacing w:after="0" w:line="19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maintain general liability, product liability and umbrella liability insurance. Our existing insurance coverage may not fully cover potential liabilities that we may incur. The cost of any product liability litigation or other proceeding, even if resolved in our favor, could be substantial. We will need to increase our insurance coverage as our risks of exposure increase, which, for example, would happen if and when we begin selling any product candidate that receives marketing approval. In addition, certain types of insurance coverage are becoming increasingly expensive.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ISTs of some of our product candidates. Any failure by a third party to meet its obligations with respect to the clinical development of our drug candidates may delay or impair our ability to obtain regulatory approval for our product candidates.</w:t>
      </w:r>
    </w:p>
    <w:p>
      <w:pPr>
        <w:spacing w:after="0" w:line="15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rely on academic institutions to conduct and sponsor some of our clinical trials relating to some of our product candidates. We do not control the design or administration of ISTs, and our reliance on third parties to conduct ISTs could, depending on the actions of such third parties, jeopardize the quality or timeliness of the clinical data generated and adversely affect our ability to obtain marketing approval from the FDA or other applicable regulatory authorities.</w:t>
      </w:r>
    </w:p>
    <w:p>
      <w:pPr>
        <w:spacing w:after="0" w:line="180"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Such arrangements provide us with certain information rights with respect to ISTs, including access to and the ability to use and reference the data resulting from the IST, including for our own regulatory filings. However, we do not control patient enrollment in, or the quality, timing and reporting of the data from, ISTs, nor do we own the data from the ISTs. Moreover, if we are unable to confirm or replicate the results from the ISTs or if negative results are obtained in the ISTs, we would likely be further delayed or prevented from advancing further clinical development of our drug candidates. Further, if investigators or institutions breach their obligations with respect to the clinical development of our drug candidates, or if the data proves to be unfavorable, incomplete or inconclusive, then our ability to design and conduct any future clinical trials ourselves may be adversely affected.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9" w:name="page50"/>
    <w:bookmarkEnd w:id="49"/>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The FDA or non-U.S. regulatory authorities may disagree with the sufficiency of our right of reference to the preclinical, manufacturing or clinical data generated by ISTs, or our interpretation of preclinical, manufacturing or clinical data from ISTs. If so, the FDA or other non-U.S. regulatory authorities may require us to obtain and submit additional preclinical, manufacturing, or clinical data before we may initiate our planned trials and/or may not accept such additional data as adequate to initiate our planned trials. Moreover, there is typically no independent review of the results of ISTs. Therefore, the investigators may interpret the results of ISTs more favorably than an independent review would.</w:t>
      </w:r>
    </w:p>
    <w:p>
      <w:pPr>
        <w:spacing w:after="0" w:line="18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Moreover, ISTs of our product candidates may continue even after we commence company-sponsored trials in the same or different indications. To the extent the results of these ISTs are inconsistent with, or different from, the results of our company-sponsored trials, the FDA or a non-U.S. regulatory authority may question the results of the company-sponsored trial, or subject such results to greater scrutiny than it otherwise would. In these circumstances, the FDA or such other non-U.S. regulatory authorities may require us to obtain and submit additional clinical data, which could delay clinical development or marketing approval of the applicable product candidate.</w:t>
      </w:r>
    </w:p>
    <w:p>
      <w:pPr>
        <w:spacing w:after="0" w:line="180" w:lineRule="exact"/>
        <w:rPr>
          <w:sz w:val="20"/>
          <w:szCs w:val="20"/>
          <w:color w:val="auto"/>
        </w:rPr>
      </w:pPr>
    </w:p>
    <w:p>
      <w:pPr>
        <w:ind w:right="6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15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currently rely on third party clinical research organizations, or CROs, to conduct our clinical trials. We also rely on third parties including CROs to collect and monitor adverse event data for our clinical trials. We expect to continue to rely on third parties, such as CROs, clinical data management organizations, medical institutions and clinical investigators, to conduct our clinical trials. Our agreements with these third parties generally allow the third party to terminate the agreement at any time. If we are required to enter into alternative arrangements because of any such termination the introduction of our product candidates to market could be delayed.</w:t>
      </w:r>
    </w:p>
    <w:p>
      <w:pPr>
        <w:spacing w:after="0" w:line="184"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design our clinical trials and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We are also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8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0"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manufacture,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2" w:lineRule="exact"/>
        <w:rPr>
          <w:sz w:val="20"/>
          <w:szCs w:val="20"/>
          <w:color w:val="auto"/>
        </w:rPr>
      </w:pPr>
    </w:p>
    <w:p>
      <w:pPr>
        <w:ind w:right="2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may seek to enter into additional collaborations, with third parties for the development and commercialization of our product candidates. If such collaborations are not successful, or we fail to enter into additional collaborations, we may not be able to capitalize on the market potential of our product candidates.</w:t>
      </w:r>
    </w:p>
    <w:p>
      <w:pPr>
        <w:spacing w:after="0" w:line="17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November 17, 2015 we announced a collaboration with AstraZeneca AB, or AstraZeneca, and the National Cancer Institute, or the NCI, part of the National Institutes of Health, to conduct a Phase 1/2a clinical trial of the combination of Lynparza and CRLX101 in patients with small cell lung cancer. We may seek additional third-party collaborators for development and commercialization of our product candidates. Our likely collaborators for any marketing, distribution, development, licensing or broader collaboration arrangements include large and mid-size pharmaceutical companies, regional and national pharmaceutical companies, biotechnology companies and certain governmental agencies. We will have limited control over the amount and timing of resources that any of our current or potential future collaborations dedicate to the development or commercialization of our product candidates. Our ability to generate revenues from these arrangements will depend on our collaborators’ abilities to successfully perform the functions assigned to them in these arrangements.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0" w:name="page51"/>
    <w:bookmarkEnd w:id="50"/>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pose the following risks to us:</w:t>
      </w:r>
    </w:p>
    <w:p>
      <w:pPr>
        <w:spacing w:after="0" w:line="18" w:lineRule="exact"/>
        <w:rPr>
          <w:sz w:val="20"/>
          <w:szCs w:val="20"/>
          <w:color w:val="auto"/>
        </w:rPr>
      </w:pPr>
    </w:p>
    <w:p>
      <w:pPr>
        <w:ind w:left="1040" w:hanging="519"/>
        <w:spacing w:after="0"/>
        <w:tabs>
          <w:tab w:leader="none" w:pos="10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09" w:lineRule="exact"/>
        <w:rPr>
          <w:rFonts w:ascii="Times New Roman" w:cs="Times New Roman" w:eastAsia="Times New Roman" w:hAnsi="Times New Roman"/>
          <w:sz w:val="29"/>
          <w:szCs w:val="29"/>
          <w:color w:val="auto"/>
          <w:vertAlign w:val="superscript"/>
        </w:rPr>
      </w:pPr>
    </w:p>
    <w:p>
      <w:pPr>
        <w:ind w:left="1040" w:right="20" w:hanging="519"/>
        <w:spacing w:after="0" w:line="207" w:lineRule="auto"/>
        <w:tabs>
          <w:tab w:leader="none" w:pos="10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1" w:lineRule="exact"/>
        <w:rPr>
          <w:rFonts w:ascii="Times New Roman" w:cs="Times New Roman" w:eastAsia="Times New Roman" w:hAnsi="Times New Roman"/>
          <w:sz w:val="29"/>
          <w:szCs w:val="29"/>
          <w:color w:val="auto"/>
          <w:vertAlign w:val="superscript"/>
        </w:rPr>
      </w:pPr>
    </w:p>
    <w:p>
      <w:pPr>
        <w:ind w:left="1040" w:right="620" w:hanging="519"/>
        <w:spacing w:after="0" w:line="200" w:lineRule="auto"/>
        <w:tabs>
          <w:tab w:leader="none" w:pos="10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9" w:lineRule="exact"/>
        <w:rPr>
          <w:rFonts w:ascii="Times New Roman" w:cs="Times New Roman" w:eastAsia="Times New Roman" w:hAnsi="Times New Roman"/>
          <w:sz w:val="29"/>
          <w:szCs w:val="29"/>
          <w:color w:val="auto"/>
          <w:vertAlign w:val="superscript"/>
        </w:rPr>
      </w:pPr>
    </w:p>
    <w:p>
      <w:pPr>
        <w:ind w:left="1040" w:right="20" w:hanging="519"/>
        <w:spacing w:after="0" w:line="214" w:lineRule="auto"/>
        <w:tabs>
          <w:tab w:leader="none" w:pos="10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Times New Roman" w:cs="Times New Roman" w:eastAsia="Times New Roman" w:hAnsi="Times New Roman"/>
          <w:sz w:val="29"/>
          <w:szCs w:val="29"/>
          <w:color w:val="auto"/>
          <w:vertAlign w:val="superscript"/>
        </w:rPr>
      </w:pPr>
    </w:p>
    <w:p>
      <w:pPr>
        <w:ind w:left="1040" w:right="680" w:hanging="519"/>
        <w:spacing w:after="0" w:line="200" w:lineRule="auto"/>
        <w:tabs>
          <w:tab w:leader="none" w:pos="10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89" w:lineRule="exact"/>
        <w:rPr>
          <w:rFonts w:ascii="Times New Roman" w:cs="Times New Roman" w:eastAsia="Times New Roman" w:hAnsi="Times New Roman"/>
          <w:sz w:val="29"/>
          <w:szCs w:val="29"/>
          <w:color w:val="auto"/>
          <w:vertAlign w:val="superscript"/>
        </w:rPr>
      </w:pPr>
    </w:p>
    <w:p>
      <w:pPr>
        <w:ind w:left="1040" w:right="220" w:hanging="519"/>
        <w:spacing w:after="0" w:line="200" w:lineRule="auto"/>
        <w:tabs>
          <w:tab w:leader="none" w:pos="10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9" w:lineRule="exact"/>
        <w:rPr>
          <w:rFonts w:ascii="Times New Roman" w:cs="Times New Roman" w:eastAsia="Times New Roman" w:hAnsi="Times New Roman"/>
          <w:sz w:val="29"/>
          <w:szCs w:val="29"/>
          <w:color w:val="auto"/>
          <w:vertAlign w:val="superscript"/>
        </w:rPr>
      </w:pPr>
    </w:p>
    <w:p>
      <w:pPr>
        <w:ind w:left="1040" w:right="180" w:hanging="519"/>
        <w:spacing w:after="0" w:line="200" w:lineRule="auto"/>
        <w:tabs>
          <w:tab w:leader="none" w:pos="10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infringe our intellectual property rights or the intellectual property rights of third parties, which may expose us to litigation and potential liability;</w:t>
      </w:r>
    </w:p>
    <w:p>
      <w:pPr>
        <w:spacing w:after="0" w:line="89" w:lineRule="exact"/>
        <w:rPr>
          <w:rFonts w:ascii="Times New Roman" w:cs="Times New Roman" w:eastAsia="Times New Roman" w:hAnsi="Times New Roman"/>
          <w:sz w:val="29"/>
          <w:szCs w:val="29"/>
          <w:color w:val="auto"/>
          <w:vertAlign w:val="superscript"/>
        </w:rPr>
      </w:pPr>
    </w:p>
    <w:p>
      <w:pPr>
        <w:ind w:left="1040" w:right="20" w:hanging="519"/>
        <w:spacing w:after="0" w:line="200" w:lineRule="auto"/>
        <w:tabs>
          <w:tab w:leader="none" w:pos="10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89" w:lineRule="exact"/>
        <w:rPr>
          <w:rFonts w:ascii="Times New Roman" w:cs="Times New Roman" w:eastAsia="Times New Roman" w:hAnsi="Times New Roman"/>
          <w:sz w:val="29"/>
          <w:szCs w:val="29"/>
          <w:color w:val="auto"/>
          <w:vertAlign w:val="superscript"/>
        </w:rPr>
      </w:pPr>
    </w:p>
    <w:p>
      <w:pPr>
        <w:ind w:left="1040" w:right="1140" w:hanging="519"/>
        <w:spacing w:after="0" w:line="200" w:lineRule="auto"/>
        <w:tabs>
          <w:tab w:leader="none" w:pos="10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98" w:lineRule="exact"/>
        <w:rPr>
          <w:sz w:val="20"/>
          <w:szCs w:val="20"/>
          <w:color w:val="auto"/>
        </w:rPr>
      </w:pPr>
    </w:p>
    <w:p>
      <w:pPr>
        <w:jc w:val="both"/>
        <w:ind w:right="680" w:firstLine="518"/>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collaborator of ours were to be involved in a business combination or divestiture, the continued pursuit and emphasis on our product development or commercialization program could be delayed, diminished or terminated.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additional collaborations, we may have to alter our development and commercialization plans.</w:t>
      </w:r>
    </w:p>
    <w:p>
      <w:pPr>
        <w:spacing w:after="0" w:line="22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While we have entered into a collaboration with AstraZeneca and the NCI to conduct a Phase 1/2a clinical trial of the combination of Lynparza and CRLX101 in patients with small cell lung cancer, we plan to seek further collaborations with pharmaceutical and biotechnology companies or institutions for the development and potential commercialization of CRLX101 or other product candidates.</w:t>
      </w:r>
    </w:p>
    <w:p>
      <w:pPr>
        <w:spacing w:after="0" w:line="18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with a potential collaborator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3"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2" w:lineRule="exact"/>
        <w:rPr>
          <w:sz w:val="20"/>
          <w:szCs w:val="20"/>
          <w:color w:val="auto"/>
        </w:rPr>
      </w:pPr>
    </w:p>
    <w:p>
      <w:pPr>
        <w:jc w:val="both"/>
        <w:ind w:right="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75"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quantities of CRLX101 or CRLX301 and have limited personnel with manufacturing experience. We currently rely on and expect to continue to rely on third party contract manufacturers to manufacture supplies of our product candidates for preclinical and clinical testing, as well as for commercial manufacture if any of our product candidates receive marketing approval.</w:t>
      </w:r>
    </w:p>
    <w:p>
      <w:pPr>
        <w:spacing w:after="0" w:line="180"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CRLX101 and CRLX301 must be manufactured through complex, multi-step synthesis processes that are time-consuming and involve special conditions at certain stages. Drug substance manufacture requires high potency containment, and drug product manufacture requires high potency containment under aseptic conditions, also referred to as sterile manufacture. Failures in either drug substance manufacture or drug product manufacture, whether on the part of our existing or future manufacturers or as a result of our failure to make timely and effective improvements in our manufacturing processes, could materially delay clinical development or marketing approval of our product candidates or result in our inability to generate sufficient supplies to meet clinical or commercial demands. For example, in 2015 we experienced a CRLX101 drug substance manufacturing failure due to an out-of-specification event, and the process of obtaining a new batch will require several months to complete.</w:t>
      </w:r>
    </w:p>
    <w:p>
      <w:pPr>
        <w:spacing w:after="0" w:line="18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Although we currently have backup suppliers for several stages of the manufacturing process, we rely on one supplier for each stage of this process. If our current contract manufacturers cannot perform as agreed, or become unavailable to us for any reason, we may be required to replace such manufacturers. Our agreements with our third party manufacturers can be terminated by us or such manufacturers on short notice. If any of our existing manufacturers should become unavailable to us for any reason or should be unable to secure additional manufacturing capacity in the event of higher than anticipated product demand, we may incur additional cost or delay in identifying or qualifying replacements. In addition, while we believe that our existing supplier of drug substance or an alternative supplier would be capable of continuing to produce drug substance in commercial quantities, we will need to identify a third-party manufacturer capable of providing commercial quantities of drug product. If we are unable to arrange for such a third-party manufacturing source, or fail to do so on commercially reasonable terms, we may not be able to successfully produce and market CRLX101 or any other product candidate or may be delayed in doing so.</w:t>
      </w:r>
    </w:p>
    <w:p>
      <w:pPr>
        <w:spacing w:after="0" w:line="189"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such arrangements with third party manufacturers, reliance on third party manufacturers entails additional risks, including:</w:t>
      </w:r>
    </w:p>
    <w:p>
      <w:pPr>
        <w:ind w:left="1040" w:hanging="519"/>
        <w:spacing w:after="0" w:line="207" w:lineRule="auto"/>
        <w:tabs>
          <w:tab w:leader="none" w:pos="104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reliance on the third party for regulatory compliance and quality assurance;</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ability of manufacturers to consistently produce intermediates, drug substance or drug product that meet required quality specifications;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possible breach of the manufacturing agreement by the third party;</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possible misappropriation of our proprietary information, including our trade secrets and know-how;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possible termination or nonrenewal of the agreement by the third party at a time that is costly or inconvenient for us.</w:t>
      </w:r>
    </w:p>
    <w:p>
      <w:pPr>
        <w:spacing w:after="0" w:line="198"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Third party manufacturers may not be able to comply with current good manufacturing practices, or cGMP, regulations or similar regulatory requirements outside the United States. If our contract manufacturers cannot successfully manufacture material that conforms to our specifications and the strict regulatory requirements of the FDA or applicable foreign regulatory agencies, our ability to secure and/or maintain regulatory approval for our product candidates could be adversely affected.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9"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CRLX101, CRLX301 and any future product candidates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2" w:name="page53"/>
    <w:bookmarkEnd w:id="52"/>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In addition, we typically rely on our manufacturers to purchase from third-party suppliers the materials necessary to produce our product candidates for our clinical studies. There are a small number of suppliers for certain capital equipment and raw materials that are used in the manufacture of our drugs. Such suppliers may not sell these raw materials to our manufacturers at the times we need them or on commercially reasonable terms. We do not have any control over the process or timing of the acquisition of these raw materials by our manufacturers. Moreover, we currently do not have any agreements for the commercial production of these raw materials. Any significant delay in the supply of a product candidate or the raw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89"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16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75"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patent applications in the United States and abroad related to our novel technologies and product candidates.</w:t>
      </w:r>
    </w:p>
    <w:p>
      <w:pPr>
        <w:spacing w:after="0" w:line="17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non-U.S. countries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and in some cases not at all. Therefore, we cannot know with certainty whether we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issue as patents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owned or licensed issued patents. On September 16, 2011, the Leahy-Smith America Invents Act, or the Leahy-Smith Act, was signed into law. The Leahy-Smith Act includes a number of significant changes to United States patent law. The Leahy-Smith Act includes provisions that affect the way patent applications are prosecuted and affect patent litigation. The United States Patent and Trademark Office, or USPTO, recently developed new regulations and procedures to govern administration of the Leahy-Smith Act. However,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owned or licensed patent applications and the enforcement or defense of our owned or licensed issued patents, all of which could have a material adverse effect on our business and financial condition.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3" w:name="page54"/>
    <w:bookmarkEnd w:id="53"/>
    <w:p>
      <w:pPr>
        <w:ind w:firstLine="518"/>
        <w:spacing w:after="0" w:line="256" w:lineRule="auto"/>
        <w:rPr>
          <w:sz w:val="20"/>
          <w:szCs w:val="20"/>
          <w:color w:val="auto"/>
        </w:rPr>
      </w:pPr>
      <w:r>
        <w:rPr>
          <w:rFonts w:ascii="Times New Roman" w:cs="Times New Roman" w:eastAsia="Times New Roman" w:hAnsi="Times New Roman"/>
          <w:sz w:val="18"/>
          <w:szCs w:val="18"/>
          <w:color w:val="auto"/>
        </w:rPr>
        <w:t>Moreover, we may be subject to third party preissuance submissions of prior art to the USPTO, or become involved in opposition, derivation, reexamination, inter partes review, post-grant review or interference proceedings challenging our owned or licensed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8"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76"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5" w:lineRule="exact"/>
        <w:rPr>
          <w:sz w:val="20"/>
          <w:szCs w:val="20"/>
          <w:color w:val="auto"/>
        </w:rPr>
      </w:pPr>
    </w:p>
    <w:p>
      <w:pPr>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Competitors may infringe our owned or licensed patents or other intellectual property. To counter infringement or unauthorized use, we may be required to file or participate in infringement claims, which can be expensive and time consuming. Any claims we or our licensors assert against perceived infringers could provoke these parties to assert counterclaims against us alleging that we infringe their patents. In addition, in a patent infringement proceeding, a court may decide that a patent of ours or our licensor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owned or licensed patents at risk of being invalidated or interpreted narrowly.</w:t>
      </w:r>
    </w:p>
    <w:p>
      <w:pPr>
        <w:spacing w:after="0" w:line="184" w:lineRule="exact"/>
        <w:rPr>
          <w:sz w:val="20"/>
          <w:szCs w:val="20"/>
          <w:color w:val="auto"/>
        </w:rPr>
      </w:pPr>
    </w:p>
    <w:p>
      <w:pPr>
        <w:ind w:right="16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CRLX101, CRLX301 and certain aspects of our platform technology are protected by patents assigned by or exclusively licensed from other companies or institutions. If these third parties terminate their agreements with us or fail to maintain or enforce the underlying patents, or we otherwise lose our rights to these patents, our competitive position and our market share in the markets for any of our approved products will be harmed.</w:t>
      </w:r>
    </w:p>
    <w:p>
      <w:pPr>
        <w:spacing w:after="0" w:line="175"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We are a party to several license agreements and certain aspects of our business depend on patents and/or patent applications owned by others. In particular, we hold exclusive licenses from Calando Pharmaceuticals, Inc., or Calando, and California Institute of Technology, or Caltech, and have been assigned certain patents from Calando for CRLX101, CRLX301 and CDP-based product candidates. We also hold an exclusive license from the State University of New York, or SUNY, related to taxane-containing NDCs, such as CRLX301. We are likely to enter into additional license agreements as part of the development of our business in the future. If we are unable to maintain these patent rights for any reason, our ability to develop and commercialize our product candidates could be materially harmed.</w:t>
      </w:r>
    </w:p>
    <w:p>
      <w:pPr>
        <w:spacing w:after="0" w:line="188"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Our licensors may not successfully prosecute certain patent applications under which we are licensed and on which our business depends. Even if patents issue from these applications, our licensors may fail to maintain these patents, may decide not to pursue litigation against third party infringers, may fail to prove infringement, or may fail to defend against counterclaims of patent invalidity or unenforceability.</w:t>
      </w:r>
    </w:p>
    <w:p>
      <w:pPr>
        <w:spacing w:after="0" w:line="176"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Risks with respect to parties from whom we have obtained intellectual property rights may also arise out of circumstances beyond our control. For example, in March 2014, Calando entered Chapter 7 bankruptcy and, as a result, the intellectual property rights we have obtained from Calando are subject to potential risks that may arise in connection with bankruptcy. For instance, while our ability to develop and/or commercialize our current product candidates and our ability to utilize our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 In March 2015, the bankruptcy court granted Calando’s bankruptcy trustee’s application to retain a broker to help sell Calando’s rights in certain assets including its rights in the license agreements with Cerulean. We reserved our rights with respect to any such sale.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4" w:name="page55"/>
    <w:bookmarkEnd w:id="54"/>
    <w:p>
      <w:pPr>
        <w:ind w:right="100" w:firstLine="518"/>
        <w:spacing w:after="0" w:line="253" w:lineRule="auto"/>
        <w:rPr>
          <w:sz w:val="20"/>
          <w:szCs w:val="20"/>
          <w:color w:val="auto"/>
        </w:rPr>
      </w:pPr>
      <w:r>
        <w:rPr>
          <w:rFonts w:ascii="Times New Roman" w:cs="Times New Roman" w:eastAsia="Times New Roman" w:hAnsi="Times New Roman"/>
          <w:sz w:val="18"/>
          <w:szCs w:val="18"/>
          <w:color w:val="auto"/>
        </w:rPr>
        <w:t>In addition, in spite of our best efforts, our licensors might conclude that we have materially breached our intellectual property agreements and might therefore terminate the intellectual property agreements, thereby removing our ability to obtain regulatory approval and to market products covered by these intellectual property agreements. If our intellectual property agreements are terminated, or if the underlying patents fail to provide the intended market exclusivity, competitors may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For example, under our agreements with Calando, which relate to CRLX101 and our platform, if we fail to meet our payment obligations and do not adequately cure such failure, or if we terminate one or both of these agreements, other than for specified safety concerns, we are required to grant Calando an exclusive (even as to Cerulean), royalty-free license under the patent rights assigned pursuant to such terminated agreement and to assign the related IND to Calando. Moreover, if we fail to meet our diligence obligations under one or both of our agreements with Calando, Calando may convert the license to a non-exclusive license, and we will be required to grant Calando a non-exclusive license under the patent rights assigned to us pursuant to such terminated agreement. This could have a material adverse effect on our competitive business position and our business prospects.</w:t>
      </w:r>
    </w:p>
    <w:p>
      <w:pPr>
        <w:spacing w:after="0" w:line="187" w:lineRule="exact"/>
        <w:rPr>
          <w:sz w:val="20"/>
          <w:szCs w:val="20"/>
          <w:color w:val="auto"/>
        </w:rPr>
      </w:pPr>
    </w:p>
    <w:p>
      <w:pPr>
        <w:ind w:right="2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agreements with third parties, we could lose rights that are important to our business.</w:t>
      </w:r>
    </w:p>
    <w:p>
      <w:pPr>
        <w:spacing w:after="0" w:line="15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are party to multiple intellectual property agreements that impose, and we may enter into additional intellectual property agreements that may impose, various diligence, milestone payment, royalty and other obligations on us. Under our existing intellectual property agreements, we are obligated to pay royalties on the net sales of product candidates or related technologies to the extent they are covered by the agreement. We also have diligence and development obligations under those agreements. If we fail to comply with our obligations under current or future intellectual property agreements, our counterparties may have the right to terminate these agreements, in which event we might not be able to develop, manufacture or market any product that is covered by the agreement or face other penalties under the agreement.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5" w:lineRule="exact"/>
        <w:rPr>
          <w:sz w:val="20"/>
          <w:szCs w:val="20"/>
          <w:color w:val="auto"/>
        </w:rPr>
      </w:pPr>
    </w:p>
    <w:p>
      <w:pPr>
        <w:ind w:right="16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1" w:lineRule="exact"/>
        <w:rPr>
          <w:sz w:val="20"/>
          <w:szCs w:val="20"/>
          <w:color w:val="auto"/>
        </w:rPr>
      </w:pPr>
    </w:p>
    <w:p>
      <w:pPr>
        <w:ind w:right="120" w:firstLine="518"/>
        <w:spacing w:after="0" w:line="253" w:lineRule="auto"/>
        <w:rPr>
          <w:sz w:val="20"/>
          <w:szCs w:val="20"/>
          <w:color w:val="auto"/>
        </w:rPr>
      </w:pPr>
      <w:r>
        <w:rPr>
          <w:rFonts w:ascii="Times New Roman" w:cs="Times New Roman" w:eastAsia="Times New Roman" w:hAnsi="Times New Roman"/>
          <w:sz w:val="18"/>
          <w:szCs w:val="18"/>
          <w:color w:val="auto"/>
        </w:rPr>
        <w:t>Some of the intellectual property rights we have licensed may have been generated through the use of United States government funding and may therefore be subject to certain federal regulations. For example, some of the intellectual property rights licensed to us under the SUNY agreement and which are relevant to taxane containing NDCs such as CRLX301 may have been generated using United States government funds. As a result, the United States government may have certain rights to intellectual property embodied in CRLX301 pursuant to the Bayh-Dole Act of 1980.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w:t>
      </w:r>
    </w:p>
    <w:p>
      <w:pPr>
        <w:spacing w:after="0" w:line="4" w:lineRule="exact"/>
        <w:rPr>
          <w:sz w:val="20"/>
          <w:szCs w:val="20"/>
          <w:color w:val="auto"/>
        </w:rPr>
      </w:pPr>
    </w:p>
    <w:p>
      <w:pPr>
        <w:ind w:firstLine="8"/>
        <w:spacing w:after="0" w:line="251" w:lineRule="auto"/>
        <w:tabs>
          <w:tab w:leader="none" w:pos="2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fail to disclose the invention to the government and fail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w:t>
      </w:r>
    </w:p>
    <w:p>
      <w:pPr>
        <w:spacing w:after="0" w:line="194"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We currently do not plan to apply for additional United States government funding, but if we do, and we discover compounds or drug candidates as a result of such funding, intellectual property rights to such discoveries may be subject to the applicable provisions of the Bayh-Dole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5" w:name="page56"/>
    <w:bookmarkEnd w:id="55"/>
    <w:p>
      <w:pPr>
        <w:ind w:right="5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be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5" w:lineRule="exact"/>
        <w:rPr>
          <w:sz w:val="20"/>
          <w:szCs w:val="20"/>
          <w:color w:val="auto"/>
        </w:rPr>
      </w:pPr>
    </w:p>
    <w:p>
      <w:pPr>
        <w:ind w:right="5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5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timely obtaining such an agreement with each party who in fact develops intellectual property that we regard as our own. Even if timely obtained, such agreements may be breached, and we may be forced to bring claims against third parties, or defend claims they may bring against us, to determine the ownership of what we regard as our intellectual property.</w:t>
      </w:r>
    </w:p>
    <w:p>
      <w:pPr>
        <w:spacing w:after="0" w:line="180"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we may lose valuable intellectual property rights or personnel, in addition to paying monetary damages. Even if we are successful in prosecuting or defending against such claims, litigation could result in substantial costs and be a distraction to management.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right="440" w:firstLine="518"/>
        <w:spacing w:after="0" w:line="256"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56" w:name="page57"/>
    <w:bookmarkEnd w:id="56"/>
    <w:p>
      <w:pPr>
        <w:ind w:right="160"/>
        <w:spacing w:after="0" w:line="255" w:lineRule="auto"/>
        <w:rPr>
          <w:sz w:val="20"/>
          <w:szCs w:val="20"/>
          <w:color w:val="auto"/>
        </w:rPr>
      </w:pPr>
      <w:r>
        <w:rPr>
          <w:rFonts w:ascii="Times New Roman" w:cs="Times New Roman" w:eastAsia="Times New Roman" w:hAnsi="Times New Roman"/>
          <w:sz w:val="18"/>
          <w:szCs w:val="18"/>
          <w:color w:val="auto"/>
        </w:rPr>
        <w:t>we may not be able to obtain adequate remedies for such breaches. In addition, we face the risk of cybercrime. For instance, someone could hack our information networks and gain illicit access to our proprietary information including our trade secrets. Enforcing a claim that a party illegally disclosed or misappropriated a trade secret is difficult, expensive and time-consuming, and the outcome is unpredictable. Even if we are successful in prosecuting such claims, any remedy awarded may be insufficient to fully compensate us for the improper disclosure or misappropriation.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Product Candidates and Other Legal Compliance Matters</w:t>
      </w:r>
    </w:p>
    <w:p>
      <w:pPr>
        <w:spacing w:after="0" w:line="225" w:lineRule="exact"/>
        <w:rPr>
          <w:sz w:val="20"/>
          <w:szCs w:val="20"/>
          <w:color w:val="auto"/>
        </w:rPr>
      </w:pPr>
    </w:p>
    <w:p>
      <w:pPr>
        <w:ind w:right="12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the marketing approval process is expensive, time 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1"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the product candidate. Our product candidates are in the early stages of development and are subject to the risks of failure inherent in drug development. We have not received approval to market any of our product candidates from regulatory authorities in any jurisdiction. We have only limited experience in conducting and managing the clinical trials, and in filing and supporting the applications necessary to gain marketing approvals and expect to rely on third 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9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5"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 For example, if the regulatory landscape in the United States, Europe or Asia shifts unexpectedly, it may adversely affect the feasibility of study arms, standards of care or statistical assumptions currently reflected in our clinical development plans for CRLX101, potentially delaying the development of CRLX101 in a particular indication and increasing the time required to obtain marketing approval for CRLX101.</w:t>
      </w:r>
    </w:p>
    <w:p>
      <w:pPr>
        <w:spacing w:after="0" w:line="180"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complete the necessary clinical trials for a marketing registration in the U.S., the FDA may convene an advisory committee meeting that could influence their approval decision.</w:t>
      </w:r>
    </w:p>
    <w:p>
      <w:pPr>
        <w:spacing w:after="0" w:line="15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Upon submission of an application for marketing approval in the United States, the FDA may convene an advisory committee (public or closed) to provide the FDA with independent advice from outside experts with specific questions regarding a pending review matter. The opinions or advice expressed by the advisory committee, or any voting decision, are not binding and the FDA retains the ultimate approval power over an application. Regardless of the committee meeting outcome or the FDA’s final approval decision, public presentation of our data may shed positive or negative light on our application. A negative advisory committee meeting could signal a lower likelihood of approval, although the FDA may still end up approving our application. Conversely, an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7" w:name="page58"/>
    <w:bookmarkEnd w:id="57"/>
    <w:p>
      <w:pPr>
        <w:ind w:right="40"/>
        <w:spacing w:after="0" w:line="253" w:lineRule="auto"/>
        <w:rPr>
          <w:sz w:val="20"/>
          <w:szCs w:val="20"/>
          <w:color w:val="auto"/>
        </w:rPr>
      </w:pPr>
      <w:r>
        <w:rPr>
          <w:rFonts w:ascii="Times New Roman" w:cs="Times New Roman" w:eastAsia="Times New Roman" w:hAnsi="Times New Roman"/>
          <w:sz w:val="18"/>
          <w:szCs w:val="18"/>
          <w:color w:val="auto"/>
        </w:rPr>
        <w:t>advisory committee could vote in favor of approval and the FDA may still not approve our application. For an expedited review such as priority review, where the FDA’s oncology office has moved focus to how quickly a drug might be approved and has commonly completed their review and approved products well before the PDUFA goal date, preparations for an ODAC could slow down approval. For us as the applicant, preparation time for an ODAC could take six months or more of dedicated effort by the program team, management, and consultants, in addition to supporting the FDA’s review queries or any other activities in the same timeframe, reducing resource efficiency. It should not be assumed that an application brought in front of the ODAC means that a negative decision is pending. The FDA determines whether or not to have an ODAC meeting depending on the quality of the application, the results of the clinical trials, and whether similar issues, such as endpoints or trial designs, have been previously discussed at these meetings. The FDA has generally taken more problematic or complicated applications to an ODAC, which allows for presentation of their findings and a public discussion of issues at</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hand. On occasion, the FDA will convene an ODAC to have the public clearly understand their viewpoint on the particular application and its supporting evidence, or if there is a first in class or first in indication compound under review. Development of an NDC such as CRLX101 or CRLX301 may qualify for such a review, although if intended to address an unmet medical need and the data are supportive, the chances of an ODAC are lower.</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181"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and ongoing regulation of our products may limit how we manufacture and market our products, which could materially impair our ability to generate revenue.</w:t>
      </w:r>
    </w:p>
    <w:p>
      <w:pPr>
        <w:spacing w:after="0" w:line="159" w:lineRule="exact"/>
        <w:rPr>
          <w:sz w:val="20"/>
          <w:szCs w:val="20"/>
          <w:color w:val="auto"/>
        </w:rPr>
      </w:pPr>
    </w:p>
    <w:p>
      <w:pPr>
        <w:jc w:val="both"/>
        <w:ind w:right="500" w:firstLine="518"/>
        <w:spacing w:after="0" w:line="266"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governing the labeling, packaging, storage and promotion of the product and record keeping and submission of safety and other post-market information.</w:t>
      </w:r>
    </w:p>
    <w:p>
      <w:pPr>
        <w:spacing w:after="0" w:line="176"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must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0"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80"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Accordingly, assuming we receive marketing approval for one or more of our product candidates, we and our contract manufacturers will continue to expend time, money and effort in all areas of regulatory compliance, including manufacturing, production, product surveillance and quality control.</w:t>
      </w:r>
    </w:p>
    <w:p>
      <w:pPr>
        <w:spacing w:after="0" w:line="162" w:lineRule="exact"/>
        <w:rPr>
          <w:sz w:val="20"/>
          <w:szCs w:val="20"/>
          <w:color w:val="auto"/>
        </w:rPr>
      </w:pPr>
    </w:p>
    <w:p>
      <w:pPr>
        <w:ind w:right="500" w:firstLine="518"/>
        <w:spacing w:after="0" w:line="289" w:lineRule="auto"/>
        <w:rPr>
          <w:sz w:val="20"/>
          <w:szCs w:val="20"/>
          <w:color w:val="auto"/>
        </w:rPr>
      </w:pPr>
      <w:r>
        <w:rPr>
          <w:rFonts w:ascii="Times New Roman" w:cs="Times New Roman" w:eastAsia="Times New Roman" w:hAnsi="Times New Roman"/>
          <w:sz w:val="17"/>
          <w:szCs w:val="17"/>
          <w:color w:val="auto"/>
        </w:rPr>
        <w:t>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8" w:name="page59"/>
    <w:bookmarkEnd w:id="58"/>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75"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89" w:lineRule="exact"/>
        <w:rPr>
          <w:sz w:val="20"/>
          <w:szCs w:val="20"/>
          <w:color w:val="auto"/>
        </w:rPr>
      </w:pPr>
    </w:p>
    <w:p>
      <w:pPr>
        <w:ind w:right="20" w:firstLine="518"/>
        <w:spacing w:after="0" w:line="274" w:lineRule="auto"/>
        <w:rPr>
          <w:sz w:val="20"/>
          <w:szCs w:val="20"/>
          <w:color w:val="auto"/>
        </w:rPr>
      </w:pPr>
      <w:r>
        <w:rPr>
          <w:rFonts w:ascii="Times New Roman" w:cs="Times New Roman" w:eastAsia="Times New Roman" w:hAnsi="Times New Roman"/>
          <w:sz w:val="17"/>
          <w:szCs w:val="17"/>
          <w:color w:val="auto"/>
        </w:rPr>
        <w:t>The FDA may also impose requirements for costly post-marketing studies or clinical trials and surveillance to monitor the safety or efficacy of the product. The FDA and other agencies, including the Department of Justice, closely regulate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market our products for unapproved indications, we may be subject to enforcement action for off-label marketing. Violations of the FDA and other statutes, including the False Claims Act, relating to the promotion and advertising of prescription drugs may lead to investigations alleging violations of federal and state health care fraud and abuse laws, as well as state consumer protection laws.</w:t>
      </w:r>
    </w:p>
    <w:p>
      <w:pPr>
        <w:spacing w:after="0" w:line="174"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ind w:left="1040" w:hanging="519"/>
        <w:spacing w:after="0" w:line="207" w:lineRule="auto"/>
        <w:tabs>
          <w:tab w:leader="none" w:pos="104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litigation involving patients taking our products;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restrictions on such products, manufacturers or manufacturing processes;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restrictions on the labeling or marketing of a product;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restrictions on product distribution or use;</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requirements to conduct post-marketing studies or clinical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warning or untitled letters;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withdrawal of the products from the market;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suspension of any ongoing clinical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refusal to approve pending applications or supplements to approved applications that we submit;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recall of products;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fines, restitution or disgorgement of profits or revenues;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suspension or withdrawal of marketing approvals;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damage to relationships with any potential collaborators;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unfavorable press coverage and damage to our reputation;</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refusal to permit the import or export of our products;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product seizure; or</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injunctions or the imposition of civil or criminal penalties.</w:t>
      </w:r>
    </w:p>
    <w:p>
      <w:pPr>
        <w:spacing w:after="0" w:line="198"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sectPr>
      </w:pPr>
    </w:p>
    <w:bookmarkStart w:id="59" w:name="page60"/>
    <w:bookmarkEnd w:id="59"/>
    <w:p>
      <w:pPr>
        <w:ind w:right="28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 party payors will be subject to applicable anti-kickback, fraud and abuse and other healthcare laws and regulations, which, in the event of a violation, could expose us to criminal sanctions, civil penalties, contractual damages, reputational harm and diminished profits and future earnings.</w:t>
      </w:r>
    </w:p>
    <w:p>
      <w:pPr>
        <w:spacing w:after="0" w:line="17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 party payors will play a primary role in the recommendation and prescription of any product candidates for which we obtain marketing approval. Our future arrangements with healthcare providers, physicians, and third party payors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6" w:lineRule="exact"/>
        <w:rPr>
          <w:sz w:val="20"/>
          <w:szCs w:val="20"/>
          <w:color w:val="auto"/>
        </w:rPr>
      </w:pPr>
    </w:p>
    <w:p>
      <w:pPr>
        <w:ind w:left="1040" w:right="140" w:hanging="519"/>
        <w:spacing w:after="0" w:line="221" w:lineRule="auto"/>
        <w:tabs>
          <w:tab w:leader="none" w:pos="104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93" w:lineRule="exact"/>
        <w:rPr>
          <w:rFonts w:ascii="Times New Roman" w:cs="Times New Roman" w:eastAsia="Times New Roman" w:hAnsi="Times New Roman"/>
          <w:sz w:val="29"/>
          <w:szCs w:val="29"/>
          <w:color w:val="auto"/>
          <w:vertAlign w:val="superscript"/>
        </w:rPr>
      </w:pPr>
    </w:p>
    <w:p>
      <w:pPr>
        <w:ind w:left="1040" w:right="120" w:hanging="519"/>
        <w:spacing w:after="0" w:line="227" w:lineRule="auto"/>
        <w:tabs>
          <w:tab w:leader="none" w:pos="104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89" w:lineRule="exact"/>
        <w:rPr>
          <w:rFonts w:ascii="Times New Roman" w:cs="Times New Roman" w:eastAsia="Times New Roman" w:hAnsi="Times New Roman"/>
          <w:sz w:val="29"/>
          <w:szCs w:val="29"/>
          <w:color w:val="auto"/>
          <w:vertAlign w:val="superscript"/>
        </w:rPr>
      </w:pPr>
    </w:p>
    <w:p>
      <w:pPr>
        <w:ind w:left="1040" w:right="100" w:hanging="519"/>
        <w:spacing w:after="0" w:line="200" w:lineRule="auto"/>
        <w:tabs>
          <w:tab w:leader="none" w:pos="104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89" w:lineRule="exact"/>
        <w:rPr>
          <w:rFonts w:ascii="Times New Roman" w:cs="Times New Roman" w:eastAsia="Times New Roman" w:hAnsi="Times New Roman"/>
          <w:sz w:val="29"/>
          <w:szCs w:val="29"/>
          <w:color w:val="auto"/>
          <w:vertAlign w:val="superscript"/>
        </w:rPr>
      </w:pPr>
    </w:p>
    <w:p>
      <w:pPr>
        <w:ind w:left="1040" w:right="80" w:hanging="519"/>
        <w:spacing w:after="0" w:line="214" w:lineRule="auto"/>
        <w:tabs>
          <w:tab w:leader="none" w:pos="104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9" w:lineRule="exact"/>
        <w:rPr>
          <w:rFonts w:ascii="Times New Roman" w:cs="Times New Roman" w:eastAsia="Times New Roman" w:hAnsi="Times New Roman"/>
          <w:sz w:val="29"/>
          <w:szCs w:val="29"/>
          <w:color w:val="auto"/>
          <w:vertAlign w:val="superscript"/>
        </w:rPr>
      </w:pPr>
    </w:p>
    <w:p>
      <w:pPr>
        <w:ind w:left="1040" w:hanging="519"/>
        <w:spacing w:after="0" w:line="200" w:lineRule="auto"/>
        <w:tabs>
          <w:tab w:leader="none" w:pos="104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Physician Payments Sunshine Act requires applicable manufacturers of covered drug products to report payments and other transfers of value to physicians and teaching hospitals with data collection beginning in August 2013; and</w:t>
      </w:r>
    </w:p>
    <w:p>
      <w:pPr>
        <w:spacing w:after="0" w:line="89" w:lineRule="exact"/>
        <w:rPr>
          <w:rFonts w:ascii="Times New Roman" w:cs="Times New Roman" w:eastAsia="Times New Roman" w:hAnsi="Times New Roman"/>
          <w:sz w:val="29"/>
          <w:szCs w:val="29"/>
          <w:color w:val="auto"/>
          <w:vertAlign w:val="superscript"/>
        </w:rPr>
      </w:pPr>
    </w:p>
    <w:p>
      <w:pPr>
        <w:ind w:left="1040" w:right="60" w:hanging="519"/>
        <w:spacing w:after="0" w:line="214" w:lineRule="auto"/>
        <w:tabs>
          <w:tab w:leader="none" w:pos="104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payors, including private insurers.</w:t>
      </w:r>
    </w:p>
    <w:p>
      <w:pPr>
        <w:spacing w:after="0" w:line="19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product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60" w:name="page61"/>
    <w:bookmarkEnd w:id="60"/>
    <w:p>
      <w:pPr>
        <w:ind w:right="7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the United States and some non-U.S.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products, if approved, to be cost-effective compared to other available therapies, they may not cover our product after approval as a benefit under their plans or, if they do, the level of payment may not be sufficient to allow us to realize a meaningful return on our investment. The United States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our products, if approved.</w:t>
      </w:r>
    </w:p>
    <w:p>
      <w:pPr>
        <w:spacing w:after="0" w:line="186"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As a result, the marketability of our products, if approved, could suffer if the government and third-party payors fail to provide adequate coverage and reimbursement. In addition, an increasing emphasis on managed care in the United States has increased and will continue to increase the pressure on drug pricing. Coverage policies, third-party reimbursement rates and drug pricing regulation may change at any time. Even if favorable coverage and reimbursement status is attained for one or more of our products that receive regulatory approval, less favorable coverage policies and reimbursement rates may be implemented in the future.</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9"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and Education Affordability Reconciliation Act, or collectively the PPACA. Among the provisions of the PPACA of potential importance to our business and our product candidates are the following.</w:t>
      </w:r>
    </w:p>
    <w:p>
      <w:pPr>
        <w:ind w:left="1040" w:hanging="519"/>
        <w:spacing w:after="0" w:line="217" w:lineRule="auto"/>
        <w:tabs>
          <w:tab w:leader="none" w:pos="104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 annual, non-deductible fee on any entity that manufactures or imports specified branded prescription products and biologic agents;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an increase in the statutory minimum rebates a manufacturer must pay under the Medicaid Drug Rebate Program;</w:t>
      </w:r>
    </w:p>
    <w:p>
      <w:pPr>
        <w:spacing w:after="0" w:line="110" w:lineRule="exact"/>
        <w:rPr>
          <w:rFonts w:ascii="Times New Roman" w:cs="Times New Roman" w:eastAsia="Times New Roman" w:hAnsi="Times New Roman"/>
          <w:sz w:val="24"/>
          <w:szCs w:val="24"/>
          <w:color w:val="auto"/>
          <w:vertAlign w:val="superscript"/>
        </w:rPr>
      </w:pPr>
    </w:p>
    <w:p>
      <w:pPr>
        <w:ind w:left="1040" w:right="340" w:hanging="519"/>
        <w:spacing w:after="0" w:line="191" w:lineRule="auto"/>
        <w:tabs>
          <w:tab w:leader="none" w:pos="104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new methodology by which rebates owed by manufacturers under the Medicaid Drug Rebate Program are calculated for products that are inhaled, infused, instilled, implanted or injected;</w:t>
      </w:r>
    </w:p>
    <w:p>
      <w:pPr>
        <w:spacing w:after="0" w:line="90" w:lineRule="exact"/>
        <w:rPr>
          <w:rFonts w:ascii="Times New Roman" w:cs="Times New Roman" w:eastAsia="Times New Roman" w:hAnsi="Times New Roman"/>
          <w:sz w:val="29"/>
          <w:szCs w:val="29"/>
          <w:color w:val="auto"/>
          <w:vertAlign w:val="superscript"/>
        </w:rPr>
      </w:pPr>
    </w:p>
    <w:p>
      <w:pPr>
        <w:ind w:left="1040" w:right="340" w:hanging="519"/>
        <w:spacing w:after="0" w:line="200" w:lineRule="auto"/>
        <w:tabs>
          <w:tab w:leader="none" w:pos="104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89" w:lineRule="exact"/>
        <w:rPr>
          <w:rFonts w:ascii="Times New Roman" w:cs="Times New Roman" w:eastAsia="Times New Roman" w:hAnsi="Times New Roman"/>
          <w:sz w:val="29"/>
          <w:szCs w:val="29"/>
          <w:color w:val="auto"/>
          <w:vertAlign w:val="superscript"/>
        </w:rPr>
      </w:pPr>
    </w:p>
    <w:p>
      <w:pPr>
        <w:ind w:left="1040" w:right="100" w:hanging="519"/>
        <w:spacing w:after="0" w:line="214" w:lineRule="auto"/>
        <w:tabs>
          <w:tab w:leader="none" w:pos="104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 of applicable brand products to eligible beneficiaries during their coverage gap period, as a condition for the manufacturer’s outpatient products to be covered under Medicare Part D;;</w:t>
      </w:r>
    </w:p>
    <w:p>
      <w:pPr>
        <w:ind w:left="1040" w:hanging="519"/>
        <w:spacing w:after="0" w:line="233" w:lineRule="auto"/>
        <w:tabs>
          <w:tab w:leader="none" w:pos="104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extension of manufacturers’ Medicaid rebate liability to individuals enrolled in Medicaid managed care organizations;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expansion of eligibility criteria for Medicaid programs;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expansion of the entities eligible for discounts under the Public Health Service pharmaceutical pricing program;</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new requirements to report certain financial arrangements with physicians and teaching hospitals;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 new requirement to annually report product samples that manufacturers and distributors provide to physicians;</w:t>
      </w:r>
    </w:p>
    <w:p>
      <w:pPr>
        <w:spacing w:after="0" w:line="110" w:lineRule="exact"/>
        <w:rPr>
          <w:rFonts w:ascii="Times New Roman" w:cs="Times New Roman" w:eastAsia="Times New Roman" w:hAnsi="Times New Roman"/>
          <w:sz w:val="24"/>
          <w:szCs w:val="24"/>
          <w:color w:val="auto"/>
          <w:vertAlign w:val="superscript"/>
        </w:rPr>
      </w:pPr>
    </w:p>
    <w:p>
      <w:pPr>
        <w:ind w:left="1040" w:right="120" w:hanging="519"/>
        <w:spacing w:after="0" w:line="191" w:lineRule="auto"/>
        <w:tabs>
          <w:tab w:leader="none" w:pos="104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90" w:lineRule="exact"/>
        <w:rPr>
          <w:rFonts w:ascii="Times New Roman" w:cs="Times New Roman" w:eastAsia="Times New Roman" w:hAnsi="Times New Roman"/>
          <w:sz w:val="29"/>
          <w:szCs w:val="29"/>
          <w:color w:val="auto"/>
          <w:vertAlign w:val="superscript"/>
        </w:rPr>
      </w:pPr>
    </w:p>
    <w:p>
      <w:pPr>
        <w:ind w:left="1040" w:right="840" w:hanging="519"/>
        <w:spacing w:after="0" w:line="200" w:lineRule="auto"/>
        <w:tabs>
          <w:tab w:leader="none" w:pos="104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new Independent Payment Advisory Board, which has authority to recommend certain changes to the Medicare program to reduce expenditures by the program that could result in reduced payments for prescription products; and</w:t>
      </w:r>
    </w:p>
    <w:p>
      <w:pPr>
        <w:ind w:left="1040" w:hanging="519"/>
        <w:spacing w:after="0" w:line="233" w:lineRule="auto"/>
        <w:tabs>
          <w:tab w:leader="none" w:pos="104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established the Center for Medicare and Medicaid Innovation within CMS to test innovative payment and service delivery models.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61" w:name="page62"/>
    <w:bookmarkEnd w:id="61"/>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These changes included aggregate reductions to Medicare payments to providers of up to 2% per fiscal year, starting in 2013.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84"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expect that the PPACA,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0"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from the sales of our products,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w:t>
      </w:r>
    </w:p>
    <w:p>
      <w:pPr>
        <w:spacing w:after="0" w:line="207"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0" w:lineRule="exact"/>
        <w:rPr>
          <w:sz w:val="20"/>
          <w:szCs w:val="20"/>
          <w:color w:val="auto"/>
        </w:rPr>
      </w:pPr>
    </w:p>
    <w:p>
      <w:pPr>
        <w:ind w:right="3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5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non-U.S. regulatory authorities, provide accurate information to the FDA or comparable non-U.S. regulatory authorities, comply with manufacturing standards we have established, comply with federal and state healthcare fraud and abuse laws and regulations and similar laws and regulations established and enforced by comparable non-U.S.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2" w:lineRule="exact"/>
        <w:rPr>
          <w:sz w:val="20"/>
          <w:szCs w:val="20"/>
          <w:color w:val="auto"/>
        </w:rPr>
      </w:pPr>
    </w:p>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2" w:name="page63"/>
    <w:bookmarkEnd w:id="62"/>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in a period of transition following the appointment of our new president and chief executive officer.</w:t>
      </w:r>
    </w:p>
    <w:p>
      <w:pPr>
        <w:spacing w:after="0" w:line="229"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On March 20, 2015, our board of directors appointed Christopher D.T. Guiffre as our President and Chief Executive Officer and elected him as a director, effective immediately. We anticipate that we will experience a transitional period as Mr. Guiffre becomes fully integrated into his new role.</w:t>
      </w:r>
    </w:p>
    <w:p>
      <w:pPr>
        <w:spacing w:after="0" w:line="162"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If Mr. Guiffre unexpectedly ceases to fulfill his responsibilities, our business, financial condition, and results of operations could be materially and adversely affected.</w:t>
      </w:r>
    </w:p>
    <w:p>
      <w:pPr>
        <w:spacing w:after="0" w:line="162"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Paul A. Friedman, M.D., a member of our board of directors, was appointed Executive Chairman of our board effective October 29, 2014 and we anticipate that he will continue in that role for a temporary period.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We are highly dependent on our executive team, most of whom have been employed by the company for two years or less. The loss of any member of the executive team could impede the achievement of our goals. Any of our employees may terminate their employment with us at any time. We do not maintain “key person” insurance for any of our executives or other employees.</w:t>
      </w:r>
    </w:p>
    <w:p>
      <w:pPr>
        <w:spacing w:after="0" w:line="176"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finance and sales and marketing personnel will also be critical to our success. The loss of the services of key employees could impede the achievement of our research, development and commercialization objectives and seriously harm our ability to successfully implement our business strategy. Furthermore, replacing executive officers and key employees, including finance and clinical personnel,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82"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3" w:name="page64"/>
    <w:bookmarkEnd w:id="63"/>
    <w:p>
      <w:pPr>
        <w:ind w:right="1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relocated our operations to Waltham, Massachusetts in late December 2015. The process of relocating our facilities could have disrupted our operations, adversely affected our business or damaged employee morale.</w:t>
      </w:r>
    </w:p>
    <w:p>
      <w:pPr>
        <w:spacing w:after="0" w:line="15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entered into a new lease dated as of July 9, 2015 with AstraZeneca Pharmaceuticals Limited Partnership for approximately 22,992 square feet at the BioHub at 35 Gatehouse Drive in Waltham, Massachusetts. The term of the new lease commenced on December 28, 2015 and expires on February 28, 2021. The lease for our laboratory and office space in Cambridge, Massachusetts was scheduled to expire on February 29, 2016. However, we amended that lease so that it terminated as of December 31, 2015. Although the relocation process is substantially complete, it will take time before we know whether it disrupted our operations, adversely affected our business or damaged employee morale.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in the future be volatile and fluctuate substantially.</w:t>
      </w:r>
    </w:p>
    <w:p>
      <w:pPr>
        <w:spacing w:after="0" w:line="22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stock price has been and may in the future be volatile. From April 10, 2014 to December 31, 2015, the closing price of our common stock as reported by the NASDAQ Global Market ranged from a high of $10.87 per share to a low of $2.80 per share.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2" w:lineRule="exact"/>
        <w:rPr>
          <w:sz w:val="20"/>
          <w:szCs w:val="20"/>
          <w:color w:val="auto"/>
        </w:rPr>
      </w:pPr>
    </w:p>
    <w:p>
      <w:pPr>
        <w:ind w:left="1040" w:hanging="519"/>
        <w:spacing w:after="0" w:line="214" w:lineRule="auto"/>
        <w:tabs>
          <w:tab w:leader="none" w:pos="1040" w:val="left"/>
        </w:tabs>
        <w:numPr>
          <w:ilvl w:val="0"/>
          <w:numId w:val="4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actual or anticipated results from, and any delays in, our clinical trials, including the ongoing and any new ISTs of CRLX101, our ongoing and planned Phase 2 and Phase 3 clinical trials of CRLX101 or our Phase 1/2a clinical trial of CRLX301, as well as results of regulatory reviews relating to the approval of our product candidates;</w:t>
      </w:r>
    </w:p>
    <w:p>
      <w:pPr>
        <w:ind w:left="1040" w:hanging="519"/>
        <w:spacing w:after="0" w:line="233" w:lineRule="auto"/>
        <w:tabs>
          <w:tab w:leader="none" w:pos="1040" w:val="left"/>
        </w:tabs>
        <w:numPr>
          <w:ilvl w:val="0"/>
          <w:numId w:val="4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failure or discontinuation of any of our development programs;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level of expenses related to any of our product candidates or clinical development programs;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commencement or termination of any collaboration or licensing arrangement;</w:t>
      </w:r>
    </w:p>
    <w:p>
      <w:pPr>
        <w:spacing w:after="0" w:line="110" w:lineRule="exact"/>
        <w:rPr>
          <w:rFonts w:ascii="Times New Roman" w:cs="Times New Roman" w:eastAsia="Times New Roman" w:hAnsi="Times New Roman"/>
          <w:sz w:val="24"/>
          <w:szCs w:val="24"/>
          <w:color w:val="auto"/>
          <w:vertAlign w:val="superscript"/>
        </w:rPr>
      </w:pPr>
    </w:p>
    <w:p>
      <w:pPr>
        <w:ind w:left="1040" w:right="40" w:hanging="519"/>
        <w:spacing w:after="0" w:line="191" w:lineRule="auto"/>
        <w:tabs>
          <w:tab w:leader="none" w:pos="1040" w:val="left"/>
        </w:tabs>
        <w:numPr>
          <w:ilvl w:val="0"/>
          <w:numId w:val="4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ind w:left="1040" w:hanging="519"/>
        <w:spacing w:after="0" w:line="233" w:lineRule="auto"/>
        <w:tabs>
          <w:tab w:leader="none" w:pos="1040" w:val="left"/>
        </w:tabs>
        <w:numPr>
          <w:ilvl w:val="0"/>
          <w:numId w:val="4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announcements by us or our competitors of significant acquisitions, strategic partnerships, joint ventures and capital commitments;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additions or departures of key scientific or management personnel;</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variations in our financial results or those of companies that are perceived to be similar to us;</w:t>
      </w:r>
    </w:p>
    <w:p>
      <w:pPr>
        <w:spacing w:after="0" w:line="110" w:lineRule="exact"/>
        <w:rPr>
          <w:rFonts w:ascii="Times New Roman" w:cs="Times New Roman" w:eastAsia="Times New Roman" w:hAnsi="Times New Roman"/>
          <w:sz w:val="24"/>
          <w:szCs w:val="24"/>
          <w:color w:val="auto"/>
          <w:vertAlign w:val="superscript"/>
        </w:rPr>
      </w:pPr>
    </w:p>
    <w:p>
      <w:pPr>
        <w:ind w:left="1040" w:right="460" w:hanging="519"/>
        <w:spacing w:after="0" w:line="191" w:lineRule="auto"/>
        <w:tabs>
          <w:tab w:leader="none" w:pos="1040" w:val="left"/>
        </w:tabs>
        <w:numPr>
          <w:ilvl w:val="0"/>
          <w:numId w:val="4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new products, product candidates or new uses for existing products introduced or announced by our competitors, and the timing of these introductions or announcements;</w:t>
      </w:r>
    </w:p>
    <w:p>
      <w:pPr>
        <w:ind w:left="1040" w:hanging="519"/>
        <w:spacing w:after="0" w:line="233" w:lineRule="auto"/>
        <w:tabs>
          <w:tab w:leader="none" w:pos="1040" w:val="left"/>
        </w:tabs>
        <w:numPr>
          <w:ilvl w:val="0"/>
          <w:numId w:val="4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results of clinical trials of product candidates of our competitors;</w:t>
      </w:r>
    </w:p>
    <w:p>
      <w:pPr>
        <w:spacing w:after="0" w:line="110" w:lineRule="exact"/>
        <w:rPr>
          <w:rFonts w:ascii="Times New Roman" w:cs="Times New Roman" w:eastAsia="Times New Roman" w:hAnsi="Times New Roman"/>
          <w:sz w:val="29"/>
          <w:szCs w:val="29"/>
          <w:color w:val="auto"/>
          <w:vertAlign w:val="superscript"/>
        </w:rPr>
      </w:pPr>
    </w:p>
    <w:p>
      <w:pPr>
        <w:ind w:left="1040" w:right="20" w:hanging="519"/>
        <w:spacing w:after="0" w:line="191" w:lineRule="auto"/>
        <w:tabs>
          <w:tab w:leader="none" w:pos="1040" w:val="left"/>
        </w:tabs>
        <w:numPr>
          <w:ilvl w:val="0"/>
          <w:numId w:val="4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ind w:left="1040" w:hanging="519"/>
        <w:spacing w:after="0" w:line="233" w:lineRule="auto"/>
        <w:tabs>
          <w:tab w:leader="none" w:pos="1040" w:val="left"/>
        </w:tabs>
        <w:numPr>
          <w:ilvl w:val="0"/>
          <w:numId w:val="4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regulatory or legal developments in the United States and other countries;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changes in the structure of healthcare payment systems;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conditions or trends in the biotechnology and biopharmaceutical industries;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actual or anticipated changes in earnings estimates, development timelines or recommendations by securities analysts;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announcement or expectation of additional financing efforts;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sales of common stock by us or our stockholders in the future, as well as the overall trading volume of our common stock;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other factors described in this “Risk Factors” section.</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49" w:right="339" w:bottom="1440" w:gutter="0" w:footer="0" w:header="0"/>
        </w:sectPr>
      </w:pPr>
    </w:p>
    <w:bookmarkStart w:id="64" w:name="page65"/>
    <w:bookmarkEnd w:id="64"/>
    <w:p>
      <w:pPr>
        <w:ind w:firstLine="51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84" w:lineRule="exact"/>
        <w:rPr>
          <w:sz w:val="20"/>
          <w:szCs w:val="20"/>
          <w:color w:val="auto"/>
        </w:rPr>
      </w:pPr>
    </w:p>
    <w:p>
      <w:pPr>
        <w:ind w:right="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and their affiliates own a significant percentage of our stock and will be able to exercise significant influence over matters submitted to stockholders for approval.</w:t>
      </w:r>
    </w:p>
    <w:p>
      <w:pPr>
        <w:spacing w:after="0" w:line="159" w:lineRule="exact"/>
        <w:rPr>
          <w:sz w:val="20"/>
          <w:szCs w:val="20"/>
          <w:color w:val="auto"/>
        </w:rPr>
      </w:pPr>
    </w:p>
    <w:p>
      <w:pPr>
        <w:ind w:right="340" w:firstLine="518"/>
        <w:spacing w:after="0" w:line="261" w:lineRule="auto"/>
        <w:rPr>
          <w:sz w:val="20"/>
          <w:szCs w:val="20"/>
          <w:color w:val="auto"/>
        </w:rPr>
      </w:pPr>
      <w:r>
        <w:rPr>
          <w:rFonts w:ascii="Times New Roman" w:cs="Times New Roman" w:eastAsia="Times New Roman" w:hAnsi="Times New Roman"/>
          <w:sz w:val="18"/>
          <w:szCs w:val="18"/>
          <w:color w:val="auto"/>
        </w:rPr>
        <w:t>We believe that as of December 31, 2015, our executive officers and directors and their affiliates beneficially owned 27.9% of our outstanding common stock. As a result, if these stockholders were to choose to act together, they would be able to exert a significant degree of influence over matters submitted to our stockholders for approval, as well as our management and affairs. For example, these persons, if they choose to act together, would substantially influence the election of directors and approval of any merger, consolidation or sale of all or substantially all of our assets.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could:</w:t>
      </w:r>
    </w:p>
    <w:p>
      <w:pPr>
        <w:spacing w:after="0" w:line="18" w:lineRule="exact"/>
        <w:rPr>
          <w:sz w:val="20"/>
          <w:szCs w:val="20"/>
          <w:color w:val="auto"/>
        </w:rPr>
      </w:pPr>
    </w:p>
    <w:p>
      <w:pPr>
        <w:ind w:left="1040" w:hanging="519"/>
        <w:spacing w:after="0"/>
        <w:tabs>
          <w:tab w:leader="none" w:pos="1040" w:val="left"/>
        </w:tabs>
        <w:numPr>
          <w:ilvl w:val="0"/>
          <w:numId w:val="4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delay, defer or prevent a change in control;</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entrench our management or board of directors; or</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impede a merger, consolidation, takeover or other business combination involving us that other stockholders may desire.</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Although we have listed our common stock on The NASDAQ Global Market, an active trading market for our shares may not be sustained. In the absence of an active trading market for our common stock, it may be difficult for our stockholders to sell their shares without depressing the market price for the shares or sell their shares at or above the prices at which they acquired their shares or sell their shares at the times they would like to sell.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0" w:lineRule="exact"/>
        <w:rPr>
          <w:sz w:val="20"/>
          <w:szCs w:val="20"/>
          <w:color w:val="auto"/>
        </w:rPr>
      </w:pPr>
    </w:p>
    <w:p>
      <w:pPr>
        <w:ind w:right="2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public market at any point, which could cause the market price of our common stock to drop significantly, even if our business is doing well.</w:t>
      </w:r>
    </w:p>
    <w:p>
      <w:pPr>
        <w:spacing w:after="0" w:line="15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which we refer to as the Securities Act, or to the extent such shares have already been registered under the Securities Act and are held by non-affiliates of ours.</w:t>
      </w:r>
    </w:p>
    <w:p>
      <w:pPr>
        <w:spacing w:after="0" w:line="180"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As of December 31, 2015, there were 3,454,926 shares subject to outstanding options. In August 2014, we registered all of these shares under the Securities Act on a registration statement on Form S-8. These shares can be freely sold in the public market upon exercise, as permitted by any applicable vesting requirements, except to the extent they are held by our affiliates, in which case such shares will become eligible for sale in the public market as permitted by Rule 144 under the Securities Act. Furthermore, as of December 31, 2015, there were 300,564 shares subject to outstanding warrants to purchase common stock. These shares will become eligible for sale in the public market, to the extent such warrants are exercised, as permitted by Rule 144 under the Securities Act. Moreover, holders of approximately [6.3 million shares] of our common stock have rights, subject to conditions, to require us to file registration statements covering their shares or to include their shares in registration statements that we may file for ourselves or other stockholders.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reserves and may not use them effectively.</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and these financial losses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65" w:name="page66"/>
    <w:bookmarkEnd w:id="65"/>
    <w:p>
      <w:pPr>
        <w:ind w:right="6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through 2019. For so long as we remain an emerging growth company, we are permitted and intend to rely on exemptions from certain disclosure requirements that are applicable to other public companies that are not emerging growth companies. These exemptions include:</w:t>
      </w:r>
    </w:p>
    <w:p>
      <w:pPr>
        <w:ind w:left="1040" w:hanging="519"/>
        <w:spacing w:after="0" w:line="217" w:lineRule="auto"/>
        <w:tabs>
          <w:tab w:leader="none" w:pos="1040" w:val="left"/>
        </w:tabs>
        <w:numPr>
          <w:ilvl w:val="0"/>
          <w:numId w:val="4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0" w:lineRule="exact"/>
        <w:rPr>
          <w:rFonts w:ascii="Times New Roman" w:cs="Times New Roman" w:eastAsia="Times New Roman" w:hAnsi="Times New Roman"/>
          <w:sz w:val="29"/>
          <w:szCs w:val="29"/>
          <w:color w:val="auto"/>
          <w:vertAlign w:val="superscript"/>
        </w:rPr>
      </w:pPr>
    </w:p>
    <w:p>
      <w:pPr>
        <w:ind w:left="1040" w:right="620" w:hanging="519"/>
        <w:spacing w:after="0" w:line="207" w:lineRule="auto"/>
        <w:tabs>
          <w:tab w:leader="none" w:pos="1040" w:val="left"/>
        </w:tabs>
        <w:numPr>
          <w:ilvl w:val="0"/>
          <w:numId w:val="4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Times New Roman" w:cs="Times New Roman" w:eastAsia="Times New Roman" w:hAnsi="Times New Roman"/>
          <w:sz w:val="29"/>
          <w:szCs w:val="29"/>
          <w:color w:val="auto"/>
          <w:vertAlign w:val="superscript"/>
        </w:rPr>
      </w:pPr>
    </w:p>
    <w:p>
      <w:pPr>
        <w:ind w:left="1040" w:hanging="519"/>
        <w:spacing w:after="0" w:line="233" w:lineRule="auto"/>
        <w:tabs>
          <w:tab w:leader="none" w:pos="1040" w:val="left"/>
        </w:tabs>
        <w:numPr>
          <w:ilvl w:val="0"/>
          <w:numId w:val="4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reduced disclosure obligations regarding executive compensation; and</w:t>
      </w:r>
    </w:p>
    <w:p>
      <w:pPr>
        <w:spacing w:after="0" w:line="110" w:lineRule="exact"/>
        <w:rPr>
          <w:rFonts w:ascii="Times New Roman" w:cs="Times New Roman" w:eastAsia="Times New Roman" w:hAnsi="Times New Roman"/>
          <w:sz w:val="29"/>
          <w:szCs w:val="29"/>
          <w:color w:val="auto"/>
          <w:vertAlign w:val="superscript"/>
        </w:rPr>
      </w:pPr>
    </w:p>
    <w:p>
      <w:pPr>
        <w:ind w:left="1040" w:right="200" w:hanging="519"/>
        <w:spacing w:after="0" w:line="191" w:lineRule="auto"/>
        <w:tabs>
          <w:tab w:leader="none" w:pos="1040" w:val="left"/>
        </w:tabs>
        <w:numPr>
          <w:ilvl w:val="0"/>
          <w:numId w:val="4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98"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160" w:firstLine="518"/>
        <w:spacing w:after="0" w:line="281" w:lineRule="auto"/>
        <w:rPr>
          <w:sz w:val="20"/>
          <w:szCs w:val="20"/>
          <w:color w:val="auto"/>
        </w:rPr>
      </w:pPr>
      <w:r>
        <w:rPr>
          <w:rFonts w:ascii="Times New Roman" w:cs="Times New Roman" w:eastAsia="Times New Roman" w:hAnsi="Times New Roman"/>
          <w:sz w:val="17"/>
          <w:szCs w:val="17"/>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161"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incurring and expect to continue to incur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As a newly public company, we are incurring and expect to continue to incur additional significant legal, accounting and other expenses that we did not incur as a private company. We expect that these expenses will further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w:t>
      </w:r>
    </w:p>
    <w:p>
      <w:pPr>
        <w:spacing w:after="0" w:line="185" w:lineRule="exact"/>
        <w:rPr>
          <w:sz w:val="20"/>
          <w:szCs w:val="20"/>
          <w:color w:val="auto"/>
        </w:rPr>
      </w:pPr>
    </w:p>
    <w:p>
      <w:pPr>
        <w:ind w:firstLine="518"/>
        <w:spacing w:after="0" w:line="271" w:lineRule="auto"/>
        <w:rPr>
          <w:sz w:val="20"/>
          <w:szCs w:val="20"/>
          <w:color w:val="auto"/>
        </w:rPr>
      </w:pPr>
      <w:r>
        <w:rPr>
          <w:rFonts w:ascii="Times New Roman" w:cs="Times New Roman" w:eastAsia="Times New Roman" w:hAnsi="Times New Roman"/>
          <w:sz w:val="17"/>
          <w:szCs w:val="17"/>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66" w:name="page67"/>
    <w:bookmarkEnd w:id="66"/>
    <w:p>
      <w:pPr>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growth and development of our business. Furthermore, the terms of the Hercules Loan Agreement prohibit us from paying any dividends without the prior written consent of Hercules, and any future debt agreements may also preclude us from paying dividends. Accordingly, capital appreciation, if any, of our common stock will be the sole source of gain for our stockholders for the foreseeable future.</w:t>
      </w:r>
    </w:p>
    <w:p>
      <w:pPr>
        <w:spacing w:after="0" w:line="176" w:lineRule="exact"/>
        <w:rPr>
          <w:sz w:val="20"/>
          <w:szCs w:val="20"/>
          <w:color w:val="auto"/>
        </w:rPr>
      </w:pPr>
    </w:p>
    <w:p>
      <w:pPr>
        <w:ind w:right="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15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our bylaws or Delaware law may discourage, delay or prevent a merger, acquisition or other change in control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our current management by making it more difficult for stockholders to replace members of our board of directors. Among other things, these provisions:</w:t>
      </w:r>
    </w:p>
    <w:p>
      <w:pPr>
        <w:ind w:left="1040" w:hanging="519"/>
        <w:spacing w:after="0" w:line="226" w:lineRule="auto"/>
        <w:tabs>
          <w:tab w:leader="none" w:pos="1040" w:val="left"/>
        </w:tabs>
        <w:numPr>
          <w:ilvl w:val="0"/>
          <w:numId w:val="5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allow the authorized number of our directors to be changed only by resolution of our board of directors;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limit the manner in which stockholders can remove directors from the board;</w:t>
      </w:r>
    </w:p>
    <w:p>
      <w:pPr>
        <w:spacing w:after="0" w:line="110" w:lineRule="exact"/>
        <w:rPr>
          <w:rFonts w:ascii="Times New Roman" w:cs="Times New Roman" w:eastAsia="Times New Roman" w:hAnsi="Times New Roman"/>
          <w:sz w:val="24"/>
          <w:szCs w:val="24"/>
          <w:color w:val="auto"/>
          <w:vertAlign w:val="superscript"/>
        </w:rPr>
      </w:pPr>
    </w:p>
    <w:p>
      <w:pPr>
        <w:ind w:left="1040" w:right="360" w:hanging="519"/>
        <w:spacing w:after="0" w:line="191" w:lineRule="auto"/>
        <w:tabs>
          <w:tab w:leader="none" w:pos="1040" w:val="left"/>
        </w:tabs>
        <w:numPr>
          <w:ilvl w:val="0"/>
          <w:numId w:val="5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 advance notice requirements for nominations for election to the board or for proposing matters that can be acted on at stockholder meetings;</w:t>
      </w:r>
    </w:p>
    <w:p>
      <w:pPr>
        <w:sectPr>
          <w:pgSz w:w="11900" w:h="16838" w:orient="portrait"/>
          <w:cols w:equalWidth="0" w:num="1">
            <w:col w:w="11420"/>
          </w:cols>
          <w:pgMar w:left="240" w:top="549" w:right="239" w:bottom="1440" w:gutter="0" w:footer="0" w:header="0"/>
        </w:sectPr>
      </w:pPr>
    </w:p>
    <w:p>
      <w:pPr>
        <w:spacing w:after="0" w:line="86"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consent;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by written</w:t>
      </w:r>
    </w:p>
    <w:p>
      <w:pPr>
        <w:spacing w:after="0" w:line="291" w:lineRule="exact"/>
        <w:rPr>
          <w:sz w:val="20"/>
          <w:szCs w:val="20"/>
          <w:color w:val="auto"/>
        </w:rPr>
      </w:pPr>
    </w:p>
    <w:p>
      <w:pPr>
        <w:sectPr>
          <w:pgSz w:w="11900" w:h="16838" w:orient="portrait"/>
          <w:cols w:equalWidth="0" w:num="3">
            <w:col w:w="560" w:space="480"/>
            <w:col w:w="8120" w:space="140"/>
            <w:col w:w="2120"/>
          </w:cols>
          <w:pgMar w:left="240" w:top="549" w:right="239" w:bottom="1440" w:gutter="0" w:footer="0" w:header="0"/>
          <w:type w:val="continuous"/>
        </w:sectPr>
      </w:pPr>
    </w:p>
    <w:p>
      <w:pPr>
        <w:ind w:left="1040" w:hanging="519"/>
        <w:spacing w:after="0" w:line="207" w:lineRule="auto"/>
        <w:tabs>
          <w:tab w:leader="none" w:pos="1040" w:val="left"/>
        </w:tabs>
        <w:numPr>
          <w:ilvl w:val="0"/>
          <w:numId w:val="5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limit who may call a special meeting of stockholders;</w:t>
      </w:r>
    </w:p>
    <w:p>
      <w:pPr>
        <w:spacing w:after="0" w:line="110" w:lineRule="exact"/>
        <w:rPr>
          <w:rFonts w:ascii="Times New Roman" w:cs="Times New Roman" w:eastAsia="Times New Roman" w:hAnsi="Times New Roman"/>
          <w:sz w:val="29"/>
          <w:szCs w:val="29"/>
          <w:color w:val="auto"/>
          <w:vertAlign w:val="superscript"/>
        </w:rPr>
      </w:pPr>
    </w:p>
    <w:p>
      <w:pPr>
        <w:ind w:left="1040" w:right="220" w:hanging="519"/>
        <w:spacing w:after="0" w:line="199" w:lineRule="auto"/>
        <w:tabs>
          <w:tab w:leader="none" w:pos="1040" w:val="left"/>
        </w:tabs>
        <w:numPr>
          <w:ilvl w:val="0"/>
          <w:numId w:val="5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spacing w:after="0" w:line="91" w:lineRule="exact"/>
        <w:rPr>
          <w:rFonts w:ascii="Times New Roman" w:cs="Times New Roman" w:eastAsia="Times New Roman" w:hAnsi="Times New Roman"/>
          <w:sz w:val="28"/>
          <w:szCs w:val="28"/>
          <w:color w:val="auto"/>
          <w:vertAlign w:val="superscript"/>
        </w:rPr>
      </w:pPr>
    </w:p>
    <w:p>
      <w:pPr>
        <w:ind w:left="1040" w:right="380" w:hanging="519"/>
        <w:spacing w:after="0" w:line="200" w:lineRule="auto"/>
        <w:tabs>
          <w:tab w:leader="none" w:pos="1040" w:val="left"/>
        </w:tabs>
        <w:numPr>
          <w:ilvl w:val="0"/>
          <w:numId w:val="5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19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addition, we are governed by Section 203 of the Delaware General Corporation Law, which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80" w:lineRule="exact"/>
        <w:rPr>
          <w:sz w:val="20"/>
          <w:szCs w:val="20"/>
          <w:color w:val="auto"/>
        </w:rPr>
      </w:pPr>
    </w:p>
    <w:p>
      <w:pPr>
        <w:ind w:right="3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stock could decline. In addition, if one or more of these analysts cease coverage of our company or fail to regularly publish reports on us, we could lose visibility in the financial markets, which in turn could cause our stock price or trading volume to decline.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bookmarkStart w:id="67" w:name="page68"/>
    <w:bookmarkEnd w:id="67"/>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Our principal facilities consist of approximately 23,000 square feet of office, laboratory and vivarium space located at 35 Gatehouse Drive, Waltham, Massachusetts. The lease expires in February 2021, subject to our option to extend the lease for an additional three years.</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In March 2014, Calando Pharmaceuticals, Inc., or Calando, entered Chapter 7 bankruptcy in the District of Delaware and, as a result, the intellectual property rights we have obtained from Calando are subject to potential risks that may arise in connection with bankruptcy. For instance, while our ability to develop and/or commercialize our current product candidates and our ability to utilize our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 On March 27, 2015, the bankruptcy court granted Calando’s bankruptcy trustee’s application to retain a broker to help sell Calando’s rights in certain assets including its rights in the license agreements with Cerulean. We reserved our rights with respect to any such sale.</w:t>
      </w:r>
    </w:p>
    <w:p>
      <w:pPr>
        <w:spacing w:after="0" w:line="18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3"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Shares,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“CERU” since April 2014. The following table sets forth on a per share basis, for the periods indicated, the low and high sale prices of our common stock as report by the NASDAQ Global Market.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Common Stock Price</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2015</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0" w:type="dxa"/>
            <w:vAlign w:val="bottom"/>
            <w:shd w:val="clear" w:color="auto" w:fill="CFF0FC"/>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8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0" w:type="dxa"/>
            <w:vAlign w:val="bottom"/>
            <w:shd w:val="clear" w:color="auto" w:fill="CFF0FC"/>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19"/>
                <w:szCs w:val="19"/>
                <w:color w:val="auto"/>
              </w:rPr>
            </w:pPr>
          </w:p>
        </w:tc>
      </w:t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2014</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 (from April 10, 2014)</w:t>
            </w:r>
          </w:p>
        </w:tc>
        <w:tc>
          <w:tcPr>
            <w:tcW w:w="1000" w:type="dxa"/>
            <w:vAlign w:val="bottom"/>
            <w:shd w:val="clear" w:color="auto" w:fill="CFF0FC"/>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20"/>
                <w:szCs w:val="20"/>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0" w:type="dxa"/>
            <w:vAlign w:val="bottom"/>
            <w:shd w:val="clear" w:color="auto" w:fill="CFF0FC"/>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FF0FC"/>
          </w:tcPr>
          <w:p>
            <w:pPr>
              <w:spacing w:after="0"/>
              <w:rPr>
                <w:sz w:val="19"/>
                <w:szCs w:val="19"/>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the close of business on March 1, 2016, there were approximately 43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right="440" w:firstLine="51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any current and future earnings to finance the growth and development of our business and, therefore, do not anticipate paying any cash dividends in the foreseeable future. Our amended and restated credit facility contains restrictions on our ability to pay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We completed the initial public offering of our common stock, or our IPO, pursuant to a Registration Statement on Form S-1 (File No. 333-194442), which was declared effective by the United States Securities and Exchange Commission, or SEC, on April 10, 2014. The net offering proceeds to us, after deducting underwriting discounts and commissions and offering expenses, were approximately $59.9 million.</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As of December 31, 2015, we had used approximately $40.9 million of the net proceeds from our IPO, primarily to fund the clinical development of CRLX101, to fund research and development of CRLX301 and for working capital and other general corporate purposes. We have invested the balance of the net proceeds from the offering in a variety of capital preservation investments, including short-term, investment grade, interest bearing instruments and U.S. government securities in accordance with our investment policy. There has been no material change in our planned use of the net proceeds from our IPO as described in our final prospectus filed with the SEC pursuant to Rule 424(b)(4)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7"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filing of our company under the Securities Act of 1933, as amended, or the Exchange Act.</w:t>
      </w:r>
    </w:p>
    <w:p>
      <w:pPr>
        <w:spacing w:after="0" w:line="176"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for our common stock for the period from April 10, 2014 through December 31, 2015 with The NASDAQ Composite Index and the NASDAQ Biotechnology index. The comparison assumes an investment of $100 is made on April 10, 2014 in our common stock and in each of the indices and in the case of the indices it also assumes reinvestment of all dividends. The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142875</wp:posOffset>
            </wp:positionV>
            <wp:extent cx="6071870" cy="50425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5042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sectPr>
      </w:pPr>
    </w:p>
    <w:bookmarkStart w:id="70" w:name="page71"/>
    <w:bookmarkEnd w:id="70"/>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Selected Financial Data</w:t>
      </w:r>
    </w:p>
    <w:p>
      <w:pPr>
        <w:spacing w:after="0" w:line="22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You should read the following selected consolidated financial data in conjunction with “Management’s Discussion and Analysis of Financial Condition and Results of Operations” and our consolidated financial statements and the related notes appearing elsewhere in this Annual Report on Form 10-K. We have derived the consolidated statements of operations data for the years ended December 31, 2015, 2014, and 2013, and the consolidated balance sheet data at December 31, 2015 and 2014 from our audited consolidated financial statements included in this report on Form 10-K. The consolidated statement of operations data for the year ended December 31, 2012, and consolidated balance sheet data as of December 31, 2013 and 2012 are from our audited consolidated financial statements that are not in this Form 10-K. Our historical results for any prior period are not necessarily indicative of the results to be expected in any future period.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 and per share data)</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4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(2,432)</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in value of preferred stock warrant liability</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other (expense)—net</w:t>
            </w:r>
          </w:p>
        </w:tc>
        <w:tc>
          <w:tcPr>
            <w:tcW w:w="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Accretion of redeemable convertible preferred stock</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2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(39,594)</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9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3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25,431,332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14,548,516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609,344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13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60,965</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44,775</w:t>
            </w:r>
          </w:p>
        </w:tc>
        <w:tc>
          <w:tcPr>
            <w:tcW w:w="140" w:type="dxa"/>
            <w:vAlign w:val="bottom"/>
          </w:tcPr>
          <w:p>
            <w:pPr>
              <w:spacing w:after="0"/>
              <w:rPr>
                <w:sz w:val="19"/>
                <w:szCs w:val="19"/>
                <w:color w:val="auto"/>
              </w:rPr>
            </w:pP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(8,699)</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2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3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20,324</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40" w:type="dxa"/>
            <w:vAlign w:val="bottom"/>
          </w:tcPr>
          <w:p>
            <w:pPr>
              <w:spacing w:after="0"/>
              <w:rPr>
                <w:sz w:val="19"/>
                <w:szCs w:val="19"/>
                <w:color w:val="auto"/>
              </w:rPr>
            </w:pP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14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32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81,525</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3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32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210,115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167,104</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(161,375)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(121,781)</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(98,439)</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32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45,325</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(94,299)</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71" w:name="page72"/>
    <w:bookmarkEnd w:id="7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read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are a clinical-stage, oncology-focused company applying our proprietary Dynamic Tumor Targeting™ Platform to develop differentiated therapies. We were incorporated under the laws of the State of Delaware on November 28, 2005, under the name Tempo Pharmaceuticals, Inc. In October 2008, we changed our name to Cerulean Pharma Inc.</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Dynamic Tumor Targeting Platform is designed to create nanoparticle-drug conjugates, or NDCs, with the aim of providing safer and more effective therapies for patients living with cancer. NDCs consist of anti-cancer therapeutics, or payloads, covalently linked to a proprietary polymer. An important goal for all drugs is to maximize the net clinical benefit by increasing the desired therapeutic effect while reducing adverse effects. This is especially difficult with drugs used to treat cancer, where the goal is to destroy or inhibit growth of cancer cells without damaging healthy cells. We believe our NDCs concentrate their anti-cancer payloads inside tumor cells while sparing normal tissue because they are small enough to pass through the leaky pores of new blood vessels in tumors as an entry portal into tumor tissue, but are too large to pass through the pores of healthy blood vessels. Once inside tumors, we believe our NDCs are actively taken up into tumor cells where they slowly release their anti-cancer payloads, providing a durable inhibition of their targets.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ability to combine our NDCs with other agents, either approved or experimental, is a key differentiating feature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platform. Based on their properties and design, our NDCs have the potential to enable synergistic combination therapies that can offer better tolerability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efficacy. We believe that better tolerability can be achieved through the preferential accumulation of the NDC in the tumor cells while better efficacy can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achieved by combining drugs that have different and complementary mechanisms of action. Cancer is a multi-faceted disease that is rarely adequately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addressed by one therapy. Tumor cells are genetically diverse and can rapidly resist and ultimately overcome a single-agent therapy by modulating various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adaptive pathways; however, if multiple drugs simultaneously shut down multiple adaptive pathways, there is a greater chance of achieving favorable disease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responses for an extended period of time.</w:t>
      </w:r>
    </w:p>
    <w:p>
      <w:pPr>
        <w:spacing w:after="0" w:line="207"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Our platform has generated two-clinical stage NDCs. Our first platform-generated clinical candidate, CRLX101, is in Phase 2 clinical development in patients with renal cell carcinoma, or RCC, and in Phase 2 and Phase 1b clinical development in patients with ovarian cancer in combination with Avastin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(bevacizumab) and paclitaxel, respectively. CRLX101 has been dosed in more than 350 patients and has shown activity in multiple tumor types, both as monotherapy and in combination with other cancer treatments. The United States Food and Drug Administration, or FDA, has granted CRLX101 fast track designation in combination with Avastin in metastatic RCC and orphan drug designation for the treatment of ovarian cancer. Our second platform-generated clinical candidate, CRLX301, is currently in Phase 1/2a clinical development. We intend to generate additional candidates, alone and potentially in collaboration with partners.</w:t>
      </w:r>
    </w:p>
    <w:p>
      <w:pPr>
        <w:spacing w:after="0" w:line="189"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We are pursuing development of CRLX101 in combination with anti-cancer therapies in multiple ongoing clinical development programs that include company-sponsored trials and investigator-sponsored trials, or ISTs. Our two lead indications are RCC, or kidney cancer, and ovarian cancer:</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Relapsed renal cell carcinoma:</w:t>
      </w:r>
    </w:p>
    <w:p>
      <w:pPr>
        <w:spacing w:after="0" w:line="119" w:lineRule="exact"/>
        <w:rPr>
          <w:sz w:val="20"/>
          <w:szCs w:val="20"/>
          <w:color w:val="auto"/>
        </w:rPr>
      </w:pPr>
    </w:p>
    <w:p>
      <w:pPr>
        <w:ind w:left="1040" w:right="100" w:hanging="519"/>
        <w:spacing w:after="0" w:line="221" w:lineRule="auto"/>
        <w:tabs>
          <w:tab w:leader="none" w:pos="1040" w:val="left"/>
        </w:tabs>
        <w:numPr>
          <w:ilvl w:val="0"/>
          <w:numId w:val="5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u w:val="single" w:color="auto"/>
          <w:color w:val="auto"/>
        </w:rPr>
        <w:t>Current Trial</w:t>
      </w:r>
      <w:r>
        <w:rPr>
          <w:rFonts w:ascii="Times New Roman" w:cs="Times New Roman" w:eastAsia="Times New Roman" w:hAnsi="Times New Roman"/>
          <w:sz w:val="18"/>
          <w:szCs w:val="18"/>
          <w:color w:val="auto"/>
        </w:rPr>
        <w:t>: We are conducting a Phase 2 randomized, controlled, company-sponsored trial comparing CRLX101 administered in combination with Avastin to investigator’s choice of standard of care in patients with RCC who have received two or three prior lines of therapy. We refer to this trial as the RCC Trial. We completed enrollment of the trial in October 2015 and we expect to announce top-line data in the first half of 2016.</w:t>
      </w:r>
    </w:p>
    <w:p>
      <w:pPr>
        <w:spacing w:after="0" w:line="93" w:lineRule="exact"/>
        <w:rPr>
          <w:rFonts w:ascii="Times New Roman" w:cs="Times New Roman" w:eastAsia="Times New Roman" w:hAnsi="Times New Roman"/>
          <w:sz w:val="29"/>
          <w:szCs w:val="29"/>
          <w:color w:val="auto"/>
          <w:vertAlign w:val="superscript"/>
        </w:rPr>
      </w:pPr>
    </w:p>
    <w:p>
      <w:pPr>
        <w:ind w:left="1040" w:right="100" w:hanging="519"/>
        <w:spacing w:after="0" w:line="227" w:lineRule="auto"/>
        <w:tabs>
          <w:tab w:leader="none" w:pos="1040" w:val="left"/>
        </w:tabs>
        <w:numPr>
          <w:ilvl w:val="0"/>
          <w:numId w:val="5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u w:val="single" w:color="auto"/>
          <w:color w:val="auto"/>
        </w:rPr>
        <w:t>Prior Clinical Trial</w:t>
      </w:r>
      <w:r>
        <w:rPr>
          <w:rFonts w:ascii="Times New Roman" w:cs="Times New Roman" w:eastAsia="Times New Roman" w:hAnsi="Times New Roman"/>
          <w:sz w:val="18"/>
          <w:szCs w:val="18"/>
          <w:color w:val="auto"/>
        </w:rPr>
        <w:t>: CRLX101 in combination with Avastin has been previously evaluated in a Phase 1b/2 single-arm IST in patients with relapsed RCC. Based on the results of this IST, we believe that the combination of CRLX101 and Avastin may provide therapeutic benefits to patients with RCC who have received two or three prior lines of therapy including a tyrosine kinase inhibitor, or TKI, and/or an inhibitor of a mammalian target of rapamycin, or an mTOR inhibitor. A total of 22 patients were evaluable for efficacy in this trial. The last patient was enrolled in December 2014, and the trial met its primary endpoint of safety and tolerability.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72" w:name="page73"/>
    <w:bookmarkEnd w:id="72"/>
    <w:p>
      <w:pPr>
        <w:ind w:left="520"/>
        <w:spacing w:after="0"/>
        <w:rPr>
          <w:sz w:val="20"/>
          <w:szCs w:val="20"/>
          <w:color w:val="auto"/>
        </w:rPr>
      </w:pPr>
      <w:r>
        <w:rPr>
          <w:rFonts w:ascii="Times New Roman" w:cs="Times New Roman" w:eastAsia="Times New Roman" w:hAnsi="Times New Roman"/>
          <w:sz w:val="18"/>
          <w:szCs w:val="18"/>
          <w:i w:val="1"/>
          <w:iCs w:val="1"/>
          <w:color w:val="auto"/>
        </w:rPr>
        <w:t>Relapsed ovarian cancer:</w:t>
      </w:r>
    </w:p>
    <w:p>
      <w:pPr>
        <w:spacing w:after="0" w:line="119" w:lineRule="exact"/>
        <w:rPr>
          <w:sz w:val="20"/>
          <w:szCs w:val="20"/>
          <w:color w:val="auto"/>
        </w:rPr>
      </w:pPr>
    </w:p>
    <w:p>
      <w:pPr>
        <w:ind w:left="1040" w:right="60" w:hanging="519"/>
        <w:spacing w:after="0" w:line="230" w:lineRule="auto"/>
        <w:tabs>
          <w:tab w:leader="none" w:pos="1040" w:val="left"/>
        </w:tabs>
        <w:numPr>
          <w:ilvl w:val="0"/>
          <w:numId w:val="5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u w:val="single" w:color="auto"/>
          <w:color w:val="auto"/>
        </w:rPr>
        <w:t>Current Trials</w:t>
      </w:r>
      <w:r>
        <w:rPr>
          <w:rFonts w:ascii="Times New Roman" w:cs="Times New Roman" w:eastAsia="Times New Roman" w:hAnsi="Times New Roman"/>
          <w:sz w:val="18"/>
          <w:szCs w:val="18"/>
          <w:color w:val="auto"/>
        </w:rPr>
        <w:t>: A Phase 2 single-arm IST of CRLX101 as monotherapy and in combination with Avastin in patients with relapsed ovarian cancer is being conducted at Massachusetts General Hospital and affiliated Harvard University teaching hospitals. The monotherapy arm of the trial, in which 29 patients were enrolled, met its primary endpoint. RECIST responses, as well as encouraging PFS, were observed for several patients in the monotherapy arm. The results from the monotherapy arm led to the combination arm of this trial, which employs a two-stage design. The first stage enrolled 18 patients and achieved the pre-defined criterion for advancement into the second stage, which showed improved activity relative to the monotherapy arm. We are enrolling an additional 25 patients in the second stage of this trial.</w:t>
      </w:r>
    </w:p>
    <w:p>
      <w:pPr>
        <w:spacing w:after="0" w:line="201" w:lineRule="exact"/>
        <w:rPr>
          <w:rFonts w:ascii="Times New Roman" w:cs="Times New Roman" w:eastAsia="Times New Roman" w:hAnsi="Times New Roman"/>
          <w:sz w:val="29"/>
          <w:szCs w:val="29"/>
          <w:color w:val="auto"/>
          <w:vertAlign w:val="superscript"/>
        </w:rPr>
      </w:pPr>
    </w:p>
    <w:p>
      <w:pPr>
        <w:ind w:left="1040" w:right="40"/>
        <w:spacing w:after="0" w:line="256"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are conducting a Phase 1b single-arm company-sponsored trial of CRLX101 in combination with weekly paclitaxel in patients with relapsed ovarian cancer in collaboration with the GOG Foundation, Inc. (formerly known as the Gynecologic Oncology Group), or GOG. This Phase 1b multi-center, open-label, dose-escalation study combines CRLX101 with weekly paclitaxel in up to 24 patients with recurrent or persistent epithelial ovarian, fallopian tube or primary peritoneal cancer. The trial is designed to identify the maximum tolerated dose as well as pharmacokinetics, safety and tolerability of CRLX101 in combination with weekly paclitaxel. We will also evaluate preliminary evidence of efficacy.</w:t>
      </w:r>
    </w:p>
    <w:p>
      <w:pPr>
        <w:spacing w:after="0" w:line="188"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In November 2015, we entered into a collaboration with AstraZeneca AB, or AstraZeneca, and the National Cancer Institute, or the NCI, to study the clinical combination of AstraZeneca’s drug Lynparza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(olaparib) with CRLX101. We believe our NDCs enable therapeutic combinations because they are designed to concentrate anti-cancer payloads inside tumor cells and spare healthy tissue. Preclinical data generated by AstraZeneca with the Lynparza-CRLX101 combination demonstrated a synergistic anti-tumor effect from targeting two validated pathways. While PARP-topo 1 combinations have traditionally been limited by toxicity, we believe that with our NDC and the work AstraZeneca has done to define a clinical dose and schedule, we may be able to develop an effective and tolerable Lynparza-CRLX101 combination.</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CRLX301, our second platform-generated NDC clinical candidate, is an NDC with docetaxel as its anti-cancer payload. CRLX301 is designed to concentrate in tumors and slowly release docetaxel inside tumor cells. In preclinical studies, CRLX301 delivered up to 10 times more docetaxel into tumors, compared to an equivalent milligram dose of commercially available docetaxel and was similar to or better than docetaxel in seven of seven animal models, with a statistically significant survival benefit seen in five of those seven models. In addition, preclinical data show that CRLX301 had lower toxicity than has been reported with docetaxel in similar preclinical studies. CRLX301 is currently in Phase 1/2a clinical development:</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Dose Escalation</w:t>
      </w:r>
    </w:p>
    <w:p>
      <w:pPr>
        <w:spacing w:after="0" w:line="119" w:lineRule="exact"/>
        <w:rPr>
          <w:sz w:val="20"/>
          <w:szCs w:val="20"/>
          <w:color w:val="auto"/>
        </w:rPr>
      </w:pPr>
    </w:p>
    <w:p>
      <w:pPr>
        <w:ind w:left="1040" w:hanging="519"/>
        <w:spacing w:after="0" w:line="233" w:lineRule="auto"/>
        <w:tabs>
          <w:tab w:leader="none" w:pos="1040"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u w:val="single" w:color="auto"/>
          <w:color w:val="auto"/>
        </w:rPr>
        <w:t>Current Trial</w:t>
      </w:r>
      <w:r>
        <w:rPr>
          <w:rFonts w:ascii="Times New Roman" w:cs="Times New Roman" w:eastAsia="Times New Roman" w:hAnsi="Times New Roman"/>
          <w:sz w:val="18"/>
          <w:szCs w:val="18"/>
          <w:color w:val="auto"/>
        </w:rPr>
        <w:t>: We are studying CRLX301 in a Phase 1/2a trial in patients with advanced solid tumor malignancies in order to evaluate the safety of the drug and establish a maximum tolerated dose, or MTD, for two dosing schedules. We explored tolerability of dose ranges when the drug candidate was administered once every three weeks. We completed the first six dosing cohorts starting at 7.5 mg/ 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and then escalated to 15, 30, 60, 75, and 90 mg/ 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At 90 mg/ 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we observed dose limiting toxicities in two of six patients. As a result, we have determined an MTD of 75 mg/ 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for this dosing schedule which is equivalent to the standard dose level and schedule for commercial docetaxel. We are exploring a weekly dosing schedule to determine the MTD for that regimen. These parallel paths will allow us to determine the recommended Phase 2 dose with the preferred dosing schedule.</w:t>
      </w:r>
    </w:p>
    <w:p>
      <w:pPr>
        <w:spacing w:after="0" w:line="199"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We hold issued patents in the United States, Japan, and several other countries covering the composition of matter of CRLX101 that expire in 2023 and 2024, excluding any potential patent term extension. Due to the ability of NDCs to target the “leaky” vasculature that is present in all solid tumors and CRLX101’s apparently favorable adverse event profile observed to date, we believe CRLX101 may have significant clinical utility in several cancer indications, particularly in combination with other cancer therapies. We hold issued patents in the United States, Japan, and several other countries covering the composition of matter of CRLX301 that expire in 2023 and 2024, excluding any potential patent term extension.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73" w:name="page74"/>
    <w:bookmarkEnd w:id="73"/>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To date, we have devoted substantially all of our resources to our drug discovery and development efforts, including conducting clinical trials of our product candidates, protecting our intellectual property and the general and administrative support of our operations. We have generated no revenue from product sales. We expect that it will be several years before we commercialize a product candidate, if ever. Through December 31, 2015, we have funded our operations primarily through $84.2 million in proceeds from the sale of shares of our convertible preferred stock in private placements, net proceeds of $59.9 million from sales of shares of our common stock in our initial public offering, or IPO, net proceeds of $37.2 million from the sale of shares of our common stock in April 2015 in an underwritten public offering, $17.3 million in proceeds from our sale of convertible promissory notes, $10.0 million in proceeds from a loan and security agreement with Lighthouse Capital Partners VI, L.P., or Lighthouse Capital, and $21.0 million in proceeds from a loan and security agreement with Hercules Technology Growth Capital, Inc., or Hercules. We refer to our loan and security agreements with Lighthouse Capital and Hercules as the Lighthouse Loan Agreement and the Hercules Loan Agreement, respectively.</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January 8, 2015, we entered into the Hercules Loan Agreement. Pursuant to the Hercules Loan Agreement, we are eligible to borrow up to an aggregate principal amount of $26.0 million, subject to certain conditions. On January 8, 2015, we borrowed $15.0 million under the Hercules Loan Agreement, and we used a portion of those proceeds to repay our outstanding indebtedness under the Lighthouse Loan Agreement. In connection with entering into the Hercules Loan Agreement, we sold 135,501 shares of our common stock to Hercules in a private placement and received $1.0 million in proceeds. On November 24, 2015, we drew a second tranche in the amount of $6.0 million under the Hercules Loan Agreement. We elected not to commence a randomized Phase 2 clinical trial of CRLX101 in combination with chemoradiotherapy on or prior to December 15, 2015, which was a condition of obtaining an additional tranche in an amount of up to $5.0 million. As a result, we are no longer eligible to borrow this amount under the Hercules Loan Agreement. At December 31, 2015, the total principal amount due under the Hercules Loan Agreement was $21.0 million.</w:t>
      </w:r>
    </w:p>
    <w:p>
      <w:pPr>
        <w:spacing w:after="0" w:line="185"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On April 10, 2015 we closed an underwritten public offering, or the Secondary Offering, of 6,716,000 shares of common stock, including 876,000 shares sold pursuant to the full exercise of the underwriters’ option to purchase additional shares, at a public offering price of $6.00 per share. The gross proceeds to us from the Secondary Offering were approximately $40.3 million, before deducting underwriting discounts and commissions and offering expenses payable by us.</w:t>
      </w:r>
    </w:p>
    <w:p>
      <w:pPr>
        <w:spacing w:after="0" w:line="1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We have never been profitable and have incurred significant operating losses since our incorporation. As of December 31, 2015, we had an accumulated deficit of $161.4 million. We incurred net losses of approximately $39.6 million, $23.3 million, and $17.1 million for the years ended December 31, 2015, 2014 and 2013, respectively.</w:t>
      </w:r>
    </w:p>
    <w:p>
      <w:pPr>
        <w:spacing w:after="0" w:line="176"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and increasing expenses and operating losses for the foreseeable future, as we advance our product candidates through preclinical studies and clinical trials, and as we eventually seek regulatory approval for, and commercialize, our product candidates. Our net losses may fluctuate significantly from quarter to quarter and from year to year. We will need to raise additional capital in the future to support our expenses and operating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for the next several years, if ever. In the future, we may generate revenue from a combination of product sales, license fees, milestone and research and development payments in connection with strategic partnerships, and royalties resulting from the sales of products developed under licenses of our intellectual property. We expect that any revenue we generate will fluctuate from quarter to quarter as a result of the timing and amount of any such payments. Our ability to generate product revenues will depend on the successful development and eventual commercialization of our product candidates. If we fail to complete the development of our product candidates in a timely manner or to obtain regulatory approval for our product candidates, our ability to generate future revenue and our results of operations and financial position would be materially adversely affected.</w:t>
      </w:r>
    </w:p>
    <w:p>
      <w:pPr>
        <w:spacing w:after="0" w:line="18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To date, our only revenue has consisted of a government tax credit that we received in 2010 and payments in each of the years from 2011 through 2014 from four material transfer agreements and a research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consists of costs incurred in connection with the discovery and development of our Dynamic Tumor Targeting Platform and our NDCs. These expenses consist primarily of:</w:t>
      </w:r>
    </w:p>
    <w:p>
      <w:pPr>
        <w:ind w:left="1040" w:hanging="519"/>
        <w:spacing w:after="0" w:line="207" w:lineRule="auto"/>
        <w:tabs>
          <w:tab w:leader="none" w:pos="1040" w:val="left"/>
        </w:tabs>
        <w:numPr>
          <w:ilvl w:val="0"/>
          <w:numId w:val="5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110" w:lineRule="exact"/>
        <w:rPr>
          <w:rFonts w:ascii="Times New Roman" w:cs="Times New Roman" w:eastAsia="Times New Roman" w:hAnsi="Times New Roman"/>
          <w:sz w:val="29"/>
          <w:szCs w:val="29"/>
          <w:color w:val="auto"/>
          <w:vertAlign w:val="superscript"/>
        </w:rPr>
      </w:pPr>
    </w:p>
    <w:p>
      <w:pPr>
        <w:ind w:left="1040" w:right="520" w:hanging="519"/>
        <w:spacing w:after="0" w:line="191" w:lineRule="auto"/>
        <w:tabs>
          <w:tab w:leader="none" w:pos="1040" w:val="left"/>
        </w:tabs>
        <w:numPr>
          <w:ilvl w:val="0"/>
          <w:numId w:val="5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expenses incurred under agreements with contract research organizations, or CROs, investigative sites that conduct our clinical trials and consultants that conduct a portion of our preclinical studies;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4" w:name="page75"/>
    <w:bookmarkEnd w:id="74"/>
    <w:p>
      <w:pPr>
        <w:ind w:left="1040" w:hanging="519"/>
        <w:spacing w:after="0"/>
        <w:tabs>
          <w:tab w:leader="none" w:pos="1040" w:val="left"/>
        </w:tabs>
        <w:numPr>
          <w:ilvl w:val="0"/>
          <w:numId w:val="5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expenses relating to scientific and medical consultants and advisors;</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 of acquiring and manufacturing clinical trial materials;</w:t>
      </w:r>
    </w:p>
    <w:p>
      <w:pPr>
        <w:spacing w:after="0" w:line="110" w:lineRule="exact"/>
        <w:rPr>
          <w:rFonts w:ascii="Times New Roman" w:cs="Times New Roman" w:eastAsia="Times New Roman" w:hAnsi="Times New Roman"/>
          <w:sz w:val="24"/>
          <w:szCs w:val="24"/>
          <w:color w:val="auto"/>
          <w:vertAlign w:val="superscript"/>
        </w:rPr>
      </w:pPr>
    </w:p>
    <w:p>
      <w:pPr>
        <w:ind w:left="1040" w:right="640" w:hanging="519"/>
        <w:spacing w:after="0" w:line="191" w:lineRule="auto"/>
        <w:tabs>
          <w:tab w:leader="none" w:pos="1040" w:val="left"/>
        </w:tabs>
        <w:numPr>
          <w:ilvl w:val="0"/>
          <w:numId w:val="5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facilities, depreciation of fixed assets and other allocated expenses, including direct and allocated expenses for rent and maintenance of facilities and equipment;</w:t>
      </w:r>
    </w:p>
    <w:p>
      <w:pPr>
        <w:ind w:left="1040" w:hanging="519"/>
        <w:spacing w:after="0" w:line="233" w:lineRule="auto"/>
        <w:tabs>
          <w:tab w:leader="none" w:pos="1040" w:val="left"/>
        </w:tabs>
        <w:numPr>
          <w:ilvl w:val="0"/>
          <w:numId w:val="5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lab supplies, reagents, active pharmaceutical ingredients and other direct and indirect costs in support of our preclinical and clinical activities;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license fees related to in-licensed products and technology;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costs associated with non-clinical activities and regulatory approvals.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225"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Conducting a significant amount of research and development is central to our business model. Product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support multiple clinical trials of CRLX101 and CRLX301, and advance our earlier-stage research and development projects.</w:t>
      </w:r>
    </w:p>
    <w:p>
      <w:pPr>
        <w:spacing w:after="0" w:line="180"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use our employee and infrastructure resources across multiple research and development programs. We track external research and development expenses and personnel expense on a program-by-program basis and have allocated expenses such as stock-based compensation and indirect laboratory supplies and services to each program based on the personnel resources allocated to each program. Facilities, depreciation and scientific advisory board fees and expenses are not allocated to a program and are considered overhead. Below is a summary of our research and development expenses for the years ended December 31, 2015, 2014 and 2013 (in thousands):</w:t>
      </w:r>
    </w:p>
    <w:p>
      <w:pPr>
        <w:spacing w:after="0" w:line="19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6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486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r>
      <w:tr>
        <w:trPr>
          <w:trHeight w:val="22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CRLX101</w:t>
            </w:r>
          </w:p>
        </w:tc>
        <w:tc>
          <w:tcPr>
            <w:tcW w:w="19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1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Dynamic Tumor Targeting Platform</w:t>
            </w:r>
          </w:p>
        </w:tc>
        <w:tc>
          <w:tcPr>
            <w:tcW w:w="1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Overhead</w:t>
            </w:r>
          </w:p>
        </w:tc>
        <w:tc>
          <w:tcPr>
            <w:tcW w:w="19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FF0FC"/>
            </w:tcBorders>
          </w:tcPr>
          <w:p>
            <w:pPr>
              <w:spacing w:after="0"/>
              <w:rPr>
                <w:sz w:val="19"/>
                <w:szCs w:val="19"/>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9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our research and development programs.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CRLX101</w:t>
      </w:r>
    </w:p>
    <w:p>
      <w:pPr>
        <w:spacing w:after="0" w:line="227"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Our lead product candidate, CRLX101, is an NDC in Phase 2 clinical development. We are pursuing development of CRLX101 in combination with anti-cancer therapies in multiple ongoing clinical development programs that include company-sponsored trials and ISTs. The leading CRLX101 development programs are:</w:t>
      </w:r>
    </w:p>
    <w:p>
      <w:pPr>
        <w:spacing w:after="0" w:line="66" w:lineRule="exact"/>
        <w:rPr>
          <w:sz w:val="20"/>
          <w:szCs w:val="20"/>
          <w:color w:val="auto"/>
        </w:rPr>
      </w:pPr>
    </w:p>
    <w:p>
      <w:pPr>
        <w:ind w:left="1040" w:hanging="519"/>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RCC:</w:t>
      </w:r>
    </w:p>
    <w:p>
      <w:pPr>
        <w:spacing w:after="0" w:line="119" w:lineRule="exact"/>
        <w:rPr>
          <w:rFonts w:ascii="Times New Roman" w:cs="Times New Roman" w:eastAsia="Times New Roman" w:hAnsi="Times New Roman"/>
          <w:sz w:val="18"/>
          <w:szCs w:val="18"/>
          <w:color w:val="auto"/>
        </w:rPr>
      </w:pPr>
    </w:p>
    <w:p>
      <w:pPr>
        <w:ind w:left="1420" w:right="260" w:hanging="386"/>
        <w:spacing w:after="0" w:line="264" w:lineRule="auto"/>
        <w:tabs>
          <w:tab w:leader="none" w:pos="1420" w:val="left"/>
        </w:tabs>
        <w:numPr>
          <w:ilvl w:val="1"/>
          <w:numId w:val="5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are conducting a Phase 2 randomized, controlled, company-sponsored trial comparing CRLX101 administered in combination with Avastin to investigator’s choice of standard of care in patients who have received two or three prior lines of therapy.</w:t>
      </w:r>
    </w:p>
    <w:p>
      <w:pPr>
        <w:spacing w:after="0" w:line="66" w:lineRule="exact"/>
        <w:rPr>
          <w:rFonts w:ascii="Courier New" w:cs="Courier New" w:eastAsia="Courier New" w:hAnsi="Courier New"/>
          <w:sz w:val="18"/>
          <w:szCs w:val="18"/>
          <w:color w:val="auto"/>
        </w:rPr>
      </w:pPr>
    </w:p>
    <w:p>
      <w:pPr>
        <w:ind w:left="900" w:hanging="379"/>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ovarian cancer:</w:t>
      </w:r>
    </w:p>
    <w:p>
      <w:pPr>
        <w:spacing w:after="0" w:line="119" w:lineRule="exact"/>
        <w:rPr>
          <w:rFonts w:ascii="Times New Roman" w:cs="Times New Roman" w:eastAsia="Times New Roman" w:hAnsi="Times New Roman"/>
          <w:sz w:val="18"/>
          <w:szCs w:val="18"/>
          <w:color w:val="auto"/>
        </w:rPr>
      </w:pPr>
    </w:p>
    <w:p>
      <w:pPr>
        <w:ind w:left="1420" w:right="60" w:hanging="386"/>
        <w:spacing w:after="0" w:line="264" w:lineRule="auto"/>
        <w:tabs>
          <w:tab w:leader="none" w:pos="1420" w:val="left"/>
        </w:tabs>
        <w:numPr>
          <w:ilvl w:val="1"/>
          <w:numId w:val="5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2 single-arm IST of CRLX101 as monotherapy and in combination with Avastin in patients with relapsed ovarian cancer is being conducted at Massachusetts General Hospital and affiliated Harvard University teaching hospitals.</w:t>
      </w:r>
    </w:p>
    <w:p>
      <w:pPr>
        <w:spacing w:after="0" w:line="68" w:lineRule="exact"/>
        <w:rPr>
          <w:rFonts w:ascii="Courier New" w:cs="Courier New" w:eastAsia="Courier New" w:hAnsi="Courier New"/>
          <w:sz w:val="18"/>
          <w:szCs w:val="18"/>
          <w:color w:val="auto"/>
        </w:rPr>
      </w:pPr>
    </w:p>
    <w:p>
      <w:pPr>
        <w:ind w:left="1420" w:right="280" w:hanging="386"/>
        <w:spacing w:after="0" w:line="264" w:lineRule="auto"/>
        <w:tabs>
          <w:tab w:leader="none" w:pos="1420" w:val="left"/>
        </w:tabs>
        <w:numPr>
          <w:ilvl w:val="1"/>
          <w:numId w:val="5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are also conducting a Phase 1b single-arm company-sponsored trial of CRLX101 in combination with weekly paclitaxel in patients with relapsed ovarian cancer in collaboration with the GOG.</w:t>
      </w:r>
    </w:p>
    <w:p>
      <w:pPr>
        <w:spacing w:after="0" w:line="176"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Additional trials involving CRLX101 are also ongoing, including a Phase 1b/2 IST in locally advanced rectal cancer and a Phase 1b company-sponsored trial exploring a dose-intensive schedule for CRLX101 in patients with solid tumors.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75" w:name="page76"/>
    <w:bookmarkEnd w:id="75"/>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We cannot accurately project future research and development expenses for our CRLX101 program because such expenses are dependent on a number of variables, including, among others, the cost and design of any additional clinical trials, the duration of the regulatory process and the results of any clinical trials.</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Under our license agreement with Calando Pharmaceuticals, Inc., or Calando, pursuant to which we obtained rights to CRLX101, or the CRLX101 Agreement, we are obligated to pay milestone payments which could total, in the aggregate, $32.8 million, if we achieve certain development and sales events with CRLX101. In addition, under the CRLX101 Agreement, if we, or one of our affiliates, sell CRLX101, we are required to pay tiered royalty payments ranging from low- to mid-single digits, as a percentage of worldwide net sales, depending on whether there is patent protection for CRLX101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ranges from the low- to mid-double digits depending on the development stage of CRLX101 at the time we first provide or receive draft terms of a license arrangement with the third party that results in a license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CRLX301</w:t>
      </w:r>
    </w:p>
    <w:p>
      <w:pPr>
        <w:spacing w:after="0" w:line="227"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are studying CRLX301 in a Phase 1/2a trial in patients with advanced solid tumor malignancies in order to evaluate the safety of the drug and establish an MTD for two dosing schedules. We explored tolerability of dose ranges when the drug candidate was administered once every three weeks and have determined an MTD for this dosing schedule. We are exploring a weekly dosing schedule to determine the MTD for that regimen. These parallel paths will allow us to determine the recommended Phase 2 dose with the preferred dosing schedule.</w:t>
      </w:r>
    </w:p>
    <w:p>
      <w:pPr>
        <w:spacing w:after="0" w:line="180"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Under our license agreement with Calando pursuant to which we obtained rights to Calando’s cyclodextrin system for purposes of conjugating or complexing certain other therapeutic agents to the system, or the Platform Agreement, we paid a $250,000 clinical development milestone to Calando in January 2015 in connection with the initiation of our Phase 1/2a clinical trial of CRLX301 in December 2014. We are also required to make milestone payments in an aggregate amount of up to approximately $18.0 million to Calando if we achieve certain development and sales events with respect to CRLX301. Further, under the Platform Agreement, if we, or one of our affiliates, sell CRLX301 we are required to pay tiered royalty payments ranging from low- to mid-single digits, as a percentage of worldwide net sales, depending on whether there is patent protection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is in the low-double digits.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Dynamic Tumor Targeting Platform</w:t>
      </w:r>
    </w:p>
    <w:p>
      <w:pPr>
        <w:spacing w:after="0" w:line="227"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We expect that the expenses related to our NDCs and the development of our platform will continue to increase as we seek to identify additional targets for preclinical research and add personnel to these projects. We cannot accurately predict future research and development expenses for our NDCs because such costs are dependent on a number of variables, including the success of preclinical studies on any such NDC.</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successful development of any of our NDCs is highly uncertain. As such, at this time, we cannot reasonably predict with certainty the duration and costs of the current or future preclinical studies or clinical trials of any of our NDCs or if, when or to what extent we will generate revenues from any commercialization and sale of any of our NDCs that obtain marketing approval. We may never succeed in achieving regulatory approval for any of our NDCs. The duration, costs and timing of development of our NDCs will depend on a variety of factors, including:</w:t>
      </w:r>
    </w:p>
    <w:p>
      <w:pPr>
        <w:ind w:left="1040" w:hanging="519"/>
        <w:spacing w:after="0" w:line="220" w:lineRule="auto"/>
        <w:tabs>
          <w:tab w:leader="none" w:pos="1040" w:val="left"/>
        </w:tabs>
        <w:numPr>
          <w:ilvl w:val="0"/>
          <w:numId w:val="5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scope and rate of progress of our ongoing clinical trials;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 continued acceptable safety profile of any product candidate once approved;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scope, progress, timing, results and costs of researching and developing our NDCs and conducting preclinical and clinical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results from ongoing as well as any future clinical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significant and changing government regulation in the United States and abroad;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costs, timing and outcome of regulatory review or approval of our NDCs in the United States and abroad;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establish and maintain strategic partnerships, licensing or other arrangements and the financial terms of such agreements;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6" w:name="page77"/>
    <w:bookmarkEnd w:id="76"/>
    <w:p>
      <w:pPr>
        <w:ind w:left="1040" w:hanging="519"/>
        <w:spacing w:after="0"/>
        <w:tabs>
          <w:tab w:leader="none" w:pos="1040" w:val="left"/>
        </w:tabs>
        <w:numPr>
          <w:ilvl w:val="0"/>
          <w:numId w:val="5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establishment of arrangements with third party suppliers of raw materials and third party manufacturers of finished drug product;</w:t>
      </w:r>
    </w:p>
    <w:p>
      <w:pPr>
        <w:spacing w:after="0" w:line="109" w:lineRule="exact"/>
        <w:rPr>
          <w:rFonts w:ascii="Times New Roman" w:cs="Times New Roman" w:eastAsia="Times New Roman" w:hAnsi="Times New Roman"/>
          <w:sz w:val="29"/>
          <w:szCs w:val="29"/>
          <w:color w:val="auto"/>
          <w:vertAlign w:val="superscript"/>
        </w:rPr>
      </w:pPr>
    </w:p>
    <w:p>
      <w:pPr>
        <w:ind w:left="1040" w:right="40" w:hanging="519"/>
        <w:spacing w:after="0" w:line="191" w:lineRule="auto"/>
        <w:tabs>
          <w:tab w:leader="none" w:pos="1040" w:val="left"/>
        </w:tabs>
        <w:numPr>
          <w:ilvl w:val="0"/>
          <w:numId w:val="5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ability to manufacture, market, commercialize and achieve market acceptance for any of our NDCs that we are developing or may develop in the future;</w:t>
      </w:r>
    </w:p>
    <w:p>
      <w:pPr>
        <w:ind w:left="1040" w:hanging="519"/>
        <w:spacing w:after="0" w:line="233" w:lineRule="auto"/>
        <w:tabs>
          <w:tab w:leader="none" w:pos="1040" w:val="left"/>
        </w:tabs>
        <w:numPr>
          <w:ilvl w:val="0"/>
          <w:numId w:val="5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emergence of competing technologies and products and other adverse market developments; and</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 of preparing, filing and prosecuting patent applications and maintaining, enforcing and defending intellectual property-related claims.</w:t>
      </w:r>
    </w:p>
    <w:p>
      <w:pPr>
        <w:spacing w:after="0" w:line="198"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Any change in the outcome of any of these variables with respect to the development of an NDC could mean a significant change in the cost and timing associated with the development of that NDC. For example, if the FDA, or a comparable non-U.S. regulatory authority were to require us to conduct clinical trials beyond those that we currently anticipate will be required for the marketing authorization of an NDC, or if we experience significant delays in enrollment in any of our clinical trials, we could be required to expend significant additional financial resources and time to obtain marketing authorization.</w:t>
      </w:r>
    </w:p>
    <w:p>
      <w:pPr>
        <w:spacing w:after="0" w:line="180"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As a result of the uncertainties discussed above, we are unable to determine when, or to what extent, we will generate revenues from the commercialization and sale of any of our NDCs. We anticipate that we will make determinations as to which additional programs to pursue and how much funding to direct to each program on an ongoing basis in response to the scientific and clinical data with respect to each NDC, as well as our ongoing assessment of the NDCs’ commercial potential. We will need to raise additional capital in the future in order to complete the development and commercialization of CRLX101 and CRLX301 and to fund the development of our other NDCs, if 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our executive, finance, business development, marketing, legal and human resources functions. Other general and administrative expenses include patent filing, patent prosecution, professional fees for legal, insurance, consulting, information technology, auditing and tax services and facility costs not otherwise included in research and development expenses.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for, among others, the following reasons:</w:t>
      </w:r>
    </w:p>
    <w:p>
      <w:pPr>
        <w:spacing w:after="0" w:line="117" w:lineRule="exact"/>
        <w:rPr>
          <w:sz w:val="20"/>
          <w:szCs w:val="20"/>
          <w:color w:val="auto"/>
        </w:rPr>
      </w:pPr>
    </w:p>
    <w:p>
      <w:pPr>
        <w:ind w:left="1040" w:right="440" w:hanging="519"/>
        <w:spacing w:after="0" w:line="200" w:lineRule="auto"/>
        <w:tabs>
          <w:tab w:leader="none" w:pos="1040" w:val="left"/>
        </w:tabs>
        <w:numPr>
          <w:ilvl w:val="0"/>
          <w:numId w:val="6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expect to incur increased general and administrative expenses to support our research and development activities, which we expect to expand as we continue to pursue the development of our product candidates;</w:t>
      </w:r>
    </w:p>
    <w:p>
      <w:pPr>
        <w:spacing w:after="0" w:line="89" w:lineRule="exact"/>
        <w:rPr>
          <w:rFonts w:ascii="Times New Roman" w:cs="Times New Roman" w:eastAsia="Times New Roman" w:hAnsi="Times New Roman"/>
          <w:sz w:val="29"/>
          <w:szCs w:val="29"/>
          <w:color w:val="auto"/>
          <w:vertAlign w:val="superscript"/>
        </w:rPr>
      </w:pPr>
    </w:p>
    <w:p>
      <w:pPr>
        <w:ind w:left="1040" w:right="160" w:hanging="519"/>
        <w:spacing w:after="0" w:line="214" w:lineRule="auto"/>
        <w:tabs>
          <w:tab w:leader="none" w:pos="1040" w:val="left"/>
        </w:tabs>
        <w:numPr>
          <w:ilvl w:val="0"/>
          <w:numId w:val="6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expect our general and administrative expenses will continue to increase as a result of increased payroll, expanded infrastructure, higher consulting, legal, accounting and investor relations costs, director compensation and director and officer insurance premiums associated with being a public company; and</w:t>
      </w:r>
    </w:p>
    <w:p>
      <w:pPr>
        <w:spacing w:after="0" w:line="89" w:lineRule="exact"/>
        <w:rPr>
          <w:rFonts w:ascii="Times New Roman" w:cs="Times New Roman" w:eastAsia="Times New Roman" w:hAnsi="Times New Roman"/>
          <w:sz w:val="29"/>
          <w:szCs w:val="29"/>
          <w:color w:val="auto"/>
          <w:vertAlign w:val="superscript"/>
        </w:rPr>
      </w:pPr>
    </w:p>
    <w:p>
      <w:pPr>
        <w:ind w:left="1040" w:right="480" w:hanging="519"/>
        <w:spacing w:after="0" w:line="200" w:lineRule="auto"/>
        <w:tabs>
          <w:tab w:leader="none" w:pos="1040" w:val="left"/>
        </w:tabs>
        <w:numPr>
          <w:ilvl w:val="0"/>
          <w:numId w:val="6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begin to incur expenses related to sales and marketing of our product candidates in anticipation of commercial launch before we receive regulatory approval of a product candidate.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The primary objective of our investment policy is capital preservation.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Interest expense consists primarily of interest, amortization of debt discount and amortization of deferred financing costs associated with the Hercules Loan Agreement. Interest expense also includes the write off of debt discount and deferred financing costs associated with the repayment in 2015 of the debt incurred under the Lighthouse Loan Agreement. In 2014, interest expense consisted primarily of interest, amortization of debt discount and amortization of deferred financing costs associated with the Lighthouse Loan Agreement and interest expense on our convertible notes.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6"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Loss on extinguishment of debt is associated with the loss recorded on the conversion of the convertible notes we issued in 2014, or the 2014 Convertible Notes. The loss is an amount equal to the difference between the fair value of shares of our common stock into which the 2014 Convertible Notes converted and the carrying amount of the 2014 Convertible Notes at the closing of the IPO on April 15,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Preferred Stock Warrant Liability</w:t>
      </w:r>
    </w:p>
    <w:p>
      <w:pPr>
        <w:spacing w:after="0" w:line="22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preferred stock warrant liability is associated with warrants to purchase shares of our preferred stock issued to lenders and investors. The change in fair value consists of the calculated change in value based upon the fair value of the underlying security at the end of each reporting period as calculated using the Black-Scholes option-pricing model. The preferred stock warrants were automatically adjusted on the date of the closing of the IPO, April 15, 2014, to provide for the issuance of shares of common stock upon their exercise. The preferred stock warrant liability has been reclassified to additional paid-in capital as of April 15,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us to make estimates and judgments that affect the reported amounts of assets, liabilities, revenues and expenses and the disclosure of contingent assets and liabilities in our consolidated financial statements. On an ongoing basis, we evaluate our estimates and judgments, including those related to accrued expenses and stock-based compensation. We base our estimates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On an ongoing basis, we evaluate our judgments and estimates in light of changes in circumstance, facts and experience. The effects of material revisions in estimates, if any, will be reflected in the consolidated financial statements prospectively from the date of change in estimates.</w:t>
      </w:r>
    </w:p>
    <w:p>
      <w:pPr>
        <w:spacing w:after="0" w:line="189"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more detail in Note 2 of the notes to our consolidated financial statements appearing elsewhere in this Annual Report on Form 10-K. We believe the following accounting policies are critical to the judgments and estimates used in the preparation of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expenses. This process involves reviewing open contracts and purchase orders, communicating with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Examples of estimated accrued clinical expenses include:</w:t>
      </w:r>
    </w:p>
    <w:p>
      <w:pPr>
        <w:ind w:left="1040" w:hanging="519"/>
        <w:spacing w:after="0" w:line="226" w:lineRule="auto"/>
        <w:tabs>
          <w:tab w:leader="none" w:pos="1040" w:val="left"/>
        </w:tabs>
        <w:numPr>
          <w:ilvl w:val="0"/>
          <w:numId w:val="6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fees paid to CROs in connection with clinical trials;</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fees paid to investigative sites in connection with clinical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fees paid to contract manufacturers in connection with the production of clinical trial materials;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fees paid to vendors in connection with the preclinical development activities.</w:t>
      </w:r>
    </w:p>
    <w:p>
      <w:pPr>
        <w:spacing w:after="0" w:line="19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the service fees, we consider the terms of each agreement, the time period over which the services will be performed and the level of effort required to complete the service. If the actual timing of the performance of the services or the level of effort varies from our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We have not experienced any significant adjustments to our estimates to date.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20" w:firstLine="518"/>
        <w:spacing w:after="0" w:line="253" w:lineRule="auto"/>
        <w:rPr>
          <w:sz w:val="20"/>
          <w:szCs w:val="20"/>
          <w:color w:val="auto"/>
        </w:rPr>
      </w:pPr>
      <w:r>
        <w:rPr>
          <w:rFonts w:ascii="Times New Roman" w:cs="Times New Roman" w:eastAsia="Times New Roman" w:hAnsi="Times New Roman"/>
          <w:sz w:val="18"/>
          <w:szCs w:val="18"/>
          <w:color w:val="auto"/>
        </w:rPr>
        <w:t xml:space="preserve">We issue stock-based awards to employees and non-employees in the form of stock options. We apply the fair value recognition provisions of the Financial Accounting Standards Board, or FASB, Accounting Standards Codification, or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or ASC 718. ASC 718 requires all stock-based payments to employees, including grants of employee stock options and modifications to existing stock options, to be recognized in the consolidated statements of operations based on their fair values. We account for stock-based awards to non-employees in accordance with FASB ASC Topic 515-50, </w:t>
      </w:r>
      <w:r>
        <w:rPr>
          <w:rFonts w:ascii="Times New Roman" w:cs="Times New Roman" w:eastAsia="Times New Roman" w:hAnsi="Times New Roman"/>
          <w:sz w:val="18"/>
          <w:szCs w:val="18"/>
          <w:i w:val="1"/>
          <w:iCs w:val="1"/>
          <w:color w:val="auto"/>
        </w:rPr>
        <w:t>Equity-Based Payments to Non-Employees</w:t>
      </w:r>
      <w:r>
        <w:rPr>
          <w:rFonts w:ascii="Times New Roman" w:cs="Times New Roman" w:eastAsia="Times New Roman" w:hAnsi="Times New Roman"/>
          <w:sz w:val="18"/>
          <w:szCs w:val="18"/>
          <w:color w:val="auto"/>
        </w:rPr>
        <w:t>, which requires the fair value of the award to be re-measured at fair value as the award vests. We recognize the compensation expense of stock-based awards on a straight-line basis over the vesting period of the award for employees and non-employees. We have issued performance-based grants where the vesting of the grant is tied to certain milestone performance and, in these cases, the compensation is recognized as expense when the probability of the milestone is met. Compensation expense related to our stock-based awards is subject to a number of estimates, including the estimated volatility and underlying fair value of our common stock, as well as the estimated life of the awards. We estimate the fair value of our stock-based awards for recording stock-based compensation expense using the Black-Scholes option pricing model. Determining the appropriate fair value model and calculating the fair value of stock-based awards requires significant judgment and the use of assumptions.</w:t>
      </w:r>
    </w:p>
    <w:p>
      <w:pPr>
        <w:spacing w:after="0" w:line="193"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 xml:space="preserve">Prior to our IPO, we were a private company with no active public market for our common stock. Therefore, we periodically determined for financial reporting purposes the estimated per share fair value of our common stock at various dates using contemporaneous valuations performed in accordance with the guidance outlined in the American Institute of Certified Public Accountants Practice Aid, </w:t>
      </w:r>
      <w:r>
        <w:rPr>
          <w:rFonts w:ascii="Times New Roman" w:cs="Times New Roman" w:eastAsia="Times New Roman" w:hAnsi="Times New Roman"/>
          <w:sz w:val="18"/>
          <w:szCs w:val="18"/>
          <w:i w:val="1"/>
          <w:iCs w:val="1"/>
          <w:color w:val="auto"/>
        </w:rPr>
        <w:t>Valuation of Privately-Held Company Equity Securities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Compensation</w:t>
      </w:r>
      <w:r>
        <w:rPr>
          <w:rFonts w:ascii="Times New Roman" w:cs="Times New Roman" w:eastAsia="Times New Roman" w:hAnsi="Times New Roman"/>
          <w:sz w:val="18"/>
          <w:szCs w:val="18"/>
          <w:color w:val="auto"/>
        </w:rPr>
        <w:t>. We performed these contemporaneous valuations as of December 31, 2011, December 1, 2012, September 30, 2013 and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In conducting the contemporaneous valuations, we considered all objective and subjective factors that we believed to be relevant for each valuation conducted, including our best estimate of our business condition, prospects and operating performance at each valuation date.</w:t>
      </w:r>
    </w:p>
    <w:p>
      <w:pPr>
        <w:spacing w:after="0" w:line="188"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Since our IPO, we have determined the fair value of our common stock based on the closing price of our common stock on The NASDAQ Global Market on the applicable date of such grant.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2015 and 2014</w:t>
      </w:r>
    </w:p>
    <w:p>
      <w:pPr>
        <w:spacing w:after="0" w:line="22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years ended December 31, 2015 and 2014, together with the changes in those items in dollars and as a percentage (in thousands, except percentages):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59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(37,172)</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(20,279)</w:t>
            </w:r>
          </w:p>
        </w:tc>
        <w:tc>
          <w:tcPr>
            <w:tcW w:w="2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(16,893)</w:t>
            </w:r>
          </w:p>
        </w:tc>
        <w:tc>
          <w:tcPr>
            <w:tcW w:w="22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9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(39,594)</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22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both"/>
        <w:ind w:right="3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There was no revenue recorded for the year ended December 31, 2015. For the year ended December 31, 2014, we recorded revenue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$80,000 from payments we received under two material transfer agreements. Pursuant to the agreements, we received payments in exchange for providing research services utilizing our proprietary technology. Work under the agreements terminated in 2014.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79" w:name="page80"/>
    <w:bookmarkEnd w:id="79"/>
    <w:p>
      <w:pPr>
        <w:ind w:right="10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 for the year ended December 31, 2015, was $25.9 million compared to $11.8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 ended December 31, 2014, an increase of $14.1 million, or 120%. The increase was primarily attributable to an increase in costs associated with the CRLX101 program. The following table summarizes our research and development expense by program for the years ended December 31, 2015 and 2014, together with the change in spending by program in dollars and as a percentage (in thousands, except percentages):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CRLX101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Dynamic Tumor Targeting Platform</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Overhead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24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2015, CRLX101 program expenses increased by $11.8 million, or 163%, to $19.0 million compared to $7.2 million for the year ended December 31, 2014. The increase in CRLX101 program expense was primarily attributable to costs associated with our ongoing RCC Trial, which was initiated in mid-2014. Additional CRLX101 costs include costs associated with ongoing ISTs in addition to costs associated with clinical trials initiated in 2015 including our Phase 1b single-arm, company-sponsored trial of CRLX101 in combination with weekly paclitaxel in patients with relapsed ovarian cancer and our Phase 1 trial exploring a dose-intensive schedule for CRLX101 in patients with advanced solid tumor malignancies. Clinical trial expenses increased $6.5 million reflecting an increase in CRO fees, investigator fees and costs associated with clinical sites and laboratories. Salary and benefits expenses increased $2.0 million and consulting costs increased $0.8 million compared to the prior year to support the CRLX101 development program and the clinical trials. Chemistry, manufacturing and controls costs increased $2.2 million compared to the prior year reflecting increased activity to support current and future clinical development of CRLX101.</w:t>
      </w:r>
    </w:p>
    <w:p>
      <w:pPr>
        <w:spacing w:after="0" w:line="18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2015, CRLX301 program expenses increased $1.0 million, or 42%, to $3.4 million compared to $2.4 million for the year ended December 31, 2014. The increase in CRLX301 program expenses was primarily due to costs associated with the Phase 1/2a clinical trial that we initiated in December 2014. CRLX301 clinical trial expenses increased by $0.5 million for the year ended December 31, 2015, compared to the prior year primarily due to CRO fees, costs associated with clinical sites and laboratory costs. Salary and benefits expenses increased $0.5 million and consulting costs increased $0.2 million to support the CRLX301 program development and the clinical trials. The increase in costs associated with the CRLX301 program were partially offset by a milestone fee of $0.3 million paid to Calando upon initiation of the CRLX301 clinical trial in 2014 compared to no milestone fee in 2015.</w:t>
      </w:r>
    </w:p>
    <w:p>
      <w:pPr>
        <w:spacing w:after="0" w:line="18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Expenses associated with our Dynamic Tumor Targeting Platform were $2.1 million for the year ended December 31, 2015, an increase of $0.9 million, or 74%, compared to $1.2 million for the year ended December 31, 2014. The increase is primarily due to increased headcount and lab costs in new discovery research. Overhead costs increased $0.5 million, or 54%, to $1.4 million compared to $0.9 million for the year ended December 31, 2014. The increase was primarily attributable to increases in facility and depreciation costs of $0.2 million, recruiting and employee costs of $0.2 million and other costs of $0.1 million not allocated to programs.</w:t>
      </w:r>
    </w:p>
    <w:p>
      <w:pPr>
        <w:spacing w:after="0" w:line="180"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for the year ended December 31, 2015, was $11.2 million compared to $8.6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 ended December 31, 2014, an increase of $2.6 million, or 31%. The increase in general and administrative costs was attributable to the growth in our corporate infrastructure to support our increased size as well as requirements resulting from our being a public company. Salaries and benefits, including stock-based compensation, increased $2.1 million for the year ended December 31, 2015, compared to the prior year, reflecting increases in finance and accounting, legal and corporate communications staffing. Other general and administrative expenses including professional services and consulting, facility and office expenses, dues and subscriptions, conference and travel expenses increased $0.2 million for the year ended December 31, 2015, compared to the prior year due to our overall growth.</w:t>
      </w:r>
    </w:p>
    <w:p>
      <w:pPr>
        <w:spacing w:after="0" w:line="183"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for the year ended December 31, 2015, was $2.4 million compared to $3.1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2014, a decrease of $0.7 million, or 21%. The decrease in other expense, net, was primarily due to a $2.5 million loss on the conversion of the 2014 Convertible Notes, which was recorded in April 2014. Interest expense was $2.4 million and $1.1 million for the years ended December 31, 2015 and 2014, respectively, an increase of $1.3 million, or 121%. For the year ended December 31, 2015, interest expense included $2.1 million associated with the Hercules Loan Agreement, including $0.5 million for the amortization of debt discount and deferred financing costs, and $0.2 million for the write off of debt discount and deferred financing costs associated with the repayment of the Lighthouse Loan Agreement. Interest expense for the year ended December 31, 2014, included $0.3 million of interest on our convertible notes and $0.6 million of interest and $0.2 million for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80" w:name="page81"/>
    <w:bookmarkEnd w:id="80"/>
    <w:p>
      <w:pPr>
        <w:ind w:right="80"/>
        <w:spacing w:after="0" w:line="282" w:lineRule="auto"/>
        <w:rPr>
          <w:sz w:val="20"/>
          <w:szCs w:val="20"/>
          <w:color w:val="auto"/>
        </w:rPr>
      </w:pPr>
      <w:r>
        <w:rPr>
          <w:rFonts w:ascii="Times New Roman" w:cs="Times New Roman" w:eastAsia="Times New Roman" w:hAnsi="Times New Roman"/>
          <w:sz w:val="18"/>
          <w:szCs w:val="18"/>
          <w:color w:val="auto"/>
        </w:rPr>
        <w:t>amortization of debt discount and deferred financing costs associated with the Lighthouse Loan Agreement. Other expense, net, for the year ended December 31, 2014, included a $0.5 million adjustment to the fair value of our outstanding preferred stock warrant liability which was recorded as other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2014 and 2013</w:t>
      </w:r>
    </w:p>
    <w:p>
      <w:pPr>
        <w:spacing w:after="0" w:line="22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years ended December 31, 2014 and 2013, together with the changes in those items in dollars and as a percentage (in thousands, except percentages):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6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(20,279)</w:t>
            </w:r>
          </w:p>
        </w:tc>
        <w:tc>
          <w:tcPr>
            <w:tcW w:w="1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2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24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(1,780)</w:t>
            </w:r>
          </w:p>
        </w:tc>
        <w:tc>
          <w:tcPr>
            <w:tcW w:w="3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shd w:val="clear" w:color="auto" w:fill="CFF0FC"/>
          </w:tcPr>
          <w:p>
            <w:pPr>
              <w:spacing w:after="0"/>
              <w:rPr>
                <w:sz w:val="19"/>
                <w:szCs w:val="19"/>
                <w:color w:val="auto"/>
              </w:rPr>
            </w:pPr>
          </w:p>
        </w:tc>
        <w:tc>
          <w:tcPr>
            <w:tcW w:w="18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2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24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For the year ended December 31, 2014 revenue was $80,000 compared to $6,000 for the year ended December 31, 2013. For both periods,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is from two material transfer agreements and reflects timing of activity and payments received under the agreements.</w:t>
      </w:r>
    </w:p>
    <w:p>
      <w:pPr>
        <w:spacing w:after="0" w:line="155" w:lineRule="exact"/>
        <w:rPr>
          <w:sz w:val="20"/>
          <w:szCs w:val="20"/>
          <w:color w:val="auto"/>
        </w:rPr>
      </w:pPr>
    </w:p>
    <w:p>
      <w:pPr>
        <w:ind w:right="3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 by program for the years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and 2013, together with the change in spending by program in dollars and as a percentage (in thousands, except percentages):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CRLX101</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Dynamic Tumor Targeting Platform</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(795)</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Overhead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4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2014, was $11.8 million compared to $9.7 million for the year ended December 31, 2013, an increase of $2.1 million, or 21%. The increase was primarily attributable to an increase in costs associated with the CRLX101 program and partially offset by lower costs associated with our Dynamic Tumor Targeting Platform new discovery research.</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2014, costs associated with the CRLX101 program increased $2.6 million, or 55%, to $7.2 million from $4.6 million for the year ended December 31, 2013. The increase was primarily due to ongoing costs associated with the RCC Trial. CRLX101 clinical trial expenses increased by $2.0 million in 2014 compared to the prior year as a result of increased costs for our CRO and laboratories, as well as clinical site initiation costs and patient fees for the RCC Trial. Salary, benefits and other expenses allocated to CRLX101 increased $0.6 million in 2014 compared to the prior year to support CRLX101 development and clinical trials.</w:t>
      </w:r>
    </w:p>
    <w:p>
      <w:pPr>
        <w:spacing w:after="0" w:line="184"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2014, costs associated with the CRLX301 program were $2.4 million compared to $2.3 million for the year ended December 31, 2013, an increase of $0.1 million, or 6%. The increase in CRLX301 program expense was primarily due to costs associated with the Phase 1/2a clinical trial that we initiated in December 2014. CRLX301 clinical trial expenses increased by $0.3 million in 2014 compared to the prior year. The increase was due to CRO and laboratory costs associated with initiating our Phase 1/2a clinical trial of CRLX301 including costs associated with setting up clinical sites and laboratories. Salary and benefits expenses allocated to CRLX301 increased $0.4 million in 2014 compared to the prior year. The increased CRLX301 expenses were partially offset by a $0.3 million decrease in research costs and a $0.3 million decrease in chemistry manufacturing and controls development activities as CRLX301 transitioned into clinical stage development.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1" w:name="page82"/>
    <w:bookmarkEnd w:id="81"/>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Expenses associated with our Dynamic Tumor Targeting Platform decreased $0.8 million in 2014 as compared to 2013, mainly as a result of reduced staff in new discovery research as we continue to shift our emphasis to the development of our existing product candidates.</w:t>
      </w:r>
    </w:p>
    <w:p>
      <w:pPr>
        <w:spacing w:after="0" w:line="158"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for the year ended December 31, 2014, was $8.6 million compared to $6.2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 ended December 31, 2013, an increase of $2.4 million, or 39%. The increase was primarily attributable to the incremental costs of being a public company, including an increase of $1.1 million for board of director fees, insurance for directors and officers, audit and tax fees, and corporate communication and printer fees. Salary and benefits expense increased $0.4 million in 2014 compared to the prior year reflecting additional resources in finance and accounting, legal and corporate communications, along with an increase in stock-based compensation expense. Professional and recruiting fees increased by $0.5 million in 2014 compared to 2013, primarily reflecting increased recruiting and placement fees. Other consulting costs also increased $0.4 million year over year. These increases in general and administrative costs were partially offset by a decrease in legal fees of $0.4 million.</w:t>
      </w:r>
    </w:p>
    <w:p>
      <w:pPr>
        <w:spacing w:after="0" w:line="183" w:lineRule="exact"/>
        <w:rPr>
          <w:sz w:val="20"/>
          <w:szCs w:val="20"/>
          <w:color w:val="auto"/>
        </w:rPr>
      </w:pPr>
    </w:p>
    <w:p>
      <w:pPr>
        <w:ind w:right="4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for the year ended December 31, 2014, was $3.1 million compared to $1.3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2013, an increase of $1.8 million. The increase in net other expense primarily resulted from a loss of $2.5 million incurred on the conversion of convertible debt to common stock. The increase was offset by a decrease of $0.3 million due to a decrease in the value of the preferred stock warrant liability and a decrease in interest expense of $0.4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From our incorporation through December 31, 2015, we raised an aggregate of $230.6 million to fund our operations, of which $84.2 million was from the sale of preferred stock in private placements, $59.9 million was from the IPO, $37.2 million was from the Secondary Offering, $17.3 million was from the sale of convertible promissory notes, $31.0 million was from borrowings under loan and security agreements and $1.0 million was from the private placement of our common stock to Hercules. As of December 31, 2015, we had cash and cash equivalents of approximately $75.9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On January 8, 2015, we entered into the Hercules Loan Agreement and borrowed $15.0 million from Hercules. We used a portion of those proceeds to repay our outstanding indebtedness under the Lighthouse Loan Agreement.</w:t>
      </w:r>
    </w:p>
    <w:p>
      <w:pPr>
        <w:spacing w:after="0" w:line="162"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Hercules Loan Agreement provided for up to three separate tranches of borrowings, the first of which was funded in the amount of $15.0 million on January 8, 2015. On November 24, 2015, we drew a second tranche in the amount of $6.0 million. We elected not to commence a randomized Phase 2 clinical trial of CRLX101 in combination with chemoradiotherapy on or prior to December 15, 2015, which was a condition of obtaining an additional tranche in an amount of up to $5.0 million. As a result, we are no longer eligible to borrow this amount under the Hercules Loan Agreement.</w:t>
      </w:r>
    </w:p>
    <w:p>
      <w:pPr>
        <w:spacing w:after="0" w:line="180"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Our indebtedness under the Hercules Loan Agreement will mature on July 1, 2018. Each advance under the Hercules Loan Agreement accrues interest at a floating per annum rate equal to the greater of (i) 7.30% or (ii) the sum of 7.30% plus the prime rate minus 5.75%. The Hercules Loan Agreement provided for interest-only payments on a monthly basis until December 31, 2015. Thereafter, payments are payable monthly in equal installments of principal and interest to fully amortize the outstanding principal over the remaining term of the loan, subject to recalculation upon a change in the prime rate. We may prepay the indebtedness under the Hercules Loan Agreement in whole or in part upon seven business days’ prior written notice to Hercules. Any such prepayment is subject to a prepayment charge of 2.0% if such prepayment occurs after January 8, 2016, but on or before January 8, 2017, or 1.0% if such prepayment occurs after January 8, 2017. Amounts outstanding during an event of default are payable upon Hercules’ demand and shall accrue interest at an additional rate of 5.0% per annum of the past due amount outstanding. At the end of the loan term (whether at maturity, by prepayment in full or otherwise), we shall pay a final end of term charge to Hercules in the amount of 6.7% of the aggregate original principal amount advanced by Hercules.</w:t>
      </w:r>
    </w:p>
    <w:p>
      <w:pPr>
        <w:spacing w:after="0" w:line="18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Hercules Loan Agreement is secured by substantially all of our assets other than our intellectual property. We have also granted Hercules a negative pledge with respect to our intellectual property, which, among other things, prohibits us from selling, transferring, assigning, mortgaging, pledging, leasing, granting a security interest in or otherwise encumbering our intellectual property. The Hercules Loan Agreement includes restrictive covenants that may restrict our ability to obtain further debt or equity financing.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2" w:name="page83"/>
    <w:bookmarkEnd w:id="82"/>
    <w:p>
      <w:pPr>
        <w:ind w:right="3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Lighthouse Loan Agreement. </w:t>
      </w:r>
      <w:r>
        <w:rPr>
          <w:rFonts w:ascii="Times New Roman" w:cs="Times New Roman" w:eastAsia="Times New Roman" w:hAnsi="Times New Roman"/>
          <w:sz w:val="18"/>
          <w:szCs w:val="18"/>
          <w:color w:val="auto"/>
        </w:rPr>
        <w:t>In 2011, we entered into the Lighthouse Loan Agreement which permitted us to borrow up to an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$10.0 million. We borrowed $5.0 million in March 2012 and an additional $5.0 million in August 2012. Interest accrued under the Lighthouse Loan Agreement at an annual rate of 8.25%. We repaid in full our outstanding indebtedness under the Lighthouse Loan Agreement and terminated the agreement on January 8, 2015. There were no prepayment charges associated with the early repayment of the loan.</w:t>
      </w:r>
    </w:p>
    <w:p>
      <w:pPr>
        <w:spacing w:after="0" w:line="180"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In 2014, we issued and sold the 2014 Convertible Notes in an aggregate principal amount of $8.5 million, to 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and one additional purchaser. The 2014 Convertible Notes accrued interest at an annual rate of 7.0%. In connection with the completion of our IPO, all principal and accrued interest under our 2014 convertible notes converted into an aggregate of 1,582,931 shares of our common stock, at 77.5% of the IPO price, or $5.43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Future Funding Requirements</w:t>
      </w:r>
    </w:p>
    <w:p>
      <w:pPr>
        <w:spacing w:after="0" w:line="229"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clinical trial costs, contract manufacturing services, third-party clinical research and development services, laboratory and related supplies, legal and other regulatory expenses and general overhead costs.</w:t>
      </w:r>
    </w:p>
    <w:p>
      <w:pPr>
        <w:spacing w:after="0" w:line="176"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We believe that our cash and cash equivalents as of December 31, 2015, will enable us to fund our operating expenses, debt service and capital expenditure requirements for at least 12 months from our 2015 financial statement issue date. We have based this estimate on assumptions that may prove to be wrong, and we could use our capital resources sooner than we currently expect. Our future capital requirements will depend on many factors, including:</w:t>
      </w:r>
    </w:p>
    <w:p>
      <w:pPr>
        <w:ind w:left="1040" w:hanging="519"/>
        <w:spacing w:after="0" w:line="217" w:lineRule="auto"/>
        <w:tabs>
          <w:tab w:leader="none" w:pos="1040" w:val="left"/>
        </w:tabs>
        <w:numPr>
          <w:ilvl w:val="0"/>
          <w:numId w:val="6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number and development requirements of the NDCs we pursue;</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scope, progress, timing, results and costs of researching and developing our NDCs, and conducting preclinical studies and clinical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costs, timing and outcome of regulatory review of our NDCs;</w:t>
      </w:r>
    </w:p>
    <w:p>
      <w:pPr>
        <w:spacing w:after="0" w:line="110" w:lineRule="exact"/>
        <w:rPr>
          <w:rFonts w:ascii="Times New Roman" w:cs="Times New Roman" w:eastAsia="Times New Roman" w:hAnsi="Times New Roman"/>
          <w:sz w:val="24"/>
          <w:szCs w:val="24"/>
          <w:color w:val="auto"/>
          <w:vertAlign w:val="superscript"/>
        </w:rPr>
      </w:pPr>
    </w:p>
    <w:p>
      <w:pPr>
        <w:ind w:left="1040" w:right="280" w:hanging="519"/>
        <w:spacing w:after="0" w:line="191" w:lineRule="auto"/>
        <w:tabs>
          <w:tab w:leader="none" w:pos="1040" w:val="left"/>
        </w:tabs>
        <w:numPr>
          <w:ilvl w:val="0"/>
          <w:numId w:val="6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of our NDCs for which we receive marketing approval;</w:t>
      </w:r>
    </w:p>
    <w:p>
      <w:pPr>
        <w:ind w:left="1040" w:hanging="519"/>
        <w:spacing w:after="0" w:line="233" w:lineRule="auto"/>
        <w:tabs>
          <w:tab w:leader="none" w:pos="1040" w:val="left"/>
        </w:tabs>
        <w:numPr>
          <w:ilvl w:val="0"/>
          <w:numId w:val="6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revenue, if any, received from commercial sales of any NDCs for which we receive marketing approval;</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establish and maintain strategic partnerships, licensing or other arrangements and the financial terms of such agreements;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scope, costs and timing of the manufacture, supply and distribution of our drug candidates for preclinical studies and clinical trials;</w:t>
      </w:r>
    </w:p>
    <w:p>
      <w:pPr>
        <w:spacing w:after="0" w:line="110" w:lineRule="exact"/>
        <w:rPr>
          <w:rFonts w:ascii="Times New Roman" w:cs="Times New Roman" w:eastAsia="Times New Roman" w:hAnsi="Times New Roman"/>
          <w:sz w:val="24"/>
          <w:szCs w:val="24"/>
          <w:color w:val="auto"/>
          <w:vertAlign w:val="superscript"/>
        </w:rPr>
      </w:pPr>
    </w:p>
    <w:p>
      <w:pPr>
        <w:ind w:left="1040" w:right="400" w:hanging="519"/>
        <w:spacing w:after="0" w:line="191" w:lineRule="auto"/>
        <w:tabs>
          <w:tab w:leader="none" w:pos="1040" w:val="left"/>
        </w:tabs>
        <w:numPr>
          <w:ilvl w:val="0"/>
          <w:numId w:val="6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ind w:left="1040" w:hanging="519"/>
        <w:spacing w:after="0" w:line="233" w:lineRule="auto"/>
        <w:tabs>
          <w:tab w:leader="none" w:pos="1040" w:val="left"/>
        </w:tabs>
        <w:numPr>
          <w:ilvl w:val="0"/>
          <w:numId w:val="6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extent to which we acquire or in-license other medicines and technology;</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headcount growth and associated costs;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costs of operating as a public company.</w:t>
      </w:r>
    </w:p>
    <w:p>
      <w:pPr>
        <w:spacing w:after="0" w:line="19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Identifying potential NDCs and conducting preclinical testing and clinical trials is a time-consuming, expensive and uncertain process that takes years to complete, and we may never generate the necessary data or results required to obtain regulatory approval and achieve product sales. In addition, our NDCs, if approved, may not achieve commercial success. Until such time, if ever, as we can generate substantial product revenues, we expect to finance our cash needs through a combination of equity offerings, debt financings and revenue from collaboration arrangements.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period set forth below (in thousands):</w:t>
      </w:r>
    </w:p>
    <w:p>
      <w:pPr>
        <w:spacing w:after="0" w:line="232"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6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678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use of cash in all periods resulted primarily from our net losses adjusted for non-cash charges and changes in components of working capital.</w:t>
      </w:r>
    </w:p>
    <w:p>
      <w:pPr>
        <w:spacing w:after="0" w:line="225" w:lineRule="exact"/>
        <w:rPr>
          <w:sz w:val="20"/>
          <w:szCs w:val="20"/>
          <w:color w:val="auto"/>
        </w:rPr>
      </w:pPr>
    </w:p>
    <w:p>
      <w:pPr>
        <w:jc w:val="both"/>
        <w:ind w:right="540" w:firstLine="51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$31.9 million for the year ended December 31, 2015, compared with $19.1 million for the year ended December 31, 2014, an increase of $12.8 million. The increase in net cash used in operating activities resulted primarily from an increase in operating expenses of $16.8 million and an increase in cash paid for interest of $0.6 million partially offset by an increase in stock compensation expense of $1.5 million and a change in components of working capital of $3.1 million.</w:t>
      </w:r>
    </w:p>
    <w:p>
      <w:pPr>
        <w:spacing w:after="0" w:line="180" w:lineRule="exact"/>
        <w:rPr>
          <w:sz w:val="20"/>
          <w:szCs w:val="20"/>
          <w:color w:val="auto"/>
        </w:rPr>
      </w:pPr>
    </w:p>
    <w:p>
      <w:pPr>
        <w:ind w:right="440" w:firstLine="51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$19.1 million for the year ended December 31, 2014, compared with $16.6 million for the year ended December 31, 2013, an increase of $2.5 million. The increase in cash used in operating activities resulted from an increase in operating expenses of $4.5 million, partially offset by changes in the components of working capital of $1.7 million and a decrease in interest payments on our debt facility with Lighthouse Capital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$0.5 million for the year ended December 31, 2015, compared to net cash used in investing activities of $0.2 million for the year ended December 31, 2014. For the year ended December 31, 2015, cash used in investing activities included $0.2 million increase in restricted cash to collateralize a stand-by letter of credit issued as a security deposit on a new facility lease. Cash used in investing activities for the purchase of lab equipment and computer equipment increased $52,000 to $277,000 for the year ended December 31, 2015, compared to $225,000 for the year ended December 31, 2014. Cash used in investing activities for the years ended December 31, 2015 and 2014, included proceeds for the sale of property and equipment of $23,000 and $40,000, respectively.</w:t>
      </w:r>
    </w:p>
    <w:p>
      <w:pPr>
        <w:spacing w:after="0" w:line="18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reflects purchases of property and equipment of $225,000 for the year ended December 31, 2014 compared to $7,000 for the year ended December 31, 2013, an increase of $218,000. The increase was attributable to purchases of laboratory, office and computer equipment of $173,000 and furniture, fixtures and leasehold improvements of $52,000 in the year ended December 31, 2014, compared to laboratory equipment purchases of $7,000 in the year ended December 31, 2013. The increase for the year ended December 31, 2014 was partially offset by proceeds of $40,000 from the sale of property and equipment.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 was $57.1 million for the year ended December 31, 2015, compared with $64.9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Net cash provided by financing activities for the year ended December 31, 2015, was primarily due to net proceeds of $37.2 million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Secondary Offering, proceeds of $21.0 million from our borrowings under the Hercules Loan Agreement, proceeds of $1.0 million from the sale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 private placement to Hercules and proceeds of $1.6 million from the exercise of stock options. Net cash provided by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2015, was reduced by $3.3 million to repay in full amounts due under the Lighthouse Loan Agreement and cash paid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issuance costs of $0.4 million. For the year ended December 31, 2014, net cash provided by financing activities was primarily due to net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$59.9 million from our IPO and proceeds of $8.5 million from the sale of convertible promissory notes. Net cash provided by financing activities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2014, was reduced by payments of $3.3 million under the Lighthouse Loan Agreement and cash paid for debt issuance costs of $0.2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84" w:name="page85"/>
    <w:bookmarkEnd w:id="84"/>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$64.9 million for the year ended December 31, 2014 compared with $5.4 million for the year ended December 31, 2013. For the year ended December 31, 2014, we raised net proceeds of $59.9 million from our IPO and $8.3 million through the sale of convertible promissory notes compared to raising $8.8 million through the sale of convertible promissory notes for the year ended December 31, 2013. We repaid indebtedness under the Loan Agreement with Lighthouse Capital in the amount of $3.3 million for the year ended December 31, 2014 compared to repayments of $3.1 million for the year ended December 31, 2013. We received $0.1 million of proceeds from the exercise of common stock options for the year ended December 31, 2014 compared to $35,000 for the year ended December 31, 2013.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our significant contractual obligations as of December 31, 2015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6"/>
                <w:szCs w:val="16"/>
                <w:color w:val="auto"/>
              </w:rPr>
              <w:t>Payments Due by Period ($)</w:t>
            </w:r>
          </w:p>
        </w:tc>
        <w:tc>
          <w:tcPr>
            <w:tcW w:w="1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90"/>
        </w:trPr>
        <w:tc>
          <w:tcPr>
            <w:tcW w:w="4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Less than</w:t>
            </w:r>
          </w:p>
        </w:tc>
        <w:tc>
          <w:tcPr>
            <w:tcW w:w="46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 to 3</w:t>
            </w:r>
          </w:p>
        </w:tc>
        <w:tc>
          <w:tcPr>
            <w:tcW w:w="580" w:type="dxa"/>
            <w:vAlign w:val="bottom"/>
          </w:tcPr>
          <w:p>
            <w:pPr>
              <w:spacing w:after="0"/>
              <w:rPr>
                <w:sz w:val="16"/>
                <w:szCs w:val="16"/>
                <w:color w:val="auto"/>
              </w:rPr>
            </w:pPr>
          </w:p>
        </w:tc>
        <w:tc>
          <w:tcPr>
            <w:tcW w:w="1280" w:type="dxa"/>
            <w:vAlign w:val="bottom"/>
          </w:tcPr>
          <w:p>
            <w:pPr>
              <w:jc w:val="right"/>
              <w:ind w:right="714"/>
              <w:spacing w:after="0"/>
              <w:rPr>
                <w:sz w:val="20"/>
                <w:szCs w:val="20"/>
                <w:color w:val="auto"/>
              </w:rPr>
            </w:pPr>
            <w:r>
              <w:rPr>
                <w:rFonts w:ascii="Times New Roman" w:cs="Times New Roman" w:eastAsia="Times New Roman" w:hAnsi="Times New Roman"/>
                <w:sz w:val="16"/>
                <w:szCs w:val="16"/>
                <w:color w:val="auto"/>
              </w:rPr>
              <w:t>3 to 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More than</w:t>
            </w:r>
          </w:p>
        </w:tc>
      </w:tr>
      <w:tr>
        <w:trPr>
          <w:trHeight w:val="225"/>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Contractual Obligations</w:t>
            </w:r>
          </w:p>
        </w:tc>
        <w:tc>
          <w:tcPr>
            <w:tcW w:w="24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1 year</w:t>
            </w:r>
          </w:p>
        </w:tc>
        <w:tc>
          <w:tcPr>
            <w:tcW w:w="46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years</w:t>
            </w:r>
          </w:p>
        </w:tc>
        <w:tc>
          <w:tcPr>
            <w:tcW w:w="580" w:type="dxa"/>
            <w:vAlign w:val="bottom"/>
          </w:tcPr>
          <w:p>
            <w:pPr>
              <w:spacing w:after="0"/>
              <w:rPr>
                <w:sz w:val="19"/>
                <w:szCs w:val="19"/>
                <w:color w:val="auto"/>
              </w:rPr>
            </w:pPr>
          </w:p>
        </w:tc>
        <w:tc>
          <w:tcPr>
            <w:tcW w:w="1280" w:type="dxa"/>
            <w:vAlign w:val="bottom"/>
          </w:tcPr>
          <w:p>
            <w:pPr>
              <w:jc w:val="right"/>
              <w:ind w:right="734"/>
              <w:spacing w:after="0"/>
              <w:rPr>
                <w:sz w:val="20"/>
                <w:szCs w:val="20"/>
                <w:color w:val="auto"/>
              </w:rPr>
            </w:pPr>
            <w:r>
              <w:rPr>
                <w:rFonts w:ascii="Times New Roman" w:cs="Times New Roman" w:eastAsia="Times New Roman" w:hAnsi="Times New Roman"/>
                <w:sz w:val="16"/>
                <w:szCs w:val="16"/>
                <w:color w:val="auto"/>
              </w:rPr>
              <w:t>years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 years</w:t>
            </w:r>
          </w:p>
        </w:tc>
      </w:tr>
      <w:tr>
        <w:trPr>
          <w:trHeight w:val="223"/>
        </w:trPr>
        <w:tc>
          <w:tcPr>
            <w:tcW w:w="4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Obligations(1)</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rPr>
              <w:t>1,756</w:t>
            </w:r>
          </w:p>
        </w:tc>
        <w:tc>
          <w:tcPr>
            <w:tcW w:w="1220" w:type="dxa"/>
            <w:vAlign w:val="bottom"/>
            <w:tcBorders>
              <w:top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100" w:type="dxa"/>
            <w:vAlign w:val="bottom"/>
          </w:tcPr>
          <w:p>
            <w:pPr>
              <w:spacing w:after="0"/>
              <w:rPr>
                <w:sz w:val="20"/>
                <w:szCs w:val="20"/>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3" w:lineRule="exact"/>
        <w:rPr>
          <w:sz w:val="20"/>
          <w:szCs w:val="20"/>
          <w:color w:val="auto"/>
        </w:rPr>
      </w:pPr>
    </w:p>
    <w:p>
      <w:pPr>
        <w:ind w:left="520" w:right="60" w:hanging="512"/>
        <w:spacing w:after="0" w:line="261"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minimum future lease payments under our non-cancellable operating lease. The minimum lease payments above do not include any related common area maintenance charges or real estate taxes.</w:t>
      </w:r>
    </w:p>
    <w:p>
      <w:pPr>
        <w:ind w:left="520" w:right="240" w:hanging="512"/>
        <w:spacing w:after="0" w:line="255"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payment obligations for principal and interest to Hercules under the Hercules Loan Agreement. As of December 31, 2015, we had $21.0 million in outstanding borrowings under the debt facility, bearing interest at 7.3% with a one-time final payment of 6.7% of the original principal amount of $21.0 million due on July 1, 2018.</w:t>
      </w:r>
    </w:p>
    <w:p>
      <w:pPr>
        <w:spacing w:after="0" w:line="186"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Milestone and royalty payments associated with our license agreements have not been included in the above table of contractual obligations as we cannot reasonably estimate if or when they will occur. Possible future payments under our intellectual property agreements include the following:</w:t>
      </w:r>
    </w:p>
    <w:p>
      <w:pPr>
        <w:spacing w:after="0" w:line="54" w:lineRule="exact"/>
        <w:rPr>
          <w:sz w:val="20"/>
          <w:szCs w:val="20"/>
          <w:color w:val="auto"/>
        </w:rPr>
      </w:pPr>
    </w:p>
    <w:p>
      <w:pPr>
        <w:ind w:left="1040" w:right="20" w:hanging="519"/>
        <w:spacing w:after="0" w:line="261"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CRLX101 Agreement, we will be required to pay to Calando: (1) milestone payments in an aggregate amount of up to $32.8 million upon the achievement of certain development, regulatory and commercial milestones, (2) tiered royalty payments ranging from low- to mid-single digits, as a percentage of worldwide net sales, if we or one of our affiliates sells CRLX101 and (3) a percentage, ranging from the low- to mid-double digits, of any licensing or sublicensing income we receive from our license or sublicense of CRLX101.</w:t>
      </w:r>
    </w:p>
    <w:p>
      <w:pPr>
        <w:spacing w:after="0" w:line="71" w:lineRule="exact"/>
        <w:rPr>
          <w:rFonts w:ascii="Times New Roman" w:cs="Times New Roman" w:eastAsia="Times New Roman" w:hAnsi="Times New Roman"/>
          <w:sz w:val="18"/>
          <w:szCs w:val="18"/>
          <w:color w:val="auto"/>
        </w:rPr>
      </w:pPr>
    </w:p>
    <w:p>
      <w:pPr>
        <w:ind w:left="1040" w:right="40" w:hanging="519"/>
        <w:spacing w:after="0" w:line="256"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Platform Agreement, we paid to Calando in January 2015 a $0.3 million clinical development milestone following the initiation of our Phase 1/2a clinical trial of CRLX301 in December 2014. In addition, under the Platform Agreement, we will be required to pay to Calando: (1) additional milestone payments in an aggregate amount of up to approximately $18.0 million to Calando upon the achievement of certain regulatory and commercial milestones, (2) tiered royalty payments ranging from low- to mid-single digits, as a percentage of worldwide net sales, in the event we or one of our affiliates sells CRLX301 and (3) a percentage, in the low-double digits, of any licensing or sublicensing income we receive from our license or sublicense of CRLX301.</w:t>
      </w:r>
    </w:p>
    <w:p>
      <w:pPr>
        <w:spacing w:after="0" w:line="188" w:lineRule="exact"/>
        <w:rPr>
          <w:sz w:val="20"/>
          <w:szCs w:val="20"/>
          <w:color w:val="auto"/>
        </w:rPr>
      </w:pPr>
    </w:p>
    <w:p>
      <w:pPr>
        <w:ind w:right="220" w:firstLine="518"/>
        <w:spacing w:after="0" w:line="313" w:lineRule="auto"/>
        <w:rPr>
          <w:sz w:val="20"/>
          <w:szCs w:val="20"/>
          <w:color w:val="auto"/>
        </w:rPr>
      </w:pPr>
      <w:r>
        <w:rPr>
          <w:rFonts w:ascii="Times New Roman" w:cs="Times New Roman" w:eastAsia="Times New Roman" w:hAnsi="Times New Roman"/>
          <w:sz w:val="17"/>
          <w:szCs w:val="17"/>
          <w:color w:val="auto"/>
        </w:rPr>
        <w:t>The contractual obligations table does not include potential payments we may be required to make under manufacturing and CRO agreements as the timing of when these payments will actually be made is uncertain and the payments are contingent upon the initiation and completion of future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right="240" w:firstLine="518"/>
        <w:spacing w:after="0" w:line="267" w:lineRule="auto"/>
        <w:rPr>
          <w:sz w:val="20"/>
          <w:szCs w:val="20"/>
          <w:color w:val="auto"/>
        </w:rPr>
      </w:pPr>
      <w:r>
        <w:rPr>
          <w:rFonts w:ascii="Times New Roman" w:cs="Times New Roman" w:eastAsia="Times New Roman" w:hAnsi="Times New Roman"/>
          <w:sz w:val="18"/>
          <w:szCs w:val="18"/>
          <w:color w:val="auto"/>
        </w:rPr>
        <w:t xml:space="preserve">On February 25, 2016, the Financial Accounting Standards Board, or FASB, issued Accounting Standards Update, or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provides new accounting guidance on leases. ASU 2016-02 is effective for fiscal years beginning after December 15, 2018. We have not yet evaluated the impact of adoption of this new guidance.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5" w:name="page86"/>
    <w:bookmarkEnd w:id="85"/>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To simplify the presentation of deferred taxes assets and liabilities, the new guidance requires that all deferred tax assets and liabilities, along with any related valuation allowance, be classified as noncurrent on the balance sheet. ASU 2015-17 is effective for public business entities in fiscal years beginning after December 15, 2016 and is not expected to have a material impact on our consolidated financial statements.</w:t>
      </w:r>
    </w:p>
    <w:p>
      <w:pPr>
        <w:spacing w:after="0" w:line="180" w:lineRule="exact"/>
        <w:rPr>
          <w:sz w:val="20"/>
          <w:szCs w:val="20"/>
          <w:color w:val="auto"/>
        </w:rPr>
      </w:pPr>
    </w:p>
    <w:p>
      <w:pPr>
        <w:jc w:val="both"/>
        <w:ind w:right="180" w:firstLine="518"/>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To simplify presentation of debt issuance costs, ASU 2015-03 requires that debt issuance costs related to a recognized debt liability be presented in the balance sheet as a direct deduction from the carrying amount of that debt liability, consistent with debt discounts. ASU 2015-03 is effective for annual and interim reporting periods beginning January 1, 2016, and early adoption is permitted. We retrospectively adopted the guidance for our year ended December 31, 2015 and as a result, reclassified approximately $0.2 million in deferred financing costs that would have appeared as “Other assets” to “Long-term loan payable” in our accompanying consolidated balance sheet. The impact on prior years was not material.</w:t>
      </w:r>
    </w:p>
    <w:p>
      <w:pPr>
        <w:spacing w:after="0" w:line="18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2015, we had cash and cash equivalents, including restricted cash, of approximately $76.3 million, consisting primarily of investments in money market funds and certificates of deposit. Our primary exposure to market risk is interest rate sensitivity, which is affected by changes in the general level of U.S.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2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760" w:type="dxa"/>
            <w:vAlign w:val="bottom"/>
            <w:gridSpan w:val="5"/>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CERULEAN PHARMA INC.</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20" w:type="dxa"/>
            <w:vAlign w:val="bottom"/>
            <w:gridSpan w:val="6"/>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980" w:type="dxa"/>
            <w:vAlign w:val="bottom"/>
            <w:gridSpan w:val="10"/>
            <w:vMerge w:val="restart"/>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Report of Independent Registered Public Accounting Firm</w:t>
              </w:r>
            </w:hyperlink>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80" w:type="dxa"/>
            <w:vAlign w:val="bottom"/>
            <w:gridSpan w:val="10"/>
            <w:vMerge w:val="continue"/>
          </w:tcPr>
          <w:p>
            <w:pPr>
              <w:spacing w:after="0"/>
              <w:rPr>
                <w:sz w:val="14"/>
                <w:szCs w:val="14"/>
                <w:color w:val="auto"/>
              </w:rPr>
            </w:pPr>
          </w:p>
        </w:tc>
        <w:tc>
          <w:tcPr>
            <w:tcW w:w="44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Consolidated Balance Sheets as of December 31, 2015 and 2014</w:t>
              </w:r>
            </w:hyperlink>
          </w:p>
        </w:tc>
        <w:tc>
          <w:tcPr>
            <w:tcW w:w="6320" w:type="dxa"/>
            <w:vAlign w:val="bottom"/>
            <w:gridSpan w:val="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0980" w:type="dxa"/>
            <w:vAlign w:val="bottom"/>
            <w:gridSpan w:val="10"/>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Consolidated Statements of Operations for the years ended December 31, 2015, 2014 and 2013</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0"/>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Consolidated Statements of Redeemable Convertible Preferred Stock and Stockholders’ Equity (Deficit) for the years ended December 31, 2015,</w:t>
              </w:r>
            </w:hyperlink>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2014 and 2013</w:t>
              </w:r>
            </w:hyperlink>
          </w:p>
        </w:tc>
        <w:tc>
          <w:tcPr>
            <w:tcW w:w="9140" w:type="dxa"/>
            <w:vAlign w:val="bottom"/>
            <w:tcBorders>
              <w:top w:val="single" w:sz="8" w:color="0000EE"/>
            </w:tcBorders>
            <w:gridSpan w:val="6"/>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Consolidated Statements of Cash Flows for the years ended December 31, 2015, 2014 and 2013</w:t>
              </w:r>
            </w:hyperlink>
          </w:p>
        </w:tc>
        <w:tc>
          <w:tcPr>
            <w:tcW w:w="4060" w:type="dxa"/>
            <w:vAlign w:val="bottom"/>
            <w:gridSpan w:val="2"/>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Notes to Consolidated Financial Statements</w:t>
              </w:r>
            </w:hyperlink>
          </w:p>
        </w:tc>
        <w:tc>
          <w:tcPr>
            <w:tcW w:w="7820" w:type="dxa"/>
            <w:vAlign w:val="bottom"/>
            <w:gridSpan w:val="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Cerulean Pharma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Massachusetts</w:t>
      </w:r>
    </w:p>
    <w:p>
      <w:pPr>
        <w:spacing w:after="0" w:line="9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Cerulean Pharma Inc. and subsidiary (the “Company”) as of December 31, 2015 and 2014, and the related consolidated statements of operations, redeemable convertible preferred stock and stockholders’ equity (deficit),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540" w:firstLine="518"/>
        <w:spacing w:after="0" w:line="266"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Cerulean Pharma Inc. and subsidiary as of December 31, 2015 and 2014, and the results of their operations and their cash flows for each of the three years in the period ended December 31, 2015,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(In thousands, except share data and par value)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75,908</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52,836</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19"/>
                <w:szCs w:val="19"/>
                <w:color w:val="auto"/>
              </w:rPr>
            </w:pPr>
          </w:p>
        </w:tc>
      </w:tr>
      <w:tr>
        <w:trPr>
          <w:trHeight w:val="263"/>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78,225</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loan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r>
      <w:tr>
        <w:trPr>
          <w:trHeight w:val="223"/>
        </w:trPr>
        <w:tc>
          <w:tcPr>
            <w:tcW w:w="78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 payable, net of current portion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(Note 12)</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or outstanding</w:t>
            </w:r>
          </w:p>
        </w:tc>
        <w:tc>
          <w:tcPr>
            <w:tcW w:w="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120,000,000 shares authorized, 27,346,780 and 20,125,049 shares issued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at December 31, 2015 and 2014, respectively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167,104</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(161,375)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(121,781)</w:t>
            </w:r>
          </w:p>
        </w:tc>
      </w:tr>
      <w:tr>
        <w:trPr>
          <w:trHeight w:val="223"/>
        </w:trPr>
        <w:tc>
          <w:tcPr>
            <w:tcW w:w="78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45,325</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(In thousands, except per share and share data)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42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tcBorders>
              <w:bottom w:val="single" w:sz="8" w:color="CFF0FC"/>
            </w:tcBorders>
          </w:tcPr>
          <w:p>
            <w:pPr>
              <w:spacing w:after="0"/>
              <w:rPr>
                <w:sz w:val="19"/>
                <w:szCs w:val="19"/>
                <w:color w:val="auto"/>
              </w:rPr>
            </w:pPr>
          </w:p>
        </w:tc>
      </w:tr>
      <w:tr>
        <w:trPr>
          <w:trHeight w:val="223"/>
        </w:trPr>
        <w:tc>
          <w:tcPr>
            <w:tcW w:w="5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100" w:type="dxa"/>
            <w:vAlign w:val="bottom"/>
            <w:shd w:val="clear" w:color="auto" w:fill="CFF0FC"/>
          </w:tcPr>
          <w:p>
            <w:pPr>
              <w:spacing w:after="0"/>
              <w:rPr>
                <w:sz w:val="19"/>
                <w:szCs w:val="19"/>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(1,487)</w:t>
            </w:r>
          </w:p>
        </w:tc>
      </w:tr>
      <w:tr>
        <w:trPr>
          <w:trHeight w:val="230"/>
        </w:trPr>
        <w:tc>
          <w:tcPr>
            <w:tcW w:w="5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(2,493)</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Decrease in value of preferred stock warrant liability</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r>
      <w:tr>
        <w:trPr>
          <w:trHeight w:val="223"/>
        </w:trPr>
        <w:tc>
          <w:tcPr>
            <w:tcW w:w="54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5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3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(39,594)</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00" w:type="dxa"/>
            <w:vAlign w:val="bottom"/>
            <w:tcBorders>
              <w:bottom w:val="single" w:sz="8" w:color="CFF0FC"/>
            </w:tcBorders>
          </w:tcPr>
          <w:p>
            <w:pPr>
              <w:spacing w:after="0"/>
              <w:rPr>
                <w:sz w:val="22"/>
                <w:szCs w:val="22"/>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3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(25.05)</w:t>
            </w:r>
          </w:p>
        </w:tc>
      </w:tr>
      <w:tr>
        <w:trPr>
          <w:trHeight w:val="210"/>
        </w:trPr>
        <w:tc>
          <w:tcPr>
            <w:tcW w:w="5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3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1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25,431,332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14,548,516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684,330</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REDEEMABLE CONVERTIBLE PREFERRED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STOCKHOLDERS’ EQUITY (DEFICIT)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data and par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w w:val="95"/>
              </w:rPr>
              <w:t>Redeemable</w:t>
            </w:r>
          </w:p>
        </w:tc>
        <w:tc>
          <w:tcPr>
            <w:tcW w:w="6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tcBorders>
              <w:right w:val="single" w:sz="8" w:color="auto"/>
            </w:tcBorders>
            <w:gridSpan w:val="5"/>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Convertible Preferred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left="8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3"/>
          </w:tcPr>
          <w:p>
            <w:pPr>
              <w:jc w:val="right"/>
              <w:ind w:right="426"/>
              <w:spacing w:after="0" w:line="135"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5"/>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Borders>
              <w:bottom w:val="single" w:sz="8" w:color="auto"/>
            </w:tcBorders>
            <w:gridSpan w:val="3"/>
          </w:tcPr>
          <w:p>
            <w:pPr>
              <w:jc w:val="center"/>
              <w:ind w:left="620"/>
              <w:spacing w:after="0"/>
              <w:rPr>
                <w:sz w:val="20"/>
                <w:szCs w:val="20"/>
                <w:color w:val="auto"/>
              </w:rPr>
            </w:pPr>
            <w:r>
              <w:rPr>
                <w:rFonts w:ascii="Times New Roman" w:cs="Times New Roman" w:eastAsia="Times New Roman" w:hAnsi="Times New Roman"/>
                <w:sz w:val="12"/>
                <w:szCs w:val="12"/>
                <w:b w:val="1"/>
                <w:bCs w:val="1"/>
                <w:color w:val="auto"/>
                <w:w w:val="95"/>
              </w:rPr>
              <w:t>$0.01 Par Value</w:t>
            </w:r>
          </w:p>
        </w:tc>
        <w:tc>
          <w:tcPr>
            <w:tcW w:w="680" w:type="dxa"/>
            <w:vAlign w:val="bottom"/>
            <w:tcBorders>
              <w:bottom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366"/>
              <w:spacing w:after="0"/>
              <w:rPr>
                <w:sz w:val="20"/>
                <w:szCs w:val="20"/>
                <w:color w:val="auto"/>
              </w:rPr>
            </w:pPr>
            <w:r>
              <w:rPr>
                <w:rFonts w:ascii="Times New Roman" w:cs="Times New Roman" w:eastAsia="Times New Roman" w:hAnsi="Times New Roman"/>
                <w:sz w:val="12"/>
                <w:szCs w:val="12"/>
                <w:b w:val="1"/>
                <w:bCs w:val="1"/>
                <w:color w:val="auto"/>
              </w:rPr>
              <w:t>$0.0001 Par Value</w:t>
            </w:r>
          </w:p>
        </w:tc>
        <w:tc>
          <w:tcPr>
            <w:tcW w:w="2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Paid-In</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0"/>
              </w:rPr>
              <w:t>Amount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8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312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BALANCE — December 31, 2012</w:t>
            </w:r>
          </w:p>
        </w:tc>
        <w:tc>
          <w:tcPr>
            <w:tcW w:w="16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87,037,546</w:t>
            </w:r>
          </w:p>
        </w:tc>
        <w:tc>
          <w:tcPr>
            <w:tcW w:w="3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83,751</w:t>
            </w:r>
          </w:p>
        </w:tc>
        <w:tc>
          <w:tcPr>
            <w:tcW w:w="260" w:type="dxa"/>
            <w:vAlign w:val="bottom"/>
            <w:tcBorders>
              <w:top w:val="single" w:sz="8" w:color="CFF0FC"/>
              <w:right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609,945</w:t>
            </w:r>
          </w:p>
        </w:tc>
        <w:tc>
          <w:tcPr>
            <w:tcW w:w="28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1,257</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(81,296)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(80,039)</w:t>
            </w:r>
          </w:p>
        </w:tc>
        <w:tc>
          <w:tcPr>
            <w:tcW w:w="60" w:type="dxa"/>
            <w:vAlign w:val="bottom"/>
            <w:tcBorders>
              <w:top w:val="single" w:sz="8" w:color="CFF0FC"/>
            </w:tcBorders>
            <w:shd w:val="clear" w:color="auto" w:fill="CFF0FC"/>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8,911</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60" w:type="dxa"/>
            <w:vAlign w:val="bottom"/>
          </w:tcPr>
          <w:p>
            <w:pPr>
              <w:spacing w:after="0"/>
              <w:rPr>
                <w:sz w:val="12"/>
                <w:szCs w:val="12"/>
                <w:color w:val="auto"/>
              </w:rPr>
            </w:pPr>
          </w:p>
        </w:tc>
      </w:tr>
      <w:tr>
        <w:trPr>
          <w:trHeight w:val="14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60" w:type="dxa"/>
            <w:vAlign w:val="bottom"/>
            <w:shd w:val="clear" w:color="auto" w:fill="CFF0FC"/>
          </w:tcPr>
          <w:p>
            <w:pPr>
              <w:spacing w:after="0"/>
              <w:rPr>
                <w:sz w:val="12"/>
                <w:szCs w:val="12"/>
                <w:color w:val="auto"/>
              </w:rPr>
            </w:pPr>
          </w:p>
        </w:tc>
      </w:tr>
      <w:tr>
        <w:trPr>
          <w:trHeight w:val="130"/>
        </w:trPr>
        <w:tc>
          <w:tcPr>
            <w:tcW w:w="31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Conversion of preferred stock into common stock at</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$14.51 to $39.21 per share</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(1,830,190)</w:t>
            </w:r>
          </w:p>
        </w:tc>
        <w:tc>
          <w:tcPr>
            <w:tcW w:w="24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(2,226)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166,675</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2,226</w:t>
            </w:r>
          </w:p>
        </w:tc>
        <w:tc>
          <w:tcPr>
            <w:tcW w:w="60" w:type="dxa"/>
            <w:vAlign w:val="bottom"/>
          </w:tcPr>
          <w:p>
            <w:pPr>
              <w:spacing w:after="0"/>
              <w:rPr>
                <w:sz w:val="13"/>
                <w:szCs w:val="13"/>
                <w:color w:val="auto"/>
              </w:rPr>
            </w:pPr>
          </w:p>
        </w:tc>
      </w:tr>
      <w:tr>
        <w:trPr>
          <w:trHeight w:val="14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(17,143)</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(17,143)</w:t>
            </w:r>
          </w:p>
        </w:tc>
      </w:tr>
      <w:tr>
        <w:trPr>
          <w:trHeight w:val="142"/>
        </w:trPr>
        <w:tc>
          <w:tcPr>
            <w:tcW w:w="31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BALANCE — December 31, 2013</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85,207,356</w:t>
            </w: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81,525</w:t>
            </w: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785,531</w:t>
            </w:r>
          </w:p>
        </w:tc>
        <w:tc>
          <w:tcPr>
            <w:tcW w:w="2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4,140</w:t>
            </w: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(98,439)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(94,299)</w:t>
            </w:r>
          </w:p>
        </w:tc>
        <w:tc>
          <w:tcPr>
            <w:tcW w:w="60" w:type="dxa"/>
            <w:vAlign w:val="bottom"/>
          </w:tcPr>
          <w:p>
            <w:pPr>
              <w:spacing w:after="0"/>
              <w:rPr>
                <w:sz w:val="12"/>
                <w:szCs w:val="12"/>
                <w:color w:val="auto"/>
              </w:rPr>
            </w:pPr>
          </w:p>
        </w:tc>
      </w:tr>
      <w:tr>
        <w:trPr>
          <w:trHeight w:val="14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41,566</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60" w:type="dxa"/>
            <w:vAlign w:val="bottom"/>
            <w:shd w:val="clear" w:color="auto" w:fill="CFF0FC"/>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60" w:type="dxa"/>
            <w:vAlign w:val="bottom"/>
          </w:tcPr>
          <w:p>
            <w:pPr>
              <w:spacing w:after="0"/>
              <w:rPr>
                <w:sz w:val="12"/>
                <w:szCs w:val="12"/>
                <w:color w:val="auto"/>
              </w:rPr>
            </w:pPr>
          </w:p>
        </w:tc>
      </w:tr>
      <w:tr>
        <w:trPr>
          <w:trHeight w:val="130"/>
        </w:trPr>
        <w:tc>
          <w:tcPr>
            <w:tcW w:w="31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Issuance of common stock from initial public</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3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offering, net of underwriting fees and issuance</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3"/>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costs of $7,126</w:t>
            </w: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9,569,715</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59,861</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59,862</w:t>
            </w:r>
          </w:p>
        </w:tc>
        <w:tc>
          <w:tcPr>
            <w:tcW w:w="60" w:type="dxa"/>
            <w:vAlign w:val="bottom"/>
            <w:shd w:val="clear" w:color="auto" w:fill="CFF0FC"/>
          </w:tcPr>
          <w:p>
            <w:pPr>
              <w:spacing w:after="0"/>
              <w:rPr>
                <w:sz w:val="13"/>
                <w:szCs w:val="13"/>
                <w:color w:val="auto"/>
              </w:rPr>
            </w:pPr>
          </w:p>
        </w:tc>
      </w:tr>
      <w:tr>
        <w:trPr>
          <w:trHeight w:val="130"/>
        </w:trPr>
        <w:tc>
          <w:tcPr>
            <w:tcW w:w="31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Conversion of convertible preferred stock into</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common stock</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(85,207,356)</w:t>
            </w:r>
          </w:p>
        </w:tc>
        <w:tc>
          <w:tcPr>
            <w:tcW w:w="24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(81,525)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6,826,004</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81,525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81,526</w:t>
            </w:r>
          </w:p>
        </w:tc>
        <w:tc>
          <w:tcPr>
            <w:tcW w:w="60" w:type="dxa"/>
            <w:vAlign w:val="bottom"/>
          </w:tcPr>
          <w:p>
            <w:pPr>
              <w:spacing w:after="0"/>
              <w:rPr>
                <w:sz w:val="13"/>
                <w:szCs w:val="13"/>
                <w:color w:val="auto"/>
              </w:rPr>
            </w:pPr>
          </w:p>
        </w:tc>
      </w:tr>
      <w:tr>
        <w:trPr>
          <w:trHeight w:val="130"/>
        </w:trPr>
        <w:tc>
          <w:tcPr>
            <w:tcW w:w="31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Reclassification of warrants in connection with</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3"/>
        </w:trPr>
        <w:tc>
          <w:tcPr>
            <w:tcW w:w="3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initial public offering</w:t>
            </w: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60" w:type="dxa"/>
            <w:vAlign w:val="bottom"/>
            <w:shd w:val="clear" w:color="auto" w:fill="CFF0FC"/>
          </w:tcPr>
          <w:p>
            <w:pPr>
              <w:spacing w:after="0"/>
              <w:rPr>
                <w:sz w:val="13"/>
                <w:szCs w:val="13"/>
                <w:color w:val="auto"/>
              </w:rPr>
            </w:pPr>
          </w:p>
        </w:tc>
      </w:tr>
      <w:tr>
        <w:trPr>
          <w:trHeight w:val="130"/>
        </w:trPr>
        <w:tc>
          <w:tcPr>
            <w:tcW w:w="31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Conversion of convertible notes, net of</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issuance costs of $187</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2,902,233</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20,129</w:t>
            </w:r>
          </w:p>
        </w:tc>
        <w:tc>
          <w:tcPr>
            <w:tcW w:w="60" w:type="dxa"/>
            <w:vAlign w:val="bottom"/>
          </w:tcPr>
          <w:p>
            <w:pPr>
              <w:spacing w:after="0"/>
              <w:rPr>
                <w:sz w:val="13"/>
                <w:szCs w:val="13"/>
                <w:color w:val="auto"/>
              </w:rPr>
            </w:pPr>
          </w:p>
        </w:tc>
      </w:tr>
      <w:tr>
        <w:trPr>
          <w:trHeight w:val="14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(23,342)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(23,342)</w:t>
            </w:r>
          </w:p>
        </w:tc>
      </w:tr>
      <w:tr>
        <w:trPr>
          <w:trHeight w:val="142"/>
        </w:trPr>
        <w:tc>
          <w:tcPr>
            <w:tcW w:w="31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BALANCE — December 31, 2014</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20,125,049</w:t>
            </w:r>
          </w:p>
        </w:tc>
        <w:tc>
          <w:tcPr>
            <w:tcW w:w="2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w:t>
            </w: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167,104</w:t>
            </w: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(121,781)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45,325</w:t>
            </w:r>
          </w:p>
        </w:tc>
        <w:tc>
          <w:tcPr>
            <w:tcW w:w="60" w:type="dxa"/>
            <w:vAlign w:val="bottom"/>
          </w:tcPr>
          <w:p>
            <w:pPr>
              <w:spacing w:after="0"/>
              <w:rPr>
                <w:sz w:val="12"/>
                <w:szCs w:val="12"/>
                <w:color w:val="auto"/>
              </w:rPr>
            </w:pPr>
          </w:p>
        </w:tc>
      </w:tr>
      <w:tr>
        <w:trPr>
          <w:trHeight w:val="14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370,230</w:t>
            </w: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60" w:type="dxa"/>
            <w:vAlign w:val="bottom"/>
            <w:shd w:val="clear" w:color="auto" w:fill="CFF0FC"/>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60" w:type="dxa"/>
            <w:vAlign w:val="bottom"/>
          </w:tcPr>
          <w:p>
            <w:pPr>
              <w:spacing w:after="0"/>
              <w:rPr>
                <w:sz w:val="12"/>
                <w:szCs w:val="12"/>
                <w:color w:val="auto"/>
              </w:rPr>
            </w:pPr>
          </w:p>
        </w:tc>
      </w:tr>
      <w:tr>
        <w:trPr>
          <w:trHeight w:val="130"/>
        </w:trPr>
        <w:tc>
          <w:tcPr>
            <w:tcW w:w="31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Issuance of common stock from public offering, net</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3"/>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of underwriting fees and issuance costs of $3,111</w:t>
            </w: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6,716,000</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37,184</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37,185</w:t>
            </w:r>
          </w:p>
        </w:tc>
        <w:tc>
          <w:tcPr>
            <w:tcW w:w="60" w:type="dxa"/>
            <w:vAlign w:val="bottom"/>
            <w:shd w:val="clear" w:color="auto" w:fill="CFF0FC"/>
          </w:tcPr>
          <w:p>
            <w:pPr>
              <w:spacing w:after="0"/>
              <w:rPr>
                <w:sz w:val="13"/>
                <w:szCs w:val="13"/>
                <w:color w:val="auto"/>
              </w:rPr>
            </w:pPr>
          </w:p>
        </w:tc>
      </w:tr>
      <w:tr>
        <w:trPr>
          <w:trHeight w:val="149"/>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from private placement</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135,501</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tcPr>
          <w:p>
            <w:pPr>
              <w:spacing w:after="0"/>
              <w:rPr>
                <w:sz w:val="12"/>
                <w:szCs w:val="12"/>
                <w:color w:val="auto"/>
              </w:rPr>
            </w:pPr>
          </w:p>
        </w:tc>
      </w:tr>
      <w:tr>
        <w:trPr>
          <w:trHeight w:val="14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warrants in connection with term loan facility</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60" w:type="dxa"/>
            <w:vAlign w:val="bottom"/>
            <w:shd w:val="clear" w:color="auto" w:fill="CFF0FC"/>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(39,594)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(39,594)</w:t>
            </w:r>
          </w:p>
        </w:tc>
      </w:tr>
      <w:tr>
        <w:trPr>
          <w:trHeight w:val="142"/>
        </w:trPr>
        <w:tc>
          <w:tcPr>
            <w:tcW w:w="312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BALANCE — December 31, 2015</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27,346,780</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210,115</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(161,375)</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48,743</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(39,594)</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(23,342)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(17,143)</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Noncash rent expense</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carrying value of preferred stock warrant liability</w:t>
            </w:r>
          </w:p>
        </w:tc>
        <w:tc>
          <w:tcPr>
            <w:tcW w:w="3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debt discount and deferred financing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(695)</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(31,915)</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public stock offering, net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loan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convertible promissory notes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on loan payable</w:t>
            </w: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(3,348)</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(222)</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57,133</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 End of year</w:t>
            </w: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75,908</w:t>
            </w: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 of property and equipment in accounts payable</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into common stock</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81,526</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Conversion of convertible notes and accrued interest into</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net</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of warrants to additional paid-in capital</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Warrants issued with term loan facility</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 Interest paid</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OPERATIONS</w:t>
      </w:r>
    </w:p>
    <w:p>
      <w:pPr>
        <w:spacing w:after="0" w:line="225" w:lineRule="exact"/>
        <w:rPr>
          <w:sz w:val="20"/>
          <w:szCs w:val="20"/>
          <w:color w:val="auto"/>
        </w:rPr>
      </w:pPr>
    </w:p>
    <w:p>
      <w:pPr>
        <w:ind w:right="14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Cerulean Pharma Inc. (the “Company”) was incorporated on November 28, 2005, as a Delaware corporation and is located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Waltham, Massachusetts. The Company was formed to develop novel, nanotechnology-based therapeutics in the areas of oncology and other diseases. In 2013, the Company formed a wholly-owned subsidiary, Cerulean Pharma Australia Pty Ltd as an Australian-based proprietary limited company to perform clinical activities in Australia.</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operations to date have consisted primarily of raising capital, product research and development, and initial market development.</w:t>
      </w:r>
    </w:p>
    <w:p>
      <w:pPr>
        <w:spacing w:after="0" w:line="22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Company has not generated any revenue related to its primary business purpose to date and is subject to a number of risks similar to those of other development stage life science companies, including dependence on key individuals, competition from other companies, the need for development of commercially viable products, and the need to obtain adequate additional financing to fund the development of its product candidates. The Company is also subject to a number of risks similar to other companies in the industry, including rapid technological change, regulatory approval of products, uncertainty of market acceptance of products, competition from substitute products and larger companies, the need to obtain additional financing, compliance with government regulations, protection of proprietary technology, dependence on third parties, product liability and dependence on key individuals.</w:t>
      </w:r>
    </w:p>
    <w:p>
      <w:pPr>
        <w:spacing w:after="0" w:line="18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has an accumulated deficit of $161.4 million at December 31, 2015. The Company has financed its operations primarily through private placements of its preferred stock, proceeds from borrowings, an initial public offering completed in 2014 and a follow-on offering completed in 2015. The Company has not completed development of any product candidate and has devoted substantially all of its financial resources and efforts to research and development, including preclinical and clinical development. Accordingly, the Company will continue to depend on its ability to raise capital through equity and debt issuances and/or through strategic partnerships. The Company expects to continue to incur significant expenses and increasing operating losses for at least several years. The Company believes that its cash and cash equivalents as of December 31, 2015, will be able to fund operating expenses, debt service and capital expenditure requirements for at least twelve months from our 2015 financial statement issuance date.</w:t>
      </w:r>
    </w:p>
    <w:p>
      <w:pPr>
        <w:spacing w:after="0" w:line="185" w:lineRule="exact"/>
        <w:rPr>
          <w:sz w:val="20"/>
          <w:szCs w:val="20"/>
          <w:color w:val="auto"/>
        </w:rPr>
      </w:pPr>
    </w:p>
    <w:p>
      <w:pPr>
        <w:ind w:right="24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Follow-on Offering </w:t>
      </w:r>
      <w:r>
        <w:rPr>
          <w:rFonts w:ascii="Times New Roman" w:cs="Times New Roman" w:eastAsia="Times New Roman" w:hAnsi="Times New Roman"/>
          <w:sz w:val="18"/>
          <w:szCs w:val="18"/>
          <w:color w:val="auto"/>
        </w:rPr>
        <w:t>— On April 10, 2015, the Company completed the issuance and sale of 6,716,000 shares of common stock in an underwritten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offering at a price to the public of $6.00 per share. The sale of shares of common stock included 876,000 shares sold pursuant to the full exercise of the underwriters’ option to purchase additional shares of common stock. The net proceeds to the Company from this offering were $37.2 million after deducting underwriting discounts and commissions and offering expenses payable by the Company.</w:t>
      </w:r>
    </w:p>
    <w:p>
      <w:pPr>
        <w:spacing w:after="0" w:line="177"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Initial Public Offering </w:t>
      </w:r>
      <w:r>
        <w:rPr>
          <w:rFonts w:ascii="Times New Roman" w:cs="Times New Roman" w:eastAsia="Times New Roman" w:hAnsi="Times New Roman"/>
          <w:sz w:val="18"/>
          <w:szCs w:val="18"/>
          <w:color w:val="auto"/>
        </w:rPr>
        <w:t>— On April 15, 2014, the Company completed the sale of 8,500,000 shares of its common stock in its initial public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“IPO”), at a price to the public of $7.00 per share. On May 7, 2014, the Company completed the sale of an additional 1,069,715 shares of common stock at a price to the public of $7.00 per share under a partial exercise by the underwriters of their option to purchase additional shares of common stock. The sale of shares to the public resulted in net proceeds of $59.9 million after deducting underwriting discounts and commissions and offering expenses payable by the Company.</w:t>
      </w:r>
    </w:p>
    <w:p>
      <w:pPr>
        <w:spacing w:after="0" w:line="184"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IPO, all of the Company’s outstanding redeemable convertible preferred stock and convertible notes automatically converted into shares of common stock as of April 15, 2014, resulting in the issuance by the Company of an additional 9,728,237 shares of common stock.</w:t>
      </w:r>
    </w:p>
    <w:p>
      <w:pPr>
        <w:spacing w:after="0" w:line="176"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the IPO on April 15, 2014, the Company’s outstanding warrants to purchase 1,857,226 shares of the Company’s preferred stock automatically converted into warrants to purchase an aggregate of 128,663 shares of the Company’s common stock and, as a result, the Company reclassified the warrant liability to additional paid-in capital.</w:t>
      </w:r>
    </w:p>
    <w:p>
      <w:pPr>
        <w:spacing w:after="0" w:line="199"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ind w:right="26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93" w:name="page94"/>
    <w:bookmarkEnd w:id="93"/>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On an ongoing basis, the Company's management evaluates its estimates, including estimates related to clinical trial accruals, stock-based compensation expense, and reported amounts of revenues and expenses during the reported period. The Company bases its estimates on historical experience and other market-specific or other relevant assumptions that it believes to be reasonable under the circumstances. Although the Company regularly assesses these estimates, actual results could differ from those estimates. Changes in estimates are recorded in the period in which they become known.</w:t>
      </w:r>
    </w:p>
    <w:p>
      <w:pPr>
        <w:spacing w:after="0" w:line="176" w:lineRule="exact"/>
        <w:rPr>
          <w:sz w:val="20"/>
          <w:szCs w:val="20"/>
          <w:color w:val="auto"/>
        </w:rPr>
      </w:pPr>
    </w:p>
    <w:p>
      <w:pPr>
        <w:ind w:right="420"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the Company and its wholly-owned subsidiary.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intercompany accounts and transactions have been eliminated.</w:t>
      </w:r>
    </w:p>
    <w:p>
      <w:pPr>
        <w:spacing w:after="0" w:line="155" w:lineRule="exact"/>
        <w:rPr>
          <w:sz w:val="20"/>
          <w:szCs w:val="20"/>
          <w:color w:val="auto"/>
        </w:rPr>
      </w:pPr>
    </w:p>
    <w:p>
      <w:pPr>
        <w:ind w:right="10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 Operating segments are identified as components of an enterprise about which separate discrete financial information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evaluation by the chief operating decision-maker in making decisions regarding resource allocation and assessing performance. The Company views its operations and manages its business in one operating segment; however, the Company operates in two geographic regions: United States (Waltham, MA) and Australia (Sydney, NSW). There is no revenue generated or long-lived assets located within the Australian location.</w:t>
      </w:r>
    </w:p>
    <w:p>
      <w:pPr>
        <w:spacing w:after="0" w:line="177"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Cash equivalents include all highly liquid investments maturing within 90 days from the date of purchase and consist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of money market funds.</w:t>
      </w:r>
    </w:p>
    <w:p>
      <w:pPr>
        <w:spacing w:after="0" w:line="155" w:lineRule="exact"/>
        <w:rPr>
          <w:sz w:val="20"/>
          <w:szCs w:val="20"/>
          <w:color w:val="auto"/>
        </w:rPr>
      </w:pPr>
    </w:p>
    <w:p>
      <w:pPr>
        <w:ind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Concentrations of Credit Risk </w:t>
      </w:r>
      <w:r>
        <w:rPr>
          <w:rFonts w:ascii="Times New Roman" w:cs="Times New Roman" w:eastAsia="Times New Roman" w:hAnsi="Times New Roman"/>
          <w:sz w:val="18"/>
          <w:szCs w:val="18"/>
          <w:color w:val="auto"/>
        </w:rPr>
        <w:t>— Financial instruments that subject the Company to significant concentrations of credit risk consist primarily of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cash equivalents. Substantially all of the Company’s cash and cash equivalents are held at one financial institution that management believes to be of high-credit quality. Deposits with this financial institution may exceed the amount of insurance provided on such deposits; however these deposits may be redeemed upon demand and, therefore, bear minimal risk.</w:t>
      </w:r>
    </w:p>
    <w:p>
      <w:pPr>
        <w:spacing w:after="0" w:line="177" w:lineRule="exact"/>
        <w:rPr>
          <w:sz w:val="20"/>
          <w:szCs w:val="20"/>
          <w:color w:val="auto"/>
        </w:rPr>
      </w:pPr>
    </w:p>
    <w:p>
      <w:pPr>
        <w:ind w:right="240"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 At December 31, 2015 and 2014, the Company had restricted cash of $347,000 and $117,000, respectively. The restricted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balances were used to collateralize stand-by letters of credit issued by the Company as a security deposit for its current and former facility leases. The balance at December 31, 2014, was with respect to the Company’s former facility lease that was scheduled to expire in February 2016 and was terminated early on December 31, 2015. The balance at December 31, 2015, includes the balance for the former facility lease and the Company’s new facility lease which is scheduled to expire in February 2021. The restricted cash is included within other assets in the balance sheet.</w:t>
      </w:r>
    </w:p>
    <w:p>
      <w:pPr>
        <w:spacing w:after="0" w:line="180" w:lineRule="exact"/>
        <w:rPr>
          <w:sz w:val="20"/>
          <w:szCs w:val="20"/>
          <w:color w:val="auto"/>
        </w:rPr>
      </w:pPr>
    </w:p>
    <w:p>
      <w:pPr>
        <w:ind w:right="380"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Property and equipment are recorded at cost and depreciated over their estimated useful lives using the straight-line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Repairs and maintenance costs are expensed as incurred, whereas major improvements are capitalized as additions to property and equipment.</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is provided using the straight-line method over the following estimated useful lives: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6280" w:type="dxa"/>
            <w:vAlign w:val="bottom"/>
            <w:shd w:val="clear" w:color="auto" w:fill="CFF0FC"/>
          </w:tcPr>
          <w:p>
            <w:pPr>
              <w:ind w:left="1760"/>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2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6280" w:type="dxa"/>
            <w:vAlign w:val="bottom"/>
            <w:shd w:val="clear" w:color="auto" w:fill="CFF0FC"/>
          </w:tcPr>
          <w:p>
            <w:pPr>
              <w:ind w:left="176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Lesser of useful life or remaining lease term</w:t>
            </w:r>
          </w:p>
        </w:tc>
      </w:tr>
    </w:tbl>
    <w:p>
      <w:pPr>
        <w:spacing w:after="0" w:line="216" w:lineRule="exact"/>
        <w:rPr>
          <w:sz w:val="20"/>
          <w:szCs w:val="20"/>
          <w:color w:val="auto"/>
        </w:rPr>
      </w:pPr>
    </w:p>
    <w:p>
      <w:pPr>
        <w:ind w:right="160"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 Long-lived assets are reviewed for impairment whenever events or changes in circumstances indicate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For the years ended December 31, 2015 and 2014, the Company has not recorded an impairment charge for its long-lived assets.</w:t>
      </w:r>
    </w:p>
    <w:p>
      <w:pPr>
        <w:spacing w:after="0" w:line="180" w:lineRule="exact"/>
        <w:rPr>
          <w:sz w:val="20"/>
          <w:szCs w:val="20"/>
          <w:color w:val="auto"/>
        </w:rPr>
      </w:pPr>
    </w:p>
    <w:p>
      <w:pPr>
        <w:ind w:right="4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The Company’s revenue to date has been insignificant and has been generated from short-term research agreements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companies and federal grants. There have been no multiple element arrangements. Revenue is recognized when four basic criteria are met: (1) persuasive evidence of an arrangement exists, (2) delivery has occurred or services have been rendered, (3) the fee is fixed or determinable, and (4) collectability is reasonably assured. Accordingly, the Company has recognized revenue under its agreements as the services were performed.</w:t>
      </w:r>
    </w:p>
    <w:p>
      <w:pPr>
        <w:spacing w:after="0" w:line="177" w:lineRule="exact"/>
        <w:rPr>
          <w:sz w:val="20"/>
          <w:szCs w:val="20"/>
          <w:color w:val="auto"/>
        </w:rPr>
      </w:pPr>
    </w:p>
    <w:p>
      <w:pPr>
        <w:ind w:right="60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Comprehensive Loss </w:t>
      </w:r>
      <w:r>
        <w:rPr>
          <w:rFonts w:ascii="Times New Roman" w:cs="Times New Roman" w:eastAsia="Times New Roman" w:hAnsi="Times New Roman"/>
          <w:sz w:val="18"/>
          <w:szCs w:val="18"/>
          <w:color w:val="auto"/>
        </w:rPr>
        <w:t>— Comprehensive loss consists of net loss and changes in equity during a period from transactions and other equity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generated from non-owner sources. The Company had no items of comprehensive loss, other than its net loss, for each of the periods presented.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4" w:name="page95"/>
    <w:bookmarkEnd w:id="94"/>
    <w:p>
      <w:pPr>
        <w:ind w:right="120" w:firstLine="51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Costs </w:t>
      </w:r>
      <w:r>
        <w:rPr>
          <w:rFonts w:ascii="Times New Roman" w:cs="Times New Roman" w:eastAsia="Times New Roman" w:hAnsi="Times New Roman"/>
          <w:sz w:val="18"/>
          <w:szCs w:val="18"/>
          <w:color w:val="auto"/>
        </w:rPr>
        <w:t>— Research and development expenses consist of expenses incurred in performing research and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including compensation and benefits for full-time research and development employees, an allocation of facilities expenses, overhead expenses, manufacturing process-development and scale-up activities, clinical trial and related clinical manufacturing expenses, fees paid to clinical research organizations, or CROs, and investigative sites, payments to universities under the Company’s license agreements and other outside expenses. In the early phases of development, the Company’s research and development costs are often devoted to expanding its product platform and are not necessarily allocable to a specific target. Research and development costs are expensed as incurred. Nonrefundable advanced payments, if any, for goods and services used in research and development are recognized as an expense as the related goods are delivered or services are performed.</w:t>
      </w:r>
    </w:p>
    <w:p>
      <w:pPr>
        <w:spacing w:after="0" w:line="183" w:lineRule="exact"/>
        <w:rPr>
          <w:sz w:val="20"/>
          <w:szCs w:val="20"/>
          <w:color w:val="auto"/>
        </w:rPr>
      </w:pPr>
    </w:p>
    <w:p>
      <w:pPr>
        <w:ind w:right="140"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Preferred Stock Warrant Liability </w:t>
      </w:r>
      <w:r>
        <w:rPr>
          <w:rFonts w:ascii="Times New Roman" w:cs="Times New Roman" w:eastAsia="Times New Roman" w:hAnsi="Times New Roman"/>
          <w:sz w:val="18"/>
          <w:szCs w:val="18"/>
          <w:color w:val="auto"/>
        </w:rPr>
        <w:t>— Freestanding warrants related to shares that are redeemable or contingently redeemable are classified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on the Company’s balance sheets. The Company uses the Black-Scholes option-pricing model to estimate the fair value of the warrants. Changes in the fair value of these warrants are recorded in the statements of operations. All of the Company’s warrants to purchase preferred stock were converted to warrants to purchase common stock upon the Company’s IPO in April 2014. Accordingly, the preferred stock warrant liability was reclassified to additional paid-in capital.</w:t>
      </w:r>
    </w:p>
    <w:p>
      <w:pPr>
        <w:spacing w:after="0" w:line="180" w:lineRule="exact"/>
        <w:rPr>
          <w:sz w:val="20"/>
          <w:szCs w:val="20"/>
          <w:color w:val="auto"/>
        </w:rPr>
      </w:pPr>
    </w:p>
    <w:p>
      <w:pPr>
        <w:ind w:right="300" w:firstLine="518"/>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Redeemable Convertible Preferred Stock </w:t>
      </w:r>
      <w:r>
        <w:rPr>
          <w:rFonts w:ascii="Times New Roman" w:cs="Times New Roman" w:eastAsia="Times New Roman" w:hAnsi="Times New Roman"/>
          <w:sz w:val="17"/>
          <w:szCs w:val="17"/>
          <w:color w:val="auto"/>
        </w:rPr>
        <w:t>— The Company classified redeemable convertible preferred stock that was redeemable outside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control outside of permanent equity. The Company recorded such redeemable preferred stock at fair value upon issuance, net of any issuance costs or discounts, and the carrying value was being increased by periodic accretion to its redemption value. In the absence of retained earnings these accretion charges were recorded against additional paid-in capital, if any, and then to accumulated deficit. The Company amortized the accretion using the interest method. All of the Company’s redeemable convertible preferred stock was automatically converted to common stock in connection with the IPO.</w:t>
      </w:r>
    </w:p>
    <w:p>
      <w:pPr>
        <w:spacing w:after="0" w:line="164"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The Company accounts for stock-based awards at fair value, which is measured using the Black-Scholes option-pricing model. The fair value measurement date for employee awards is generally the date of grant. The fair value measurement date for nonemployee awards is generally the date the performance of services is completed. Stock-based compensation costs are recognized as an expense over the requisite service period, which is generally the vesting period, on a straight-line basis for all time-vested awards. The Company issued performance based grants where the vesting of the grant is tied to certain milestone performance and in these cases, the compensation is recognized as expense when the probability of the milestone is met.</w:t>
      </w:r>
    </w:p>
    <w:p>
      <w:pPr>
        <w:spacing w:after="0" w:line="184"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Stock-based awards to nonemployees are remeasured at each reporting date and recognized as services are rendered, generally on a straight-line basis. The Company believes that the fair value of these awards is more reliably measurable than the fair value of the services rendered. Stock-based compensation is classified in the accompanying consolidated statements of operations in the department where the related services are provided.</w:t>
      </w:r>
    </w:p>
    <w:p>
      <w:pPr>
        <w:spacing w:after="0" w:line="17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Net Loss per Share Attributable to Common Stockholders </w:t>
      </w:r>
      <w:r>
        <w:rPr>
          <w:rFonts w:ascii="Times New Roman" w:cs="Times New Roman" w:eastAsia="Times New Roman" w:hAnsi="Times New Roman"/>
          <w:sz w:val="18"/>
          <w:szCs w:val="18"/>
          <w:color w:val="auto"/>
        </w:rPr>
        <w:t>— Basic net loss attributable to common stockholders per share is computed by dividing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net loss attributable to common stockholders by the weighted-average number of common shares outstanding for the period. During periods where the Company might earn net income, the Company would allocate participating securities a proportional share of net income determined by dividing total weighted average participating securities by the sum of the total weighted average common shares and participating securities (the “two-class method”). Participating securities have the effect of diluting both basic and diluted earnings per share during periods of income. During periods where the Company incurred net loss, the Company allocates no loss to participating securities because they have no contractual obligation to share in the losses of the Company. The Company computes diluted loss per common share after giving consideration to the dilutive effect of stock options and warrants that are outstanding during the period, except where such nonparticipating securities would be antidilutive.</w:t>
      </w:r>
    </w:p>
    <w:p>
      <w:pPr>
        <w:spacing w:after="0" w:line="185" w:lineRule="exact"/>
        <w:rPr>
          <w:sz w:val="20"/>
          <w:szCs w:val="20"/>
          <w:color w:val="auto"/>
        </w:rPr>
      </w:pPr>
    </w:p>
    <w:p>
      <w:pPr>
        <w:ind w:right="4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Deferred income taxes are provided for the temporary differences arising between the carrying amounts of assets and liabilities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reporting purposes and the amounts used for income tax purposes and for operating loss carryforwards and credits. Deferred tax assets and liabilities are recorded using tax rates expected to be in effect in the year in which the differences are expected to reverse. A valuation allowance is provided for any net deferred tax assets for which management believes it is more likely than not that the net deferred tax assets will not be realized.</w:t>
      </w:r>
    </w:p>
    <w:p>
      <w:pPr>
        <w:spacing w:after="0" w:line="18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 provides reserves for potential payment of tax to various tax authorities related to uncertain tax positions. The tax benefits recorded are based on a determination of whether and how much of a tax benefit taken by the Company in its filings or positions is “more likely than not” to be realized following resolution of any uncertainty related to the tax benefit, assuming the matter in question will be raised by the tax authorities. Potential interest and penalties associated with such uncertain tax positions are recorded as a component of income tax expense. At December 31, 2015 and 2014, the Company has not identified any significant uncertain tax positions.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95" w:name="page96"/>
    <w:bookmarkEnd w:id="95"/>
    <w:p>
      <w:pPr>
        <w:ind w:right="28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Guarantees and Indemnification </w:t>
      </w:r>
      <w:r>
        <w:rPr>
          <w:rFonts w:ascii="Times New Roman" w:cs="Times New Roman" w:eastAsia="Times New Roman" w:hAnsi="Times New Roman"/>
          <w:sz w:val="18"/>
          <w:szCs w:val="18"/>
          <w:color w:val="auto"/>
        </w:rPr>
        <w:t>— As permitted under Delaware law, the Company indemnifies its officers and directors employees for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events or occurrences while the officer or director is, or was serving at the Company’s request in such a capacity. The term of the indemnification is for the officer’s or director’s lifetime.</w:t>
      </w:r>
    </w:p>
    <w:p>
      <w:pPr>
        <w:spacing w:after="0" w:line="63" w:lineRule="exact"/>
        <w:rPr>
          <w:sz w:val="20"/>
          <w:szCs w:val="20"/>
          <w:color w:val="auto"/>
        </w:rPr>
      </w:pPr>
    </w:p>
    <w:p>
      <w:pPr>
        <w:jc w:val="both"/>
        <w:ind w:right="20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On February 25, 2016, the Financial Accounting Standards Board (“FASB”) issued Accounting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Update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(“ASU 2016-02”), which provides new accounting guidance on leases. ASU 2016-02 is effective for fiscal years beginning after December 15, 2018. The Company has not yet evaluated the impact of adoption of this new guidance.</w:t>
      </w:r>
    </w:p>
    <w:p>
      <w:pPr>
        <w:spacing w:after="0" w:line="65"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In November 2015, the FASB issued Accounting Standards Update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(“ASU 2015-17”). To simplify the presentation of deferred taxes assets and liabilities, the new guidance requires that all deferred tax assets and liabilities, along with any related valuation allowance, be classified as noncurrent on the balance sheet. ASU 2015-17 is effective for public business entities in fiscal years beginning after December 15, 2016 and is not expected to have a material impact on the Company’s consolidated financial statements.</w:t>
      </w:r>
    </w:p>
    <w:p>
      <w:pPr>
        <w:spacing w:after="0" w:line="180" w:lineRule="exact"/>
        <w:rPr>
          <w:sz w:val="20"/>
          <w:szCs w:val="20"/>
          <w:color w:val="auto"/>
        </w:rPr>
      </w:pPr>
    </w:p>
    <w:p>
      <w:pPr>
        <w:ind w:right="160" w:firstLine="518"/>
        <w:spacing w:after="0" w:line="257" w:lineRule="auto"/>
        <w:rPr>
          <w:sz w:val="20"/>
          <w:szCs w:val="20"/>
          <w:color w:val="auto"/>
        </w:rPr>
      </w:pPr>
      <w:r>
        <w:rPr>
          <w:rFonts w:ascii="Times New Roman" w:cs="Times New Roman" w:eastAsia="Times New Roman" w:hAnsi="Times New Roman"/>
          <w:sz w:val="18"/>
          <w:szCs w:val="18"/>
          <w:color w:val="auto"/>
        </w:rPr>
        <w:t>In April 2015, the FASB issued Accounting Standards Update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(“ASU 2015-03”). To simplify presentation of debt issuance costs, ASU 2015-03 requires that debt issuance costs related to a recognized debt liability be presented in the balance sheet as a direct deduction from the carrying amount of that debt liability, consistent with debt discounts. ASU 2015-03 is effective for annual and interim reporting periods beginning January 1, 2016, and early adoption is permitted. The Company retrospectively adopted the guidance for its year ended December 31, 2015 and as a result, reclassified approximately $0.2 million in deferred financing costs that would have appeared as “Other assets” to “Long-term loan payable” in its accompanying consolidated balance sheet. The impact to prior years was not material.</w:t>
      </w:r>
    </w:p>
    <w:p>
      <w:pPr>
        <w:spacing w:after="0" w:line="262"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229"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data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basic and diluted</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common shares — basic and diluted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25,431,332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14,548,516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684,330</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(25.05)</w:t>
            </w: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reported a net loss for all periods presented, therefore diluted net loss per common share is the same as basic net loss per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07"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 of diluted weighted-average shares outstanding, because such securities had an antidilutive impact due to the losses reported (in common stock equivalent shares):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500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3,454,926</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2,126,176</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1,062,694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redeemable convertible preferred stock</w:t>
            </w:r>
          </w:p>
        </w:tc>
        <w:tc>
          <w:tcPr>
            <w:tcW w:w="178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300,564</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78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6,826,004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7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754,785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75"/>
        </w:trPr>
        <w:tc>
          <w:tcPr>
            <w:tcW w:w="5000" w:type="dxa"/>
            <w:vAlign w:val="bottom"/>
          </w:tcPr>
          <w:p>
            <w:pPr>
              <w:spacing w:after="0"/>
              <w:rPr>
                <w:sz w:val="24"/>
                <w:szCs w:val="24"/>
                <w:color w:val="auto"/>
              </w:rPr>
            </w:pPr>
          </w:p>
        </w:tc>
        <w:tc>
          <w:tcPr>
            <w:tcW w:w="17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94</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96" w:name="page97"/>
    <w:bookmarkEnd w:id="96"/>
    <w:p>
      <w:pPr>
        <w:ind w:left="520" w:hanging="512"/>
        <w:spacing w:after="0"/>
        <w:tabs>
          <w:tab w:leader="none" w:pos="5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(1,490)</w:t>
            </w: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for the years ended December 31, 2015, 2014, and 2013 was $192,000, $126,000, and $197,000, respectively.</w:t>
      </w:r>
    </w:p>
    <w:p>
      <w:pPr>
        <w:spacing w:after="0" w:line="248"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2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manufacturing expenses</w:t>
            </w:r>
          </w:p>
        </w:tc>
        <w:tc>
          <w:tcPr>
            <w:tcW w:w="2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4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42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 PAYABLE TO SHAREHOLDERS</w:t>
      </w:r>
    </w:p>
    <w:p>
      <w:pPr>
        <w:spacing w:after="0" w:line="22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May 2010 and September 2010, the Company issued one-year convertible notes payable in the amounts of $5,000,000 and $1,500,000, respectively, to existing investors, with a stated interest rate of 7%. In November 2010, the principal and accrued interest of $176,000 were converted into 9,021,175 shares of Series C Preferred Stock at $0.74 per share. The Company also provided for the issuance of seven-year warrants to purchase Series C Preferred Stock with the notes. The issuance of the warrants was contingent upon the conversion of the notes to Series C Preferred Stock. The number of shares included in the warrants was determined by dividing 10% of the note principal converted to Series C Preferred Stock by the Series C Preferred Stock per share issue price. Concurrent with the conversion of the notes, warrants to purchase 878,370 shares of Series C Preferred Stock at $0.74 per share became exercisable. The Company estimated the fair value of the warrants on the issue date to be $474,000 using the Black-Scholes option-pricing model with the following assumptions: volatility of 80%, contractual term of seven years, risk-free interest rate of 1.85%, and no dividend yield. The Company determined the fair value of the warrants at the end of each subsequent reporting period using the Black-Scholes option-pricing model (see Note 10) until their conversion to warrants to purchase 60,532 shares of common stock upon the IPO in April 2014.</w:t>
      </w:r>
    </w:p>
    <w:p>
      <w:pPr>
        <w:spacing w:after="0" w:line="186"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August 2013, the Company issued convertible promissory notes in the amount of $8,824,000 to existing investors, with a stated interest rate of 7%. Outstanding principal and unpaid accrued interest due under the notes were automatically converted into shares of the Company’s common stock upon the closing of the Company’s IPO in April 2014.</w:t>
      </w:r>
    </w:p>
    <w:p>
      <w:pPr>
        <w:spacing w:after="0" w:line="176"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In February and March 2014, the Company issued convertible promissory notes in the aggregate amount of $6,000,000 to existing investors and a convertible promissory note in the amount of $2,500,000 to a new investor. All the notes had a stated interest rate of 7%. Outstanding principal and unpaid accrued interest due under the notes were automatically converted into shares of the Company’s common stock upon the closing of the Company’s IPO in April 2014, at a conversion price equal to 77.5% of the IPO price. The Company recorded a loss on the extinguishment of the notes of $2,493,000 in April 2014, equal to the difference between the fair value of the shares into which the notes converted and the carrying amount of the notes upon the closing of the Company’s IPO.</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7" w:name="page98"/>
    <w:bookmarkEnd w:id="97"/>
    <w:p>
      <w:pPr>
        <w:ind w:left="520" w:hanging="512"/>
        <w:spacing w:after="0"/>
        <w:tabs>
          <w:tab w:leader="none" w:pos="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AGREEMENTS</w:t>
      </w:r>
    </w:p>
    <w:p>
      <w:pPr>
        <w:spacing w:after="0" w:line="229"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On January 8, 2015 (the “Closing Date”), the Company entered into a term loan facility of up to $26.0 million (the “Term Loan”) with Hercules Technology Growth Capital, Inc. (“Hercules”). The proceeds were used to repay the Company’s existing term loan facility with Lighthouse Capital Partners VI, L.P. (“Lighthouse Capital”) and for general corporate and working capital purposes. At December 31, 2015, the Company had $21.0 million in principal outstanding under the Term Loan.</w:t>
      </w:r>
    </w:p>
    <w:p>
      <w:pPr>
        <w:spacing w:after="0" w:line="180"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January 8, 2015, between the Company and Hercules (the “Hercules Loan Agreement”). The Hercules Loan Agreement provided for up to three separate borrowings, the first of which was funded in the amount of $15.0 million on the Closing Date. On November 24, 2015, the Company drew a second tranche in the amount of $6.0 million. The Company elected not to commence a randomized Phase 2 clinical study of CRLX101 in combination with chemoradiotherapy on or prior to December 15, 2015, which was a condition of obtaining an additional tranche in an amount of up to $5.0 million. As a result, the Company is no longer eligible to borrow this amount under the Term Loan.</w:t>
      </w:r>
    </w:p>
    <w:p>
      <w:pPr>
        <w:spacing w:after="0" w:line="188"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Term Loan will mature on July 1, 2018. Each advance under the Term Loan accrues interest at a floating per annum rate equal to the greater of (i) 7.30% or (ii) the sum of 7.30% plus the prime rate minus 5.75%. The Term Loan provided for interest-only payments on a monthly basis until December 31, 2015. Thereafter, payments will be payable monthly in equal installments of principal and interest to fully amortize the outstanding principal over the remaining term of the loan, subject to recalculation upon a change in the prime rate. The Company may prepay the Term Loan in whole or in part upon seven business days’ prior written notice to Hercules. Any such prepayment of the Term Loan is subject to a prepayment charge of 2.0% if such prepayment occurs after twelve months following the Closing Date but on or prior to twenty-four months following the Closing Date and 1.0% thereafter. Amounts outstanding during an event of default are payable upon Hercules’ demand and shall accrue interest at an additional rate of 5.0% per annum of the past due amount outstanding. The minimum future principal payments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r>
      <w:tr>
        <w:trPr>
          <w:trHeight w:val="223"/>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relating to warrants and deferred financing costs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w:t>
            </w:r>
          </w:p>
        </w:tc>
      </w:tr>
      <w:tr>
        <w:trPr>
          <w:trHeight w:val="223"/>
        </w:trPr>
        <w:tc>
          <w:tcPr>
            <w:tcW w:w="92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(7,652)</w:t>
            </w:r>
          </w:p>
        </w:tc>
      </w:tr>
      <w:tr>
        <w:trPr>
          <w:trHeight w:val="223"/>
        </w:trPr>
        <w:tc>
          <w:tcPr>
            <w:tcW w:w="9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At the end of the loan term (whether at maturity, by prepayment in full or otherwise), the Company shall pay a final end of term charge to Hercules in the amount of 6.7% of the aggregate original principal amount advanced by Hercules. The amount of the end of term charge is being accrued over the loan term as interest expense.</w:t>
      </w:r>
    </w:p>
    <w:p>
      <w:pPr>
        <w:spacing w:after="0" w:line="176"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In connection with the Hercules Loan Agreement, the Company issued to Hercules a warrant to purchase shares of the common stock of the Company at an exercise price of $6.05 per share. The warrant is exercisable for 171,901 shares of common stock. The warrant is exercisable until January 8, 2020. The Company estimated the fair value of the warrant for shares exercisable on the issue date in January 2015 to be $824,000. The value of the warrant was recorded as a discount to the loan. The fair value of the warrant was estimated on the date of issue for the exercisable shares at that date using the Black-Scholes option-pricing model. The following table shows the Black-Scholes assumptions used to value the warrant: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40" w:type="dxa"/>
            <w:vAlign w:val="bottom"/>
          </w:tcPr>
          <w:p>
            <w:pPr>
              <w:spacing w:after="0"/>
              <w:rPr>
                <w:sz w:val="15"/>
                <w:szCs w:val="15"/>
                <w:color w:val="auto"/>
              </w:rPr>
            </w:pPr>
          </w:p>
        </w:tc>
        <w:tc>
          <w:tcPr>
            <w:tcW w:w="20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January 8, 2015</w:t>
            </w:r>
          </w:p>
        </w:tc>
      </w:tr>
      <w:tr>
        <w:trPr>
          <w:trHeight w:val="223"/>
        </w:trPr>
        <w:tc>
          <w:tcPr>
            <w:tcW w:w="9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life</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Volatility rate</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220"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At December 31, 2015, the Company’s balance of unamortized deferred financing costs and unamortized debt discount were $0.2 million and $0.5 million, respectively. These costs are being amortized to interest expense using the effective interest method over the term of the loan.</w:t>
      </w:r>
    </w:p>
    <w:p>
      <w:pPr>
        <w:spacing w:after="0" w:line="162"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Hercules Loan Agreement, the Company entered into a stock purchase agreement with Hercules, whereby Hercules purchased 135,501 shares of common stock from the Company at a price per share of $7.38, which was equal to the closing price of the common stock on the NASDAQ Global Market on January 7, 2015, for an aggregate purchase price of approximately $1.0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8" w:name="page99"/>
    <w:bookmarkEnd w:id="98"/>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December 2011, the Company entered into a loan and security agreement with Lighthouse Capital to borrow up to $10.0 million in one or more advances by December 31, 2012. In both March 2012 and August 2012, the Company borrowed $5.0 million under the loan and security agreement, for a total of $10.0 million. This amount was being repaid over 36 months beginning on December 1, 2012, at an interest rate of 8.25%. In addition, the Company was required to make an additional payment in the amount of $600,000 at the end of the loan term. The amount was accrued over the loan term as interest expense. The amount accrued as of December 31, 2014 was $574,000, and it was included in accrued expense in the Company’s consolidated balance sheet. In January 2015, the Company repaid in full the amount outstanding under the Lighthouse Capital agreement, or $3.6 million, with the proceeds from the Hercules Loan Agreement.</w:t>
      </w:r>
    </w:p>
    <w:p>
      <w:pPr>
        <w:spacing w:after="0" w:line="18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connection with the loan and security agreement with Lighthouse Capital, the Company issued Lighthouse Capital a warrant to purchase a maximum of 66,436 shares of the Company’s Series D Preferred Stock, at an exercise price of $12.04 per share and with an expiration date 10 years from the date of issue (December 2021). The Company determined the fair value of the warrant at the end of each reporting period using the Black-Scholes option pricing model until the warrant converted to a warrant to purchase 66,436 shares of common stock upon the completion of the IPO. The value of the warrant was recorded as a discount to the loan and was being amortized as interest expense using the effective interest method over the 36-month repayment term. The unamortized discount relating to the warrants, or $0.2 million, was expensed as interest expense upon repayment of the loan in January 2015.</w:t>
      </w:r>
    </w:p>
    <w:p>
      <w:pPr>
        <w:spacing w:after="0" w:line="211"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ind w:right="6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 As discussed in Note 1, in April 2015, the Company issued 6,716,000 shares of common stock in connection with an underwritten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offering and during 2014 the Company issued 19,297,952 shares of common stock in connection with its IPO, the conversion of preferred stock and convertible notes into common stock, and the partial exercise of the underwriters’ overallotment option in the IPO.</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Reserved Shares of Common Stock </w:t>
      </w:r>
      <w:r>
        <w:rPr>
          <w:rFonts w:ascii="Times New Roman" w:cs="Times New Roman" w:eastAsia="Times New Roman" w:hAnsi="Times New Roman"/>
          <w:sz w:val="18"/>
          <w:szCs w:val="18"/>
          <w:color w:val="auto"/>
        </w:rPr>
        <w:t>— The Company has reserved the following number of shares of common stock at December 31, 2015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Pr>
          <w:p>
            <w:pPr>
              <w:spacing w:after="0"/>
              <w:rPr>
                <w:sz w:val="15"/>
                <w:szCs w:val="15"/>
                <w:color w:val="auto"/>
              </w:rPr>
            </w:pPr>
          </w:p>
        </w:tc>
        <w:tc>
          <w:tcPr>
            <w:tcW w:w="240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55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300,564</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3,995,876</w:t>
            </w:r>
          </w:p>
        </w:tc>
        <w:tc>
          <w:tcPr>
            <w:tcW w:w="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3,561,104</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4,296,440</w:t>
            </w:r>
          </w:p>
        </w:tc>
        <w:tc>
          <w:tcPr>
            <w:tcW w:w="3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3,689,767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PLANS</w:t>
      </w:r>
    </w:p>
    <w:p>
      <w:pPr>
        <w:spacing w:after="0" w:line="225" w:lineRule="exact"/>
        <w:rPr>
          <w:sz w:val="20"/>
          <w:szCs w:val="20"/>
          <w:color w:val="auto"/>
        </w:rPr>
      </w:pPr>
    </w:p>
    <w:p>
      <w:pPr>
        <w:ind w:right="140" w:firstLine="51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2007 Stock Incentive Plan </w:t>
      </w:r>
      <w:r>
        <w:rPr>
          <w:rFonts w:ascii="Times New Roman" w:cs="Times New Roman" w:eastAsia="Times New Roman" w:hAnsi="Times New Roman"/>
          <w:sz w:val="18"/>
          <w:szCs w:val="18"/>
          <w:color w:val="auto"/>
        </w:rPr>
        <w:t>– The Company’s 2007 Incentive Stock Plan, or the 2007 Plan, provides for the grant of qualified incentive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nonqualified stock options or other awards to the Company’s employees, officers, directors, advisors, and outside consultants to purchase up to an aggregate of 1,275,211 shares of the Company’s common stock, as amended in January 2014. The stock options generally vest over a four-year period and expire 10 years from the date of grant. Certain options provide for accelerated vesting if there is a change in control, as defined in the 2007 Plan. Effective with the IPO, no additional grants will be issued from the 2007 Plan and all shares available for grant under the 2007 Plan were transferred to the 2014 Plan. Accordingly, at December 31, 2015 and 2014, there were no shares available for future grant under the 2007 Plan.</w:t>
      </w:r>
    </w:p>
    <w:p>
      <w:pPr>
        <w:spacing w:after="0" w:line="187"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Prior to the IPO, in determining the exercise prices for options granted, the Company’s board of directors considered the fair value of the common stock as of the measurement date. The fair value of the common stock was determined by the board of directors at each award grant date based upon a variety of factors, including the results obtained from a common stock valuation, the Company’s financial position and historical financial performance, the status of technological developments within the Company’s products, the composition and ability of the current research and management team, an evaluation or benchmark of the Company’s competition, the current business climate in the marketplace, the illiquid nature of the common stock, arm’s-length sales of the Company’s capital stock (including redeemable convertible preferred stock), the effect of the rights and preferences of the preferred shareholders, and the prospects of a liquidity event, among others.</w:t>
      </w:r>
    </w:p>
    <w:p>
      <w:pPr>
        <w:spacing w:after="0" w:line="185"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2014 Stock Incentive Plan </w:t>
      </w:r>
      <w:r>
        <w:rPr>
          <w:rFonts w:ascii="Times New Roman" w:cs="Times New Roman" w:eastAsia="Times New Roman" w:hAnsi="Times New Roman"/>
          <w:sz w:val="18"/>
          <w:szCs w:val="18"/>
          <w:color w:val="auto"/>
        </w:rPr>
        <w:t>– In March 2014, the Company’s board of directors adopted and its stockholders approved the 2014 Stock Incentive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2014 Plan, which became effective upon the closing of the IPO. The 2014 Plan provides for the grant of incentive stock options, nonstatutory stock options, stock appreciation rights, restricted stock, restricted stock units and other stock-based awards. The 2014 Plan provides an annual increase in the number of shares available for grant on the first day of each calendar year beginning with the fiscal year ended December 31, 2015 and continuing for each fiscal year until, and including, the fiscal year ending December 31, 2024, equal to the lesser of (i) 1,000,000 shares of common stock, (ii) 4% of the number of outstanding shares of common stock on such date and (iii) an amount determined by the Company’s board of directors. As of December 31, 2015, there were 540,950 shares available for future grant under the 2014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employee and nonemployee awards under the 2007 Plan and the 2014 Plan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is presented below (Aggregate Intrinsic Value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jc w:val="center"/>
              <w:ind w:left="2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40" w:type="dxa"/>
            <w:vAlign w:val="bottom"/>
          </w:tcPr>
          <w:p>
            <w:pPr>
              <w:jc w:val="center"/>
              <w:ind w:left="23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January 1, 2015</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2,126,176</w:t>
            </w: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4.97</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2,360,682</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5.66</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(370,230)</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4.40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(661,702)</w:t>
            </w: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5.86</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December 31, 2015</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3,454,926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5.39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expected to vest — December 31, 2015</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5.32</w:t>
            </w:r>
          </w:p>
        </w:tc>
        <w:tc>
          <w:tcPr>
            <w:tcW w:w="24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2,336,878</w:t>
            </w:r>
          </w:p>
        </w:tc>
        <w:tc>
          <w:tcPr>
            <w:tcW w:w="240" w:type="dxa"/>
            <w:vAlign w:val="bottom"/>
            <w:tcBorders>
              <w:bottom w:val="single" w:sz="8" w:color="CFF0FC"/>
            </w:tcBorders>
          </w:tcPr>
          <w:p>
            <w:pPr>
              <w:spacing w:after="0"/>
              <w:rPr>
                <w:sz w:val="21"/>
                <w:szCs w:val="21"/>
                <w:color w:val="auto"/>
              </w:rPr>
            </w:pPr>
          </w:p>
        </w:tc>
        <w:tc>
          <w:tcPr>
            <w:tcW w:w="84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6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gridSpan w:val="2"/>
            <w:vMerge w:val="continue"/>
          </w:tcPr>
          <w:p>
            <w:pPr>
              <w:spacing w:after="0"/>
              <w:rPr>
                <w:sz w:val="21"/>
                <w:szCs w:val="21"/>
                <w:color w:val="auto"/>
              </w:rPr>
            </w:pPr>
          </w:p>
        </w:tc>
        <w:tc>
          <w:tcPr>
            <w:tcW w:w="1100" w:type="dxa"/>
            <w:vAlign w:val="bottom"/>
            <w:tcBorders>
              <w:bottom w:val="single" w:sz="8" w:color="CFF0FC"/>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 December 31, 2015</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1,001,415</w:t>
            </w:r>
          </w:p>
        </w:tc>
        <w:tc>
          <w:tcPr>
            <w:tcW w:w="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5.56</w:t>
            </w: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920" w:firstLine="518"/>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in the years ended December 31, 2015, 2014, and 2013 was $0, $161,000, and $15,000,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per share grant date fair value of options granted during 2015, 2014, and 2013 was $3.22, $3.33, and $2.90, respectively.</w:t>
      </w:r>
    </w:p>
    <w:p>
      <w:pPr>
        <w:spacing w:after="0" w:line="225"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The Company has recorded stock-based compensation expense of $2.4 million, $885,000, and $622,000 during the years ended December 31, 2015, 2014, and 2013, respectively, which is based on the number of awards ultimately expected to vest. As of December 31, 2015, there was $6.1 million of unrecognized compensation cost related to unvested stock-based compensation arrangements granted under the 2007 Plan and the 2014 Plan. The compensation is expected to be recognized over a weighted-average period of 2.88 years at December 31, 2015.</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Stock-based compensation expense recorded as research and development and general and administrative expenses is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based on the assumptions noted in the table below. Expected volatility for the Company’s common stock was determined based on an average of the historical volatility of a peer-group of similar public companies. The Company has limited option exercise information, as such, the expected term of the options granted was calculated using the simplified method that represents the average of the contractual term of the option and the weighted-average vesting period of the option. The assumed dividend yield is based upon the Company’s expectation of not paying dividends in the foreseeable future. The risk-free rate for periods within the contractual life of the option is based upon the U.S. Treasury yield curve in effect at the time of grant.</w:t>
      </w:r>
    </w:p>
    <w:p>
      <w:pPr>
        <w:spacing w:after="0" w:line="188"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assumptions used in the Black-Scholes option-pricing model for stock options granted to employees during the years ended December 31, 2015, 2014, and 2013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3640" w:type="dxa"/>
            <w:vAlign w:val="bottom"/>
            <w:tcBorders>
              <w:bottom w:val="single" w:sz="8" w:color="CFF0FC"/>
            </w:tcBorders>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3"/>
                <w:szCs w:val="13"/>
                <w:color w:val="auto"/>
              </w:rPr>
            </w:pPr>
          </w:p>
        </w:tc>
      </w:tr>
      <w:tr>
        <w:trPr>
          <w:trHeight w:val="223"/>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3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20" w:type="dxa"/>
            <w:vAlign w:val="bottom"/>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1.45%-2.02%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1.71%-2.00%</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1.09%-1.92%</w:t>
            </w:r>
          </w:p>
        </w:tc>
        <w:tc>
          <w:tcPr>
            <w:tcW w:w="20" w:type="dxa"/>
            <w:vAlign w:val="bottom"/>
          </w:tcPr>
          <w:p>
            <w:pPr>
              <w:spacing w:after="0"/>
              <w:rPr>
                <w:sz w:val="19"/>
                <w:szCs w:val="19"/>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20" w:type="dxa"/>
            <w:vAlign w:val="bottom"/>
          </w:tcPr>
          <w:p>
            <w:pPr>
              <w:spacing w:after="0"/>
              <w:rPr>
                <w:sz w:val="19"/>
                <w:szCs w:val="19"/>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312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427"/>
        </w:trPr>
        <w:tc>
          <w:tcPr>
            <w:tcW w:w="3640" w:type="dxa"/>
            <w:vAlign w:val="bottom"/>
          </w:tcPr>
          <w:p>
            <w:pPr>
              <w:spacing w:after="0"/>
              <w:rPr>
                <w:sz w:val="24"/>
                <w:szCs w:val="24"/>
                <w:color w:val="auto"/>
              </w:rPr>
            </w:pPr>
          </w:p>
        </w:tc>
        <w:tc>
          <w:tcPr>
            <w:tcW w:w="31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98</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00" w:name="page101"/>
    <w:bookmarkEnd w:id="100"/>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nonemployee awards of $173,000, $56,000, and $85,000 for the years ended December 31, 2015, 2014, and 2013, respectively. The compensation expense related to the nonemployee awards is included in the total stock-based compensation each year and is subject to re-measurement until the options vest. The Black-Scholes assumptions used to estimate the fair value of these awards for the years ended December 31, 2015, 2014, and 2013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Borders>
              <w:bottom w:val="single" w:sz="8" w:color="auto"/>
            </w:tcBorders>
          </w:tcPr>
          <w:p>
            <w:pPr>
              <w:spacing w:after="0"/>
              <w:rPr>
                <w:sz w:val="15"/>
                <w:szCs w:val="15"/>
                <w:color w:val="auto"/>
              </w:rPr>
            </w:pPr>
          </w:p>
        </w:tc>
      </w:tr>
      <w:tr>
        <w:trPr>
          <w:trHeight w:val="156"/>
        </w:trPr>
        <w:tc>
          <w:tcPr>
            <w:tcW w:w="676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r>
      <w:tr>
        <w:trPr>
          <w:trHeight w:val="223"/>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2.10%-2.25%</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1.86%-2.53%</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1.11%-2.86%</w:t>
            </w:r>
          </w:p>
        </w:tc>
      </w:tr>
      <w:tr>
        <w:trPr>
          <w:trHeight w:val="23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56%-79%</w:t>
            </w: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2015, the Company granted nonemployee stock options to consultants for the purchase of 204,000 shares of the Company’s common stock. The weighted-average exercise price and the weighted-average fair value of nonemployee stock options granted for the year ended December 31, 2015, was $5.17 per share and $1.58 per share, respectively. The fair value of the grants is being expensed over the vesting period of the options on a straight-line basis as the services are being provided. On September 4, 2015, nonemployee stock options to purchase 90,000 shares of the Company’s common stock were converted to employee stock options upon the appointment of the Company’s Chief Medical Officer who had been serving as a consultant to the Company until his appointment. The exercise price and the fair value of these stock options is $4.71 per share and $2.71 per share, respectively. The Company did not grant any nonemployee stock option grants in 2014 or in 2013, except for a performance award grant in 2013 to the Company’s board chairman for non-board related services. During the year ended December 31, 2014, the board of directors changed the vesting conditions of this award from performance-based vesting to time-based vesting and reduced the total number of shares subject to the stock option. As a result, the 16,000 shares subject to this stock option now vest over three years, with the first third vesting on March 26, 2014. The change in vesting condition was accounted for as a modification of this stock option, which had an immaterial impact on the Company’s financial statements.</w:t>
      </w:r>
    </w:p>
    <w:p>
      <w:pPr>
        <w:spacing w:after="0" w:line="193"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2012, the Company granted options to purchase 60,934 common shares to an officer of the Company, now the Company’s Chief Executive Officer, that will vest upon the achievement of business milestones as defined within the stock option agreement. These awards have not vested as of December 31, 2015. Compensation expense for the awards will be recorded if and when the awards are determined to be probable.</w:t>
      </w:r>
    </w:p>
    <w:p>
      <w:pPr>
        <w:spacing w:after="0" w:line="172"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2014 Employee Stock Purchase Plan </w:t>
      </w:r>
      <w:r>
        <w:rPr>
          <w:rFonts w:ascii="Times New Roman" w:cs="Times New Roman" w:eastAsia="Times New Roman" w:hAnsi="Times New Roman"/>
          <w:sz w:val="18"/>
          <w:szCs w:val="18"/>
          <w:color w:val="auto"/>
        </w:rPr>
        <w:t>– In March 2014, the Company’s board of directors adopted and its stockholders approved the 2014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Purchase Plan (the “2014 ESPP”), which became effective upon the closing of the IPO. The 2014 ESPP will be administered by the Company’s board of directors or by a committee appointed by the Company’s board of directors. The 2014 ESPP initially provides participating employees with the opportunity to purchase up to an aggregate 500,000 of shares of the Company’s common stock. The number of shares of the Company’s common stock reserved for issuance under the 2014 ESPP will automatically increase on the first day of each fiscal year, commencing on January 1, 2015 and ending January 1, 2024, in an amount equal to the least of (i) 600,000 shares of the Company’s common stock, (ii) 1% of the total number of shares of the Company’s common stock outstanding on the first day of the applicable year, or (iii) an amount determined by the Company’s board of directors. There are two six-month offerings per year. The first offering period under the 2014 ESPP began on July 1, 2015. The compensation expense related to the 2014 ESPP is included in the total stock-based compensation. The stock-based compensation expense related to the ESPP for the year ended December 31, 2015, was $27,000. There was no stock-based compensation related to the 2014 ESPP recorded for the year ended December 31, 2014.</w:t>
      </w:r>
    </w:p>
    <w:p>
      <w:pPr>
        <w:spacing w:after="0" w:line="213"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of cash equivalents, accounts payable, accrued expenses, debt obligations, and preferred stock warrants. The carrying amount of accounts payable and accrued expenses are considered a reasonable estimate of their fair value, due to the short-term maturity of these instruments. The carrying amount of debt is also considered to be a reasonable estimate of the fair value based on the short-term nature of the debt and that the debt bears interest at the prevailing market rate for instruments with similar characteristics. If recorded at fair value, Level 2 measurements, as defined below, would have been used to estimate the fair value. Included in cash and cash equivalents as of December 31, 2015 and 2014, are money market fund investments of $75,325,000 and $50,541,000, respectively, which are reported at fair value.</w:t>
      </w:r>
    </w:p>
    <w:p>
      <w:pPr>
        <w:spacing w:after="0" w:line="188"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1" w:name="page102"/>
    <w:bookmarkEnd w:id="101"/>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that are accessible at the market date for identical unrestricted assets or liabilities.</w:t>
      </w:r>
    </w:p>
    <w:p>
      <w:pPr>
        <w:spacing w:after="0" w:line="117" w:lineRule="exact"/>
        <w:rPr>
          <w:sz w:val="20"/>
          <w:szCs w:val="20"/>
          <w:color w:val="auto"/>
        </w:rPr>
      </w:pPr>
    </w:p>
    <w:p>
      <w:pPr>
        <w:jc w:val="both"/>
        <w:ind w:right="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or other inputs for which all significant inputs are observable or can be corroborated by observable market data for substantially the full term of the assets or liabilities.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7"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A summary of the financial assets and liabilities that are measured on a recurring basis at fair value as of December 31, 2015 and 2014, is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7"/>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1"/>
                <w:szCs w:val="11"/>
                <w:color w:val="auto"/>
              </w:rPr>
            </w:pPr>
          </w:p>
        </w:tc>
        <w:tc>
          <w:tcPr>
            <w:tcW w:w="1000" w:type="dxa"/>
            <w:vAlign w:val="bottom"/>
          </w:tcPr>
          <w:p>
            <w:pPr>
              <w:jc w:val="center"/>
              <w:ind w:right="83"/>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0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2"/>
                <w:szCs w:val="12"/>
                <w:color w:val="auto"/>
              </w:rPr>
            </w:pPr>
          </w:p>
        </w:tc>
        <w:tc>
          <w:tcPr>
            <w:tcW w:w="10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4"/>
                <w:szCs w:val="14"/>
                <w:color w:val="auto"/>
              </w:rPr>
            </w:pPr>
          </w:p>
        </w:tc>
        <w:tc>
          <w:tcPr>
            <w:tcW w:w="100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00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50,541</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2015 and 2014, there have been no transfers between levels.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reconciliation of the Company’s liabilities measured at fair value on a recurring basis using unobservable inputs (Level 3)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Preferred Stock Warrant</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Pr>
          <w:p>
            <w:pPr>
              <w:spacing w:after="0"/>
              <w:rPr>
                <w:sz w:val="13"/>
                <w:szCs w:val="13"/>
                <w:color w:val="auto"/>
              </w:rPr>
            </w:pPr>
          </w:p>
        </w:tc>
        <w:tc>
          <w:tcPr>
            <w:tcW w:w="880" w:type="dxa"/>
            <w:vAlign w:val="bottom"/>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3"/>
          </w:tcPr>
          <w:p>
            <w:pPr>
              <w:jc w:val="right"/>
              <w:ind w:right="710"/>
              <w:spacing w:after="0" w:line="155"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440" w:type="dxa"/>
            <w:vAlign w:val="bottom"/>
            <w:gridSpan w:val="3"/>
          </w:tcPr>
          <w:p>
            <w:pPr>
              <w:jc w:val="right"/>
              <w:ind w:right="735"/>
              <w:spacing w:after="0" w:line="155" w:lineRule="exact"/>
              <w:rPr>
                <w:sz w:val="20"/>
                <w:szCs w:val="20"/>
                <w:color w:val="auto"/>
              </w:rPr>
            </w:pPr>
            <w:r>
              <w:rPr>
                <w:rFonts w:ascii="Times New Roman" w:cs="Times New Roman" w:eastAsia="Times New Roman" w:hAnsi="Times New Roman"/>
                <w:sz w:val="14"/>
                <w:szCs w:val="14"/>
                <w:b w:val="1"/>
                <w:bCs w:val="1"/>
                <w:color w:val="auto"/>
              </w:rPr>
              <w:t>Series D</w:t>
            </w:r>
          </w:p>
        </w:tc>
        <w:tc>
          <w:tcPr>
            <w:tcW w:w="920" w:type="dxa"/>
            <w:vAlign w:val="bottom"/>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2013</w:t>
            </w: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1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Fair value reclassified to additional paid-in capital in connection</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the completion of the IPO on April 15, 2014</w:t>
            </w:r>
          </w:p>
        </w:tc>
        <w:tc>
          <w:tcPr>
            <w:tcW w:w="88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2014</w:t>
            </w:r>
          </w:p>
        </w:tc>
        <w:tc>
          <w:tcPr>
            <w:tcW w:w="880" w:type="dxa"/>
            <w:vAlign w:val="bottom"/>
            <w:tcBorders>
              <w:top w:val="single" w:sz="8" w:color="auto"/>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The Company’s warrants were valued using the Black-Scholes option-pricing model. The fair values were derived by applying the following assumptions: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0" w:type="dxa"/>
            <w:vAlign w:val="bottom"/>
            <w:tcBorders>
              <w:bottom w:val="single" w:sz="8" w:color="CFF0FC"/>
            </w:tcBorders>
          </w:tcPr>
          <w:p>
            <w:pPr>
              <w:spacing w:after="0"/>
              <w:rPr>
                <w:sz w:val="15"/>
                <w:szCs w:val="15"/>
                <w:color w:val="auto"/>
              </w:rPr>
            </w:pPr>
          </w:p>
        </w:tc>
        <w:tc>
          <w:tcPr>
            <w:tcW w:w="2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23"/>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 years</w:t>
            </w: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64%-84%</w:t>
            </w:r>
          </w:p>
        </w:tc>
      </w:tr>
      <w:tr>
        <w:trPr>
          <w:trHeight w:val="234"/>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preferred stock warrants were automatically adjusted on the date of the closing of the IPO to provide for the issuance of shares of common stock upon their exercise, and is no longer measured at fair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2" w:name="page103"/>
    <w:bookmarkEnd w:id="102"/>
    <w:p>
      <w:pPr>
        <w:ind w:left="520" w:hanging="512"/>
        <w:spacing w:after="0"/>
        <w:tabs>
          <w:tab w:leader="none" w:pos="5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components of the Company’s deferred taxes at December 31, 2014, and 2013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2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costs</w:t>
            </w:r>
          </w:p>
        </w:tc>
        <w:tc>
          <w:tcPr>
            <w:tcW w:w="2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FF0FC"/>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45,020</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(60,458)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(45,020)</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The Company has provided a valuation allowance for the full amount of deferred tax assets as the realization of the deferred tax assets is not determined to be more-likely-than-not. The valuation allowance increased in 2015 and 2014 by approximately $15.6 million and $7.6 million, respectively, due to the increase in the deferred tax assets by the same amount. The increases are mainly attributable to operating losses generated in the period.</w:t>
      </w:r>
    </w:p>
    <w:p>
      <w:pPr>
        <w:spacing w:after="0" w:line="176"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A reconciliation of income tax expense computed at the statutory federal income tax rate to income taxes as reflected in the financial statements is as follows:</w:t>
      </w:r>
    </w:p>
    <w:p>
      <w:pPr>
        <w:spacing w:after="0" w:line="236"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68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income tax expense at statutory rate</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9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9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9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9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(0.7%)</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 of state net operating loss</w:t>
            </w:r>
          </w:p>
        </w:tc>
        <w:tc>
          <w:tcPr>
            <w:tcW w:w="9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0.4%</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40" w:type="dxa"/>
            <w:vAlign w:val="bottom"/>
          </w:tcPr>
          <w:p>
            <w:pPr>
              <w:spacing w:after="0"/>
              <w:rPr>
                <w:sz w:val="19"/>
                <w:szCs w:val="19"/>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(39.1%)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
        </w:trPr>
        <w:tc>
          <w:tcPr>
            <w:tcW w:w="7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At December 31, 2015, the Company has approximately $93.7 million of federal and $74.1 million of state net operating loss carryforwards that expire at various dates through 2035. At December 31, 2015, the Company has approximately $1.4 million of federal and $0.9 million of state research and development credit carryforwards that expire at various dates through 2035 for federal credits and 2030 for state credits.</w:t>
      </w:r>
    </w:p>
    <w:p>
      <w:pPr>
        <w:spacing w:after="0" w:line="17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At December 31, 2014, the Company has approximately $77.3 million of federal and $58.1 million of state net operating loss carryforwards that expire at various dates through 2034. At December 31, 2014, the Company has approximately $1.2 million of federal and $0.8 million of state research and development credit carryforwards that expire at various dates through 2034 for federal credits and 2029 for state credits.</w:t>
      </w:r>
    </w:p>
    <w:p>
      <w:pPr>
        <w:spacing w:after="0" w:line="17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Realization of the future tax benefits is dependent on many factors, including the Company’s ability to generate taxable income within the net operating loss carryforward period. The future realization of the net operating loss carryforwards may also be limited by the change of ownership rules of the Internal Revenue Service under Section 382 of the Internal Revenue Code. If substantial changes in ownership should occur, there could be annual limitations on the amount of carryforwards that can be realized in future periods.</w:t>
      </w:r>
    </w:p>
    <w:p>
      <w:pPr>
        <w:spacing w:after="0" w:line="180"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the Commonwealth of Massachusetts, and Australia. The tax years 2006 through 2014 remain open to examination by these taxing jurisdictions, as carryforwards attributes generated in past years may be adjusted in a future period. The Company is currently not under examination by the Internal Revenue Service or any other jurisdictions for any tax years. At December 31, 2015 and 2014, the Company has not identified any significant uncertain tax positions.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03" w:name="page104"/>
    <w:bookmarkEnd w:id="103"/>
    <w:p>
      <w:pPr>
        <w:ind w:left="520" w:hanging="512"/>
        <w:spacing w:after="0"/>
        <w:tabs>
          <w:tab w:leader="none" w:pos="5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Facility Lease </w:t>
      </w:r>
      <w:r>
        <w:rPr>
          <w:rFonts w:ascii="Times New Roman" w:cs="Times New Roman" w:eastAsia="Times New Roman" w:hAnsi="Times New Roman"/>
          <w:sz w:val="18"/>
          <w:szCs w:val="18"/>
          <w:color w:val="auto"/>
        </w:rPr>
        <w:t>— On November 1, 2009, the Company entered into a noncancelable operating lease with a third party for office and laboratory 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was scheduled to expire in February 2013, subject to a three-year renewal option. In June 2012, the Company exercised its renewal option extending the lease through February 2016. On July 11, 2014, the Company signed a lease amendment for additional office space in the same building to expire concurrent with the lease agreement in February 2016. The Company terminated the lease agreement early in December 2015 without penalty. The lease agreement and amendment included base rent escalation over the lease term therefore, the Company amortized the cost of the lease on a straight-line basis over the lease term. The resulting deferred liability recorded in other current and long-term liabilities as of December 31, 2014 was $41,000. Rent expense under this lease was $920,000, $766,000, and $598,000 for the years ended December 31, 2015, 2014, and 2013, respectively.</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9, 2015, the Company entered into a noncancelable operating lease with a third party for office, laboratory and vivarium space that is scheduled to expire in February 2021, subject to a three-year renewal option. The lease agreement includes base rent escalation over the lease term which will be amortized on a straight-line basis over the lease term with the resulting deferred liability recorded in other current and long-term liabilities. The lease requires the Company to share in prorated expenses and property taxes based upon actual amounts incurred; those amounts are not fixed for future periods and, therefore, not included in the future minimum obligations listed below.</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operating lease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9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FF0FC"/>
            </w:tcBorders>
          </w:tcPr>
          <w:p>
            <w:pPr>
              <w:spacing w:after="0"/>
              <w:rPr>
                <w:sz w:val="19"/>
                <w:szCs w:val="19"/>
                <w:color w:val="auto"/>
              </w:rPr>
            </w:pPr>
          </w:p>
        </w:tc>
      </w:tr>
      <w:tr>
        <w:trPr>
          <w:trHeight w:val="223"/>
        </w:trPr>
        <w:tc>
          <w:tcPr>
            <w:tcW w:w="9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LICENSING AGREEMENTS</w:t>
      </w:r>
    </w:p>
    <w:p>
      <w:pPr>
        <w:spacing w:after="0" w:line="225" w:lineRule="exact"/>
        <w:rPr>
          <w:sz w:val="20"/>
          <w:szCs w:val="20"/>
          <w:color w:val="auto"/>
        </w:rPr>
      </w:pPr>
    </w:p>
    <w:p>
      <w:pPr>
        <w:ind w:right="46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Calando License </w:t>
      </w:r>
      <w:r>
        <w:rPr>
          <w:rFonts w:ascii="Times New Roman" w:cs="Times New Roman" w:eastAsia="Times New Roman" w:hAnsi="Times New Roman"/>
          <w:sz w:val="18"/>
          <w:szCs w:val="18"/>
          <w:color w:val="auto"/>
        </w:rPr>
        <w:t>— The Company has a product license agreement and a platform license agreement with Calando Pharmaceuticals,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(“Calando”). Under the product license agreement, the Company may be required to pay Calando up to $32.8 million upon the achievement of specified regulatory and commercial milestones and pay tiered royalty payment ranging from low-to mid-single digits on commercial sales.</w:t>
      </w:r>
    </w:p>
    <w:p>
      <w:pPr>
        <w:spacing w:after="0" w:line="175" w:lineRule="exact"/>
        <w:rPr>
          <w:sz w:val="20"/>
          <w:szCs w:val="20"/>
          <w:color w:val="auto"/>
        </w:rPr>
      </w:pPr>
    </w:p>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Under the platform license agreement, the Company paid Calando a $250,000 clinical development milestone which was recorded in December 2014 upon initiation of the Phase 1/2a clinical trial for CRLX301. The Company may be required to make additional milestone payments to Calando of up to $17.8 million, in the aggregate, upon the achievement of specified regulatory and commercial milestones and pay royalty payments ranging from low-to mid-single digits on commercial sales.</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March 2014, Calando entered Chapter 7 bankruptcy in the District of Delaware and, as a result, the intellectual property rights the Company has obtained from Calando are subject to potential risks that may arise in connection with bankruptcy. For instance, while the Company’s ability to develop and/or commercialize its current product candidates and its ability to utilize its platform are not dependent on the rights that it licenses from Calando, its license agreements with Calando could be rejected in connection with Calando’s bankruptcy, in which case, the Company could, subject to elections and other rights and defenses that may be available to it, lose certain rights granted to it under such licenses. On March 3, 2015, Calando’s bankruptcy trustee submitted an application with the bankruptcy court seeking authority to retain a broker to sell Calando’s rights in certain assets including its rights in the license agreements with the Company, the Company has reserved its rights with respect to any such sale.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4" w:name="page105"/>
    <w:bookmarkEnd w:id="104"/>
    <w:p>
      <w:pPr>
        <w:ind w:firstLine="51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SUNY License </w:t>
      </w:r>
      <w:r>
        <w:rPr>
          <w:rFonts w:ascii="Times New Roman" w:cs="Times New Roman" w:eastAsia="Times New Roman" w:hAnsi="Times New Roman"/>
          <w:sz w:val="18"/>
          <w:szCs w:val="18"/>
          <w:color w:val="auto"/>
        </w:rPr>
        <w:t>— The Company is party to a license agreement with The Research Foundation of State University of New York (“SUNY”) for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The agreement as amended requires the Company to pay nonrefundable annual license maintenance fees each year until the date of first commercial sale of a licensed product pursuant to the license agreement, as amended. The annual license fee is not material in any individual year. In the event of future partner collaborations or product sales incorporating technology covered by this license agreement, the Company may be required to pay milestone payments and/or product royalties. In connection with this agreement, the Company recorded research and development expense of $36,000, $30,000, and $25,000 for the years ended December 31, 2015, 2014, and 2013, respectively.</w:t>
      </w:r>
    </w:p>
    <w:p>
      <w:pPr>
        <w:spacing w:after="0" w:line="183"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Massachusetts Institute of Technology License </w:t>
      </w:r>
      <w:r>
        <w:rPr>
          <w:rFonts w:ascii="Times New Roman" w:cs="Times New Roman" w:eastAsia="Times New Roman" w:hAnsi="Times New Roman"/>
          <w:sz w:val="18"/>
          <w:szCs w:val="18"/>
          <w:color w:val="auto"/>
        </w:rPr>
        <w:t>— The Company delivered a notice of termination which became effective on November 1, 2015,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Company’s license agreement with the Massachusetts Institute of Technology (“MIT”). The agreement as amended required the Company to pay MIT nonrefundable annual license maintenance fees that increased each year beginning in 2015. In connection with this agreement, the Company recorded research and development expense for annual maintenance fees of $50,000 for the year ended December 31, 2015, and $10,000 each in the years ended December 31, 2014 and 2013.</w:t>
      </w:r>
    </w:p>
    <w:p>
      <w:pPr>
        <w:spacing w:after="0" w:line="180"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w:t>
      </w:r>
    </w:p>
    <w:p>
      <w:pPr>
        <w:spacing w:after="0" w:line="22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Company has a 401(k) retirement and profit-sharing plan (the “401(k) Plan”) covering all qualified employees. The 401(k) Plan allows each participant to contribute a portion of their base wages up to an amount not to exceed an annual statutory maximum. Effective January 1, 2010, the Company adopted a Safe Harbor Plan that provides a Company match up to 4% of salary. The Company contributed a match of $264,000, $163,000, and $145,000 to the 401(k) Plan for the years ended December 31, 2015, 2014, and 2013, respectively.</w:t>
      </w:r>
    </w:p>
    <w:p>
      <w:pPr>
        <w:spacing w:after="0" w:line="176"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In April 2013, the Company entered into a laboratory, equipment sharing, services and license agreement with an entity affiliated with one of the Company’s directors. Fees recorded offsetting research and development expenses under this agreement and paid in the year ended December 31, 2014 and 2013, were $39,000 and $84,000, respectively. On April 1, 2014, the Company sold used equipment to this entity and recorded proceeds from the sale of $30,000. The agreement was terminated on April 1, 2014.</w:t>
      </w:r>
    </w:p>
    <w:p>
      <w:pPr>
        <w:spacing w:after="0" w:line="180"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In August 2013 and February 2014, the Company issued convertible promissory notes to existing investors, as described in Note 6. In April 2014, these notes were converted into the Company’s common stock in connection with the IPO.</w:t>
      </w:r>
    </w:p>
    <w:p>
      <w:pPr>
        <w:spacing w:after="0" w:line="162"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In April 2014, the Company converted all outstanding shares of the Company’s preferred stock held by existing investors into 6,826,004 shares of the Company’s common stock in connection with the IPO.</w:t>
      </w:r>
    </w:p>
    <w:p>
      <w:pPr>
        <w:spacing w:after="0" w:line="158"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October 2013, the Company entered into a material transfer agreement with biopharmaceutical company to conduct feasibility studies using the Company’s proprietary technology. The Company recognized revenue of $61,000 and $6,000 for the years ended December 31, 2014 and 2013, respectively, in connection with this material transfer agreement. The Company had no revenue for the year ended December 31, 2015.</w:t>
      </w:r>
    </w:p>
    <w:p>
      <w:pPr>
        <w:spacing w:after="0" w:line="17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May 2013, the Company entered into a material transfer agreement with another biopharmaceutical company to conduct feasibility studies using the Company’s proprietary technology. The Company recognized revenue of $19,000 for the year ended December 31, 2014, in connection with this material transfer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05" w:name="page106"/>
    <w:bookmarkEnd w:id="105"/>
    <w:p>
      <w:pPr>
        <w:ind w:left="520" w:hanging="512"/>
        <w:spacing w:after="0"/>
        <w:tabs>
          <w:tab w:leader="none" w:pos="5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unaudited quarterly financial data for the last two fiscal years: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(in thousands, except share data and per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 2015</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First Quarter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Fourth Quarter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Pr>
          <w:p>
            <w:pPr>
              <w:spacing w:after="0"/>
              <w:rPr>
                <w:sz w:val="19"/>
                <w:szCs w:val="19"/>
                <w:color w:val="auto"/>
              </w:rPr>
            </w:pPr>
          </w:p>
        </w:tc>
      </w:tr>
      <w:tr>
        <w:trPr>
          <w:trHeight w:val="223"/>
        </w:trPr>
        <w:tc>
          <w:tcPr>
            <w:tcW w:w="51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(expense) — net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(0.39)</w:t>
            </w:r>
          </w:p>
        </w:tc>
        <w:tc>
          <w:tcPr>
            <w:tcW w:w="20" w:type="dxa"/>
            <w:vAlign w:val="bottom"/>
          </w:tcPr>
          <w:p>
            <w:pPr>
              <w:spacing w:after="0"/>
              <w:rPr>
                <w:sz w:val="23"/>
                <w:szCs w:val="23"/>
                <w:color w:val="auto"/>
              </w:rPr>
            </w:pPr>
          </w:p>
        </w:tc>
      </w:tr>
      <w:tr>
        <w:trPr>
          <w:trHeight w:val="210"/>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20,350,557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26,690,673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27,307,103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27,346,780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5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First Quarter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Fourth Quarter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Decrease in value of preferred stock warrant liability</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51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(expense) — net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tcPr>
          <w:p>
            <w:pPr>
              <w:spacing w:after="0"/>
              <w:rPr>
                <w:sz w:val="23"/>
                <w:szCs w:val="23"/>
                <w:color w:val="auto"/>
              </w:rPr>
            </w:pPr>
          </w:p>
        </w:tc>
      </w:tr>
      <w:tr>
        <w:trPr>
          <w:trHeight w:val="210"/>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16,883,716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20,124,574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20,125,009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5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106" w:name="page107"/>
    <w:bookmarkEnd w:id="106"/>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60" w:firstLine="518"/>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designed to ensure that information required to be disclosed in the reports that we file or submit under the Securities Exchange Act of 1934, as amended, or the Exchange Act, is recorded, processed, summarized and reported within the time periods specified in the Securities and Exchange Commission’s rules and forms and is accumulated and communicated to management, including the principal executive officer and principal financial officer, to allow timely decisions regarding required disclosure.</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December 31, 2015.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15d-15(e) under the Exchange Act.</w:t>
      </w:r>
    </w:p>
    <w:p>
      <w:pPr>
        <w:spacing w:after="0" w:line="162"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principal executive officer and principal financial officer, we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2015, our internal control over financial reporting was effective.</w:t>
      </w:r>
    </w:p>
    <w:p>
      <w:pPr>
        <w:spacing w:after="0" w:line="180"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on internal control over financial reporting due to an exemption established by the JOBS Act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quarter ended December 31, 2015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07" w:name="page108"/>
    <w:bookmarkEnd w:id="107"/>
    <w:p>
      <w:pPr>
        <w:ind w:left="53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22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Christopher D. T. Guiffre, </w:t>
      </w:r>
      <w:r>
        <w:rPr>
          <w:rFonts w:ascii="Times New Roman" w:cs="Times New Roman" w:eastAsia="Times New Roman" w:hAnsi="Times New Roman"/>
          <w:sz w:val="18"/>
          <w:szCs w:val="18"/>
          <w:color w:val="auto"/>
        </w:rPr>
        <w:t>age 47, has served as our President and Chief Executive Officer since March 2015. He previously served as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Officer and Senior Vice President and Chief Business Officer. Prior to that, Mr. Guiffre held a number of senior executive positions at various biopharmaceutical companies, including President and Chief Executive Officer of Alvos Therapeutics, Inc., Chief Business Officer at Hydra Biosciences, Inc. and a senior executive at Cubist Pharmaceuticals, Inc., most recently as Senior Vice President, General Counsel and Secretary. Mr. Guiffre has also held several positions at Renaissance Worldwide, Inc., including Vice President, General Counsel and Clerk. Prior to that, he was an Associate at Bingham, Dana</w:t>
      </w:r>
    </w:p>
    <w:p>
      <w:pPr>
        <w:spacing w:after="0" w:line="1" w:lineRule="exact"/>
        <w:rPr>
          <w:sz w:val="20"/>
          <w:szCs w:val="20"/>
          <w:color w:val="auto"/>
        </w:rPr>
      </w:pPr>
    </w:p>
    <w:p>
      <w:pPr>
        <w:ind w:right="220" w:firstLine="8"/>
        <w:spacing w:after="0" w:line="261" w:lineRule="auto"/>
        <w:tabs>
          <w:tab w:leader="none" w:pos="1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Gould LLP (now known as Morgan, Lewis &amp; Bockius LLP). Mr. Guiffre received a B.S. from Babson College, a J.D. from Boston College Law School, and an M.B.A. from Boston College Carroll School of Management.</w:t>
      </w:r>
    </w:p>
    <w:p>
      <w:pPr>
        <w:spacing w:after="0" w:line="178"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Gregg D. Beloff</w:t>
      </w:r>
      <w:r>
        <w:rPr>
          <w:rFonts w:ascii="Times New Roman" w:cs="Times New Roman" w:eastAsia="Times New Roman" w:hAnsi="Times New Roman"/>
          <w:sz w:val="18"/>
          <w:szCs w:val="18"/>
          <w:color w:val="auto"/>
        </w:rPr>
        <w:t>, age 47, has served as our Interim Chief Financial Officer since May 2015. Mr. Beloff has been a Managing Director of Danforth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Advisors, a consulting firm specializing in providing financial and strategic support to life sciences companies, since April 2011. In addition to consulting for clients, Mr. Beloff previously served as the chief financial officer of two public and three privately held companies. In these roles, he has managed finance, accounting, corporate communications, human resources, information technology, facilities, legal, intellectual property, business development, and manufacturing functions. Mr. Beloff holds a J.D. from the University of Pittsburgh School of Law, an M.B.A. from Carnegie Mellon University, and a B.A. in History from Middlebury College.</w:t>
      </w:r>
    </w:p>
    <w:p>
      <w:pPr>
        <w:spacing w:after="0" w:line="183"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Adrian M. Senderowicz, M.D.</w:t>
      </w:r>
      <w:r>
        <w:rPr>
          <w:rFonts w:ascii="Times New Roman" w:cs="Times New Roman" w:eastAsia="Times New Roman" w:hAnsi="Times New Roman"/>
          <w:sz w:val="18"/>
          <w:szCs w:val="18"/>
          <w:color w:val="auto"/>
        </w:rPr>
        <w:t>, age 52, has served as our Chief Medical Officer and Senior Vice President since September 2015.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Cerulean, Dr. Senderowicz worked at Ignyta, Inc., a public precision oncology biotechnology company, as Chief Medical Officer and Senior Vice President, Clinical Development and Regulatory Affairs from August 2014 to February 2015, and as Clinical and Regulatory Strategy Officer from February 2015 to April 2015. Previously, he was Vice President, Global Regulatory Oncology at Sanofi, a biopharmaceutical company, from September 2013 to August 2014, and Chief Medical Officer at Tokai Pharmaceuticals, Inc., a biopharmaceutical company focused on prostate cancer treatment, from August 2012 to March 2013. From August 2008 to March 2012, Dr. Senderowicz held positions of increasing responsibility at AstraZeneca, a global biopharmaceutical company, including most recently as Senior Medical Director, Oncology Clinical Development. Before his tenure at AstraZeneca, Dr. Senderowicz held a variety of leadership positions at the U.S. Food and Drug Administration Division of Oncology Drug Products in the Center for Drug Evaluation and Research and a variety of clinical and research positions with the National Cancer Institute/National Institutes of Health (NCI), including Investigator and Chief, Molecular Therapeutics Unit. He currently serves as a director of Puma Biotechnology, Inc., a publicly traded biopharmaceutical company. He completed his Internal Medicine residency training at the Icahn School of Medicine at Mount Sinai, and a Clinical Oncology Fellowship at the NCI. Dr. Senderowicz holds an M.D. from the School of Medicine at the Universidad de Buenos Aires in Argentina.</w:t>
      </w:r>
    </w:p>
    <w:p>
      <w:pPr>
        <w:spacing w:after="0" w:line="191" w:lineRule="exact"/>
        <w:rPr>
          <w:sz w:val="20"/>
          <w:szCs w:val="20"/>
          <w:color w:val="auto"/>
        </w:rPr>
      </w:pPr>
    </w:p>
    <w:p>
      <w:pPr>
        <w:ind w:right="1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Alejandra V. Carvajal, </w:t>
      </w:r>
      <w:r>
        <w:rPr>
          <w:rFonts w:ascii="Times New Roman" w:cs="Times New Roman" w:eastAsia="Times New Roman" w:hAnsi="Times New Roman"/>
          <w:sz w:val="18"/>
          <w:szCs w:val="18"/>
          <w:color w:val="auto"/>
        </w:rPr>
        <w:t>age 42, has served as our Vice President and General Counsel since September 2014. Prior to joining Cerulean, and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2004, Ms. Carvajal held a variety of positions at Millennium: The Takeda Oncology Company, or Millennium, including most recently as Associate General Counsel. Ms. Carvajal joined Millennium as a senior attorney and enjoyed over ten years of increasing responsibilities relating to all aspects of oncology drug development. Prior to joining Millennium, Ms. Carvajal was an attorney with the law firms Day, Berry &amp; Howard, and Hill &amp; Barlow. Ms. Carvajal received a B.A. cum laude from Harvard University and a J.D. cum laude from Georgetown University Law Center.</w:t>
      </w:r>
    </w:p>
    <w:p>
      <w:pPr>
        <w:spacing w:after="0" w:line="182"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10 will be contained in our proxy statement for our 2016 annual meeting of stockholders and is incorporated herein by reference.</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contained in our proxy statement for our 2016 annual meeting of stockholders and is incorporated herein by reference.</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contained in our proxy statement for our 2016 annual meeting of stockholders and is incorporated herein by reference.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08" w:name="page109"/>
    <w:bookmarkEnd w:id="108"/>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contained in our proxy statement for our 2016 annual meeting of stockholders and is incorporated herein by reference.</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contained in our proxy statement for our 2016 annual meeting of stockholders and is incorporated herein by reference.</w:t>
      </w: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549" w:right="559" w:bottom="1440" w:gutter="0" w:footer="0" w:header="0"/>
        </w:sectPr>
      </w:pPr>
    </w:p>
    <w:bookmarkStart w:id="109" w:name="page110"/>
    <w:bookmarkEnd w:id="10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financial statements are set forth in Part II, Item 8 of this Annual Report on Form 10-K and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29"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All financial schedules have been omitted because the required information is either presented in the consolidated financial statements or the notes thereto or is not applicable or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immediately preceding the exhibits and are incorporated herein.</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3" w:right="399" w:bottom="1440" w:gutter="0" w:footer="0" w:header="0"/>
        </w:sectPr>
      </w:pPr>
    </w:p>
    <w:bookmarkStart w:id="110" w:name="page111"/>
    <w:bookmarkEnd w:id="1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256"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D. T. Guiffre</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Christopher D. 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2016</w:t>
      </w:r>
    </w:p>
    <w:p>
      <w:pPr>
        <w:spacing w:after="0" w:line="225"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D. T. Guiffre</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10, 2016</w:t>
            </w:r>
          </w:p>
        </w:tc>
      </w:tr>
      <w:tr>
        <w:trPr>
          <w:trHeight w:val="224"/>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Christopher D. T. Guiffre</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2740" w:type="dxa"/>
            <w:vAlign w:val="bottom"/>
          </w:tcPr>
          <w:p>
            <w:pPr>
              <w:spacing w:after="0"/>
              <w:rPr>
                <w:sz w:val="19"/>
                <w:szCs w:val="19"/>
                <w:color w:val="auto"/>
              </w:rPr>
            </w:pPr>
          </w:p>
        </w:tc>
      </w:tr>
      <w:tr>
        <w:trPr>
          <w:trHeight w:val="499"/>
        </w:trPr>
        <w:tc>
          <w:tcPr>
            <w:tcW w:w="58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Gregg D. Beloff</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2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10, 2016</w:t>
            </w:r>
          </w:p>
        </w:tc>
      </w:tr>
      <w:tr>
        <w:trPr>
          <w:trHeight w:val="224"/>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Gregg D. Beloff</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2740" w:type="dxa"/>
            <w:vAlign w:val="bottom"/>
          </w:tcPr>
          <w:p>
            <w:pPr>
              <w:spacing w:after="0"/>
              <w:rPr>
                <w:sz w:val="19"/>
                <w:szCs w:val="19"/>
                <w:color w:val="auto"/>
              </w:rPr>
            </w:pPr>
          </w:p>
        </w:tc>
      </w:tr>
      <w:tr>
        <w:trPr>
          <w:trHeight w:val="499"/>
        </w:trPr>
        <w:tc>
          <w:tcPr>
            <w:tcW w:w="58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 O’Neill</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Controller</w:t>
            </w:r>
          </w:p>
        </w:tc>
        <w:tc>
          <w:tcPr>
            <w:tcW w:w="2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10, 2016</w:t>
            </w:r>
          </w:p>
        </w:tc>
      </w:tr>
      <w:tr>
        <w:trPr>
          <w:trHeight w:val="224"/>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James E. O’Neill</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c>
          <w:tcPr>
            <w:tcW w:w="2740" w:type="dxa"/>
            <w:vAlign w:val="bottom"/>
          </w:tcPr>
          <w:p>
            <w:pPr>
              <w:spacing w:after="0"/>
              <w:rPr>
                <w:sz w:val="19"/>
                <w:szCs w:val="19"/>
                <w:color w:val="auto"/>
              </w:rPr>
            </w:pPr>
          </w:p>
        </w:tc>
      </w:tr>
      <w:tr>
        <w:trPr>
          <w:trHeight w:val="499"/>
        </w:trPr>
        <w:tc>
          <w:tcPr>
            <w:tcW w:w="58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A. Friedman</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10, 2016</w:t>
            </w:r>
          </w:p>
        </w:tc>
      </w:tr>
      <w:tr>
        <w:trPr>
          <w:trHeight w:val="224"/>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Paul A. Friedman, M.D.</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99"/>
        </w:trPr>
        <w:tc>
          <w:tcPr>
            <w:tcW w:w="58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H. Rastetter</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10, 2016</w:t>
            </w:r>
          </w:p>
        </w:tc>
      </w:tr>
      <w:tr>
        <w:trPr>
          <w:trHeight w:val="224"/>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William H. Rastetter, Ph.D.</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92"/>
        </w:trPr>
        <w:tc>
          <w:tcPr>
            <w:tcW w:w="58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 Stuart A. Arbuckle</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10, 2016</w:t>
            </w:r>
          </w:p>
        </w:tc>
      </w:tr>
      <w:tr>
        <w:trPr>
          <w:trHeight w:val="217"/>
        </w:trPr>
        <w:tc>
          <w:tcPr>
            <w:tcW w:w="580" w:type="dxa"/>
            <w:vAlign w:val="bottom"/>
          </w:tcPr>
          <w:p>
            <w:pPr>
              <w:spacing w:after="0"/>
              <w:rPr>
                <w:sz w:val="18"/>
                <w:szCs w:val="18"/>
                <w:color w:val="auto"/>
              </w:rPr>
            </w:pPr>
          </w:p>
        </w:tc>
        <w:tc>
          <w:tcPr>
            <w:tcW w:w="3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Stuart A. Arbuckle</w:t>
            </w:r>
          </w:p>
        </w:tc>
        <w:tc>
          <w:tcPr>
            <w:tcW w:w="100" w:type="dxa"/>
            <w:vAlign w:val="bottom"/>
            <w:tcBorders>
              <w:top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499"/>
        </w:trPr>
        <w:tc>
          <w:tcPr>
            <w:tcW w:w="58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L. Crane</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10, 2016</w:t>
            </w:r>
          </w:p>
        </w:tc>
      </w:tr>
      <w:tr>
        <w:trPr>
          <w:trHeight w:val="224"/>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Alan L. Crane</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99"/>
        </w:trPr>
        <w:tc>
          <w:tcPr>
            <w:tcW w:w="58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E. Hall</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10, 2016</w:t>
            </w:r>
          </w:p>
        </w:tc>
      </w:tr>
      <w:tr>
        <w:trPr>
          <w:trHeight w:val="224"/>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Steven E. Hall, Ph.D.</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99"/>
        </w:trPr>
        <w:tc>
          <w:tcPr>
            <w:tcW w:w="58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L. Kelley</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10, 2016</w:t>
            </w:r>
          </w:p>
        </w:tc>
      </w:tr>
      <w:tr>
        <w:trPr>
          <w:trHeight w:val="224"/>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Susan L. Kelley, M.D.</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99"/>
        </w:trPr>
        <w:tc>
          <w:tcPr>
            <w:tcW w:w="58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T. McKee</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10, 2016</w:t>
            </w:r>
          </w:p>
        </w:tc>
      </w:tr>
      <w:tr>
        <w:trPr>
          <w:trHeight w:val="224"/>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William T. McKee</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99"/>
        </w:trPr>
        <w:tc>
          <w:tcPr>
            <w:tcW w:w="58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 Parkinson</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10, 2016</w:t>
            </w:r>
          </w:p>
        </w:tc>
      </w:tr>
      <w:tr>
        <w:trPr>
          <w:trHeight w:val="224"/>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David R. Parkinson, M.D.</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99"/>
        </w:trPr>
        <w:tc>
          <w:tcPr>
            <w:tcW w:w="58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 Walt</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10, 2016</w:t>
            </w:r>
          </w:p>
        </w:tc>
      </w:tr>
      <w:tr>
        <w:trPr>
          <w:trHeight w:val="224"/>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David R. Walt, Ph.D.</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668"/>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109</w:t>
            </w:r>
          </w:p>
        </w:tc>
        <w:tc>
          <w:tcPr>
            <w:tcW w:w="274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11" w:name="page112"/>
    <w:bookmarkEnd w:id="111"/>
    <w:p>
      <w:pPr>
        <w:ind w:left="51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340" w:type="dxa"/>
            <w:vAlign w:val="bottom"/>
            <w:tcBorders>
              <w:bottom w:val="single" w:sz="8" w:color="auto"/>
            </w:tcBorders>
          </w:tcPr>
          <w:p>
            <w:pPr>
              <w:spacing w:after="0"/>
              <w:rPr>
                <w:sz w:val="19"/>
                <w:szCs w:val="19"/>
                <w:color w:val="auto"/>
              </w:rPr>
            </w:pPr>
          </w:p>
        </w:tc>
      </w:tr>
      <w:tr>
        <w:trPr>
          <w:trHeight w:val="200"/>
        </w:trPr>
        <w:tc>
          <w:tcPr>
            <w:tcW w:w="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8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5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Date of Filing</w:t>
            </w:r>
          </w:p>
        </w:tc>
        <w:tc>
          <w:tcPr>
            <w:tcW w:w="13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Exhibit</w:t>
            </w:r>
          </w:p>
        </w:tc>
      </w:tr>
      <w:tr>
        <w:trPr>
          <w:trHeight w:val="212"/>
        </w:trPr>
        <w:tc>
          <w:tcPr>
            <w:tcW w:w="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3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Restated Certificate of Incorporation</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001-36395</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16,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001-36395</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16,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Specimen Stock Certificate evidencing the</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31,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of common stock</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2007 Stock Incentive Plan, as amended</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Incentive Stock Option Agreement</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8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 2007 Stock Incentive Plan</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Nonstatutory Stock Option</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8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under 2007 Stock Incentive Plan</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2014 Stock Incentive Plan</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31,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Incentive Stock Option Agreement</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31,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8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 2014 Stock Incentive Plan</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Nonstatutory Stock Option</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31,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8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Agreement under 2014 Stock Incentive Plan</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2014 Employee Stock Purchase Plan</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31,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10.26</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 Agreement, dated as of May 22,</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20" w:type="dxa"/>
            <w:vAlign w:val="bottom"/>
          </w:tcPr>
          <w:p>
            <w:pPr>
              <w:spacing w:after="0"/>
              <w:rPr>
                <w:sz w:val="18"/>
                <w:szCs w:val="18"/>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2000, as amended, between California</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Institute of Technology and Insert</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Therapeutics, Inc.</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Patent License Agreement, dated as of August</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20" w:type="dxa"/>
            <w:vAlign w:val="bottom"/>
          </w:tcPr>
          <w:p>
            <w:pPr>
              <w:spacing w:after="0"/>
              <w:rPr>
                <w:sz w:val="18"/>
                <w:szCs w:val="18"/>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 2007, as amended, between the Registrant</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The Research Foundation of State</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University of New York, on behalf of</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University of Buffalo</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IT-101 Agreement, dated as of June 23, 2009,</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820" w:type="dxa"/>
            <w:vAlign w:val="bottom"/>
          </w:tcPr>
          <w:p>
            <w:pPr>
              <w:spacing w:after="0"/>
              <w:rPr>
                <w:sz w:val="18"/>
                <w:szCs w:val="18"/>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between the Registrant and Calando</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Pharmaceuticals, Inc.</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Platform Agreement, dated as of June 23,</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10.11</w:t>
            </w:r>
          </w:p>
        </w:tc>
      </w:tr>
      <w:tr>
        <w:trPr>
          <w:trHeight w:val="216"/>
        </w:trPr>
        <w:tc>
          <w:tcPr>
            <w:tcW w:w="820" w:type="dxa"/>
            <w:vAlign w:val="bottom"/>
          </w:tcPr>
          <w:p>
            <w:pPr>
              <w:spacing w:after="0"/>
              <w:rPr>
                <w:sz w:val="18"/>
                <w:szCs w:val="18"/>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2009, between the Registrant and Calando</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Pharmaceuticals, Inc.</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Letter Agreement, dated as of August 6, 2013,</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10.12</w:t>
            </w:r>
          </w:p>
        </w:tc>
      </w:tr>
      <w:tr>
        <w:trPr>
          <w:trHeight w:val="216"/>
        </w:trPr>
        <w:tc>
          <w:tcPr>
            <w:tcW w:w="820" w:type="dxa"/>
            <w:vAlign w:val="bottom"/>
          </w:tcPr>
          <w:p>
            <w:pPr>
              <w:spacing w:after="0"/>
              <w:rPr>
                <w:sz w:val="18"/>
                <w:szCs w:val="18"/>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between the Registrant and California</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Institute of Technology</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Second Series D Convertible Preferred Stock</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333-194442</w:t>
            </w:r>
          </w:p>
        </w:tc>
        <w:tc>
          <w:tcPr>
            <w:tcW w:w="1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10, 2014</w:t>
            </w:r>
          </w:p>
        </w:tc>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10.13</w:t>
            </w:r>
          </w:p>
        </w:tc>
      </w:tr>
      <w:tr>
        <w:trPr>
          <w:trHeight w:val="216"/>
        </w:trPr>
        <w:tc>
          <w:tcPr>
            <w:tcW w:w="820" w:type="dxa"/>
            <w:vAlign w:val="bottom"/>
          </w:tcPr>
          <w:p>
            <w:pPr>
              <w:spacing w:after="0"/>
              <w:rPr>
                <w:sz w:val="18"/>
                <w:szCs w:val="18"/>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Agreement, dated November 30,</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2012, as amended</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 and Security Agreement, dated January</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9"/>
              </w:rPr>
              <w:t>001-36395</w:t>
            </w:r>
          </w:p>
        </w:tc>
        <w:tc>
          <w:tcPr>
            <w:tcW w:w="1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January 8, 2015</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20" w:type="dxa"/>
            <w:vAlign w:val="bottom"/>
          </w:tcPr>
          <w:p>
            <w:pPr>
              <w:spacing w:after="0"/>
              <w:rPr>
                <w:sz w:val="18"/>
                <w:szCs w:val="18"/>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 2015, between the Registrant and Hercules</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 Growth Capital, Inc.</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Purchase Agreement, dated January 8,</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9"/>
              </w:rPr>
              <w:t>001-36395</w:t>
            </w:r>
          </w:p>
        </w:tc>
        <w:tc>
          <w:tcPr>
            <w:tcW w:w="1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January 8, 2015</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20" w:type="dxa"/>
            <w:vAlign w:val="bottom"/>
          </w:tcPr>
          <w:p>
            <w:pPr>
              <w:spacing w:after="0"/>
              <w:rPr>
                <w:sz w:val="18"/>
                <w:szCs w:val="18"/>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2015, between the Registrant and Hercules</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 Growth Capital, Inc.</w:t>
            </w: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 to Invest Letter, dated January 8, 2015,</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9"/>
              </w:rPr>
              <w:t>001-36395</w:t>
            </w:r>
          </w:p>
        </w:tc>
        <w:tc>
          <w:tcPr>
            <w:tcW w:w="1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January 8, 2015</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20" w:type="dxa"/>
            <w:vAlign w:val="bottom"/>
          </w:tcPr>
          <w:p>
            <w:pPr>
              <w:spacing w:after="0"/>
              <w:rPr>
                <w:sz w:val="18"/>
                <w:szCs w:val="18"/>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between the Registrant and Hercules</w:t>
            </w:r>
          </w:p>
        </w:tc>
        <w:tc>
          <w:tcPr>
            <w:tcW w:w="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 Growth Capital, Inc.</w:t>
            </w:r>
          </w:p>
        </w:tc>
        <w:tc>
          <w:tcPr>
            <w:tcW w:w="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110</w:t>
            </w: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b w:val="1"/>
          <w:bCs w:val="1"/>
          <w:color w:val="auto"/>
        </w:rPr>
        <w:t>Filed Herewith</w:t>
      </w:r>
    </w:p>
    <w:p>
      <w:pPr>
        <w:sectPr>
          <w:pgSz w:w="11900" w:h="16838" w:orient="portrait"/>
          <w:cols w:equalWidth="0" w:num="2">
            <w:col w:w="9940" w:space="160"/>
            <w:col w:w="640"/>
          </w:cols>
          <w:pgMar w:left="260" w:top="333" w:right="89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Warrant, dated January 8, 2015, issued to</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001-36395</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January 8, 2015</w:t>
            </w:r>
          </w:p>
        </w:tc>
        <w:tc>
          <w:tcPr>
            <w:tcW w:w="2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Hercules Technology Growth Capital, Inc.</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Indemnification Agreement between</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333-194442</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270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Registrant and each of its Executive</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Officers and Directors</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Warrant to purchase shares of Series B</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333-194442</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270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Convertible Preferred Stock issued by the</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Registrant to Silicon Valley Bank</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Stock Purchase Warrant of the</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333-194442</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270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10.19</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Registrant to purchase shares of Series C</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Preferred Stock Purchase Warrant to purchase</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333-194442</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270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of Series D Convertible Preferred</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 issued by the Registrant to Lighthouse</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Partners VI, L.P., as amended</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Employment</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333-202917</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30, 2015</w:t>
            </w:r>
          </w:p>
        </w:tc>
        <w:tc>
          <w:tcPr>
            <w:tcW w:w="2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10.26</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 dated March 27, 2015 between the</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Registrant and Christopher D. T. Guiffre</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Lease, dated July 9, 2015, between the</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001-36395</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6, 2015</w:t>
            </w:r>
          </w:p>
        </w:tc>
        <w:tc>
          <w:tcPr>
            <w:tcW w:w="270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Registrant and AstraZeneca Pharmaceuticals</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Limited Partnership</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Consulting Agreement, dated May 27, 2015,</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001-36395</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6, 2015</w:t>
            </w:r>
          </w:p>
        </w:tc>
        <w:tc>
          <w:tcPr>
            <w:tcW w:w="270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between the Registrant and Danforth Advisors</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LLC</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Employment Agreement, dated September 4,</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001-36395</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16, 2015</w:t>
            </w:r>
          </w:p>
        </w:tc>
        <w:tc>
          <w:tcPr>
            <w:tcW w:w="270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2015, between the Registrant and Adrian</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Senderowicz, M.D.</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Employment Agreement, dated September 23,</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2014, between the Registrant and Alejandra</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 Carvajal</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 to Employment Agreement dated</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1, 2015, between the Registrant</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Alejandra V. Carvajal</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 Option Agreement and Contingent</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333-194442</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10, 2014</w:t>
            </w:r>
          </w:p>
        </w:tc>
        <w:tc>
          <w:tcPr>
            <w:tcW w:w="270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10.24</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Consideration Award Agreement, dated</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31, 2013, between the Registrant and</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Alan Crane</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 to the Stock Option Agreement</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001-36395</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13, 2014</w:t>
            </w:r>
          </w:p>
        </w:tc>
        <w:tc>
          <w:tcPr>
            <w:tcW w:w="270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Termination of Contingent Consideration</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Award dated September 16, 2014, by and</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between the Registrant and Alan Crane</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3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X</w:t>
            </w:r>
          </w:p>
        </w:tc>
      </w:tr>
      <w:tr>
        <w:trPr>
          <w:trHeight w:val="23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Consent of Deloitte &amp; Touche LLP</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pursuant to Rule 13a-14(a)/15d 14(a) of the</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80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pursuant to Rule 13a-14(a)/15d-14(a) of the</w:t>
            </w: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7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111</w:t>
            </w:r>
          </w:p>
        </w:tc>
        <w:tc>
          <w:tcPr>
            <w:tcW w:w="18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113" w:name="page114"/>
    <w:bookmarkEnd w:id="113"/>
    <w:tbl>
      <w:tblPr>
        <w:tblLayout w:type="fixed"/>
        <w:tblInd w:w="12"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c>
          <w:tcPr>
            <w:tcW w:w="302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8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pursuant to 18 U.S.C. §1350, as adopted</w:t>
            </w:r>
          </w:p>
        </w:tc>
        <w:tc>
          <w:tcPr>
            <w:tcW w:w="30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pursuant to Section 906 of the Sarbanes-</w:t>
            </w:r>
          </w:p>
        </w:tc>
        <w:tc>
          <w:tcPr>
            <w:tcW w:w="302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Oxley Act of 2002</w:t>
            </w:r>
          </w:p>
        </w:tc>
        <w:tc>
          <w:tcPr>
            <w:tcW w:w="3020" w:type="dxa"/>
            <w:vAlign w:val="bottom"/>
          </w:tcPr>
          <w:p>
            <w:pPr>
              <w:spacing w:after="0"/>
              <w:rPr>
                <w:sz w:val="19"/>
                <w:szCs w:val="19"/>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c>
          <w:tcPr>
            <w:tcW w:w="302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8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pursuant to 18 U.S.C. §1350, as adopted</w:t>
            </w:r>
          </w:p>
        </w:tc>
        <w:tc>
          <w:tcPr>
            <w:tcW w:w="30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pursuant to Section 906 of the Sarbanes-</w:t>
            </w:r>
          </w:p>
        </w:tc>
        <w:tc>
          <w:tcPr>
            <w:tcW w:w="302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Oxley Act of 2002</w:t>
            </w:r>
          </w:p>
        </w:tc>
        <w:tc>
          <w:tcPr>
            <w:tcW w:w="302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c>
          <w:tcPr>
            <w:tcW w:w="302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302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88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3020" w:type="dxa"/>
            <w:vAlign w:val="bottom"/>
          </w:tcPr>
          <w:p>
            <w:pPr>
              <w:spacing w:after="0"/>
              <w:rPr>
                <w:sz w:val="19"/>
                <w:szCs w:val="19"/>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Calculation Linkbase</w:t>
            </w:r>
          </w:p>
        </w:tc>
        <w:tc>
          <w:tcPr>
            <w:tcW w:w="302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88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3020" w:type="dxa"/>
            <w:vAlign w:val="bottom"/>
          </w:tcPr>
          <w:p>
            <w:pPr>
              <w:spacing w:after="0"/>
              <w:rPr>
                <w:sz w:val="19"/>
                <w:szCs w:val="19"/>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302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88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Linkbase Document</w:t>
            </w:r>
          </w:p>
        </w:tc>
        <w:tc>
          <w:tcPr>
            <w:tcW w:w="3020" w:type="dxa"/>
            <w:vAlign w:val="bottom"/>
          </w:tcPr>
          <w:p>
            <w:pPr>
              <w:spacing w:after="0"/>
              <w:rPr>
                <w:sz w:val="19"/>
                <w:szCs w:val="19"/>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302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Presentation Linkbase</w:t>
            </w:r>
          </w:p>
        </w:tc>
        <w:tc>
          <w:tcPr>
            <w:tcW w:w="3020" w:type="dxa"/>
            <w:vAlign w:val="bottom"/>
          </w:tcPr>
          <w:p>
            <w:pPr>
              <w:ind w:left="288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80" w:type="dxa"/>
            <w:vAlign w:val="bottom"/>
          </w:tcPr>
          <w:p>
            <w:pPr>
              <w:spacing w:after="0"/>
              <w:rPr>
                <w:sz w:val="20"/>
                <w:szCs w:val="20"/>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3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9690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72" w:lineRule="exact"/>
        <w:rPr>
          <w:sz w:val="20"/>
          <w:szCs w:val="20"/>
          <w:color w:val="auto"/>
        </w:rPr>
      </w:pPr>
    </w:p>
    <w:p>
      <w:pPr>
        <w:ind w:left="512" w:hanging="512"/>
        <w:spacing w:after="0"/>
        <w:tabs>
          <w:tab w:leader="none" w:pos="512" w:val="left"/>
        </w:tabs>
        <w:numPr>
          <w:ilvl w:val="0"/>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Management contracts or compensatory plans or arrangements required to be filed as an exhibit hereto pursuant to Item 15(a) of Form 10-K.</w:t>
      </w:r>
    </w:p>
    <w:p>
      <w:pPr>
        <w:spacing w:after="0" w:line="27" w:lineRule="exact"/>
        <w:rPr>
          <w:sz w:val="20"/>
          <w:szCs w:val="20"/>
          <w:color w:val="auto"/>
        </w:rPr>
      </w:pPr>
    </w:p>
    <w:p>
      <w:pPr>
        <w:ind w:left="512" w:hanging="512"/>
        <w:spacing w:after="0" w:line="261" w:lineRule="auto"/>
        <w:tabs>
          <w:tab w:leader="none" w:pos="512"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Confidential treatment requested as to certain portions, which portions have been omitted and filed separately with the Securities and Exchange Commission.</w:t>
      </w:r>
    </w:p>
    <w:p>
      <w:pPr>
        <w:spacing w:after="0" w:line="180"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852"/>
          </w:cols>
          <w:pgMar w:left="248" w:top="351" w:right="79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121" w:lineRule="exact"/>
        <w:rPr>
          <w:sz w:val="20"/>
          <w:szCs w:val="20"/>
          <w:color w:val="auto"/>
        </w:rPr>
      </w:pPr>
    </w:p>
    <w:p>
      <w:pPr>
        <w:ind w:right="520" w:firstLine="518"/>
        <w:spacing w:after="0" w:line="266" w:lineRule="auto"/>
        <w:rPr>
          <w:sz w:val="20"/>
          <w:szCs w:val="20"/>
          <w:color w:val="auto"/>
        </w:rPr>
      </w:pPr>
      <w:r>
        <w:rPr>
          <w:rFonts w:ascii="Times New Roman" w:cs="Times New Roman" w:eastAsia="Times New Roman" w:hAnsi="Times New Roman"/>
          <w:sz w:val="18"/>
          <w:szCs w:val="18"/>
          <w:color w:val="auto"/>
        </w:rPr>
        <w:t>THIS EMPLOYMENT AGREEMENT (the “Agreement”), made this 23rd day of September, 2014, is entered into by Cerulean Pharma Inc., a Delaware corporation with its principal place of business at 840 Memorial Drive,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Cambridge, MA 02139 (the “Company”), and Alejandra V. Carvajal (the “Employee”) with the address at 12 Wyman Street, Waban, MA 02468.</w:t>
      </w:r>
    </w:p>
    <w:p>
      <w:pPr>
        <w:spacing w:after="0" w:line="176"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The Company desires to employ the Employee and the Employee desires to be employed by the Company. In consideration of the mutual covenants and promises contained herein, and other good and valuable consideration, the receipt and sufficiency of which are acknowledged by the parties hereto, the parties agree as follows:</w:t>
      </w:r>
    </w:p>
    <w:p>
      <w:pPr>
        <w:spacing w:after="0" w:line="176" w:lineRule="exact"/>
        <w:rPr>
          <w:sz w:val="20"/>
          <w:szCs w:val="20"/>
          <w:color w:val="auto"/>
        </w:rPr>
      </w:pPr>
    </w:p>
    <w:p>
      <w:pPr>
        <w:ind w:right="60" w:firstLine="526"/>
        <w:spacing w:after="0" w:line="261" w:lineRule="auto"/>
        <w:tabs>
          <w:tab w:leader="none" w:pos="6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xml:space="preserve"> The Company hereby agrees to employ the Employee and the Employee hereby accepts employment with the Company, upon the terms set forth in this Agreement, commencing on September 23, 2014 (the “Commencement Date”). There shall be no definite term of employment, and the Employee’s employment shall be at-will such that both the Company and the Employee remain free to end the employment relationship for any reason, at any time, with or without notice.</w:t>
      </w:r>
    </w:p>
    <w:p>
      <w:pPr>
        <w:spacing w:after="0" w:line="180" w:lineRule="exact"/>
        <w:rPr>
          <w:rFonts w:ascii="Times New Roman" w:cs="Times New Roman" w:eastAsia="Times New Roman" w:hAnsi="Times New Roman"/>
          <w:sz w:val="18"/>
          <w:szCs w:val="18"/>
          <w:color w:val="auto"/>
        </w:rPr>
      </w:pPr>
    </w:p>
    <w:p>
      <w:pPr>
        <w:ind w:right="20" w:firstLine="526"/>
        <w:spacing w:after="0" w:line="282" w:lineRule="auto"/>
        <w:tabs>
          <w:tab w:leader="none" w:pos="6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and Capacity. As of the Commencement Date, the Employee shall serve as Vice President, General Counsel of the Company and shall report to the Chief Executive Officer of the Company. The Employee shall be based at the Company's headquarters in Cambridge, Massachusetts.</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Employee agrees to undertake the duties and responsibilities inherent in such position and such other duties and responsibilities as the Chief Executive Officer shall from time to time reasonably assign to her. The Employee agrees to devote her entire business time, attention and energies to the business and interests of the Company. The Employee may engage in outside business activities for third parties only with the prior written consent of the Board and the Board shall consider for approval only those proposed activities which do not (i) interfere with job attendance or performance or (ii) present any type of conflict of interest with the business of the Company. The Employee agrees to abide by the rules, regulations, instructions, personnel practices and policies of the Company and any changes therein that may be adopted from time to time by the Company.</w:t>
      </w:r>
    </w:p>
    <w:p>
      <w:pPr>
        <w:spacing w:after="0" w:line="188" w:lineRule="exact"/>
        <w:rPr>
          <w:sz w:val="20"/>
          <w:szCs w:val="20"/>
          <w:color w:val="auto"/>
        </w:rPr>
      </w:pPr>
    </w:p>
    <w:p>
      <w:pPr>
        <w:ind w:left="700" w:hanging="174"/>
        <w:spacing w:after="0"/>
        <w:tabs>
          <w:tab w:leader="none" w:pos="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p>
    <w:p>
      <w:pPr>
        <w:spacing w:after="0" w:line="225" w:lineRule="exact"/>
        <w:rPr>
          <w:sz w:val="20"/>
          <w:szCs w:val="20"/>
          <w:color w:val="auto"/>
        </w:rPr>
      </w:pPr>
    </w:p>
    <w:p>
      <w:pPr>
        <w:ind w:right="180" w:firstLine="1034"/>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As of the Commencement Date, the Company shall pay the Employee, in accordance with the Company's regular payroll practices, a base salary at the annualized rate of $280,000, payable at the rate of $11,666.66 on a semi-monthly basis, subject to adjustment thereafter by the Board of Directors of the Company (the “Board”) or the Chief Executive Officer.</w:t>
      </w:r>
    </w:p>
    <w:p>
      <w:pPr>
        <w:spacing w:after="0" w:line="1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3.2 Bonus.</w:t>
      </w:r>
    </w:p>
    <w:p>
      <w:pPr>
        <w:spacing w:after="0" w:line="225" w:lineRule="exact"/>
        <w:rPr>
          <w:sz w:val="20"/>
          <w:szCs w:val="20"/>
          <w:color w:val="auto"/>
        </w:rPr>
      </w:pPr>
    </w:p>
    <w:p>
      <w:pPr>
        <w:ind w:right="120" w:firstLine="1408"/>
        <w:spacing w:after="0" w:line="282" w:lineRule="auto"/>
        <w:tabs>
          <w:tab w:leader="none" w:pos="16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will be eligible to receive a one-time cash signing bonus of $50,000 (the “Signing Bonus”), which will be paid as soon as practicable following the Commencement Date subject to and in accordance with the Company’s regular payroll practices.</w:t>
      </w:r>
    </w:p>
    <w:p>
      <w:pPr>
        <w:spacing w:after="0" w:line="161" w:lineRule="exact"/>
        <w:rPr>
          <w:rFonts w:ascii="Times New Roman" w:cs="Times New Roman" w:eastAsia="Times New Roman" w:hAnsi="Times New Roman"/>
          <w:sz w:val="18"/>
          <w:szCs w:val="18"/>
          <w:color w:val="auto"/>
        </w:rPr>
      </w:pPr>
    </w:p>
    <w:p>
      <w:pPr>
        <w:ind w:right="60" w:firstLine="1408"/>
        <w:spacing w:after="0" w:line="270" w:lineRule="auto"/>
        <w:tabs>
          <w:tab w:leader="none" w:pos="165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the Employee will be eligible to receive a performance-based annual bonus for each fiscal year in which she is employed by the Company in the capacity of Vice President, General Counsel. This bonus shall be based upon reasonably attainable annual quantitative and qualitative performance objectives established by the Board or the Chief Executive Officer. The Employee’s annual bonus level target shall be set at 30 percent (30%) of the Employee’s base salary for the currently applicable fiscal year and shall be subject to adjustment thereafter by the Board or the Chief Executive Officer.</w:t>
      </w:r>
    </w:p>
    <w:p>
      <w:pPr>
        <w:spacing w:after="0" w:line="2" w:lineRule="exact"/>
        <w:rPr>
          <w:rFonts w:ascii="Times New Roman" w:cs="Times New Roman" w:eastAsia="Times New Roman" w:hAnsi="Times New Roman"/>
          <w:sz w:val="17"/>
          <w:szCs w:val="17"/>
          <w:color w:val="auto"/>
        </w:rPr>
      </w:pPr>
    </w:p>
    <w:p>
      <w:pPr>
        <w:ind w:right="1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Board or the Chief Executive Officer will determine, in its sole discretion, based upon its review of the achievement of the performance objectives for a given fiscal year, whether (and in what amount) a bonus award is payable to the Employee. Any bonus awarded to the Employee for fiscal year 2014 will be prorated for the Employee’s length of service within such year; provided, however, that notwithstanding the Commencement Date, the Board or Chief Executive Officer, as applicable, shall determine the Employee’s 2014 annual bonus, if any, as if the Employee had commenced employment with the Company on February 1, 2014. To be eligible to receive a bonus award, the Employee must be an active employee on the date any such bonuses are distributed.</w:t>
      </w:r>
    </w:p>
    <w:p>
      <w:pPr>
        <w:spacing w:after="0" w:line="190" w:lineRule="exact"/>
        <w:rPr>
          <w:rFonts w:ascii="Times New Roman" w:cs="Times New Roman" w:eastAsia="Times New Roman" w:hAnsi="Times New Roman"/>
          <w:sz w:val="17"/>
          <w:szCs w:val="17"/>
          <w:color w:val="auto"/>
        </w:rPr>
      </w:pPr>
    </w:p>
    <w:p>
      <w:pPr>
        <w:ind w:right="40" w:firstLine="1408"/>
        <w:spacing w:after="0" w:line="254" w:lineRule="auto"/>
        <w:tabs>
          <w:tab w:leader="none" w:pos="16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 voluntarily resigns her employment other than for Good Reason (as defined in Section 4.2), or if the Company terminates the Employee for Cause (as defined in Section 4.3) (i) before the first anniversary of the Commencement Date, the Employee shall repay, on a pre-tax basis, the Signing Bonus and a pro-rated portion of her 2014 annual bonus, if any, attributable to the period beginning February 1, 2014 and ending on the day immediately preceding the Commencement Date (together such amounts, the “Repayment Amount”) or (ii) on or after the first anniversary of the Commencement Date but before the second anniversary of the Commencement Date, the Employee shall repay, on a pre-tax basis, fifty percent (50%) of the Signing Bonus. Any amounts required to be repaid pursuant to this Section 3.2(c) shall be deducted from any amounts due to the Employee from the Company, including without limitation any salary, commissions, bonuses, vacation or other paid leave, severance or separation pay, and expense reimbursements, subject to applicable law. If such deduction does not fully satisfy the amount required to be repaid to the Company, the Employee agrees to repay the remaining unpaid balance of any such amount to the Company within thirty (30) days of the termination of the Employee’s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5" w:name="page116"/>
    <w:bookmarkEnd w:id="115"/>
    <w:p>
      <w:pPr>
        <w:ind w:right="20" w:firstLine="1034"/>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Employee shall be entitled to participate in all benefit plans and programs that the Company establishes and makes available to its employees to the extent that the Employee is eligible under (and subject to the provisions of) the plan documents governing those programs. The Employee shall be entitled to fifteen (15) days paid vacation per year plus personal days and paid holidays generally offered by the Company to its employees, each to be administered in accordance with Company policy.</w:t>
      </w:r>
    </w:p>
    <w:p>
      <w:pPr>
        <w:spacing w:after="0" w:line="180" w:lineRule="exact"/>
        <w:rPr>
          <w:sz w:val="20"/>
          <w:szCs w:val="20"/>
          <w:color w:val="auto"/>
        </w:rPr>
      </w:pPr>
    </w:p>
    <w:p>
      <w:pPr>
        <w:ind w:right="40" w:firstLine="1034"/>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The Company shall reimburse the Employee for all reasonable travel, entertainment and other expenses incurred or paid by the Employee in connection with, or related to, the performance of her duties, responsibilities or services under this Agreement in accordance with the Company’s expense reimbursement policies as set forth in the Company’s employee handbook, a copy of which has been provided to the Employee. The reimbursement of expenses hereunder shall be subject to the terms and conditions set forth in Section 19(e) of this Agreement.</w:t>
      </w:r>
    </w:p>
    <w:p>
      <w:pPr>
        <w:spacing w:after="0" w:line="180" w:lineRule="exact"/>
        <w:rPr>
          <w:sz w:val="20"/>
          <w:szCs w:val="20"/>
          <w:color w:val="auto"/>
        </w:rPr>
      </w:pPr>
    </w:p>
    <w:p>
      <w:pPr>
        <w:ind w:right="200" w:firstLine="1034"/>
        <w:spacing w:after="0" w:line="258" w:lineRule="auto"/>
        <w:rPr>
          <w:sz w:val="20"/>
          <w:szCs w:val="20"/>
          <w:color w:val="auto"/>
        </w:rPr>
      </w:pPr>
      <w:r>
        <w:rPr>
          <w:rFonts w:ascii="Times New Roman" w:cs="Times New Roman" w:eastAsia="Times New Roman" w:hAnsi="Times New Roman"/>
          <w:sz w:val="18"/>
          <w:szCs w:val="18"/>
          <w:color w:val="auto"/>
        </w:rPr>
        <w:t>3.5 Equity. Subject to Board approval and the terms of the Company’s 2014 Stock Incentive Plan, the Company will grant the Employee an option to purchase 55,000 shares of common stock of the Company $.0001 par value per share (“Common Stock”) at an exercise price equal to the fair market value of the Common Stock on the date of grant (the “Option”). Twenty-five percent (25%) of the shares subject to the Option shall vest on the first anniversary of the Commencement Date subject to the Employee’s continuing employment with the Company and the remainder of the shares shall vest monthly over the next thirty-six (36) months, in equal monthly amounts, subject to the Employee’s continuing employment with the Company.</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All salary, bonus and other compensation or benefits payable to the Employee shall be subject to applicable withholdings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Payments Upon</w:t>
      </w:r>
      <w:r>
        <w:rPr>
          <w:rFonts w:ascii="Times New Roman" w:cs="Times New Roman" w:eastAsia="Times New Roman" w:hAnsi="Times New Roman"/>
          <w:sz w:val="18"/>
          <w:szCs w:val="18"/>
          <w:color w:val="auto"/>
        </w:rPr>
        <w:t xml:space="preserve"> Resignation By The Employee Without Good Reason or Termination By The Company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2077720</wp:posOffset>
            </wp:positionH>
            <wp:positionV relativeFrom="paragraph">
              <wp:posOffset>-7620</wp:posOffset>
            </wp:positionV>
            <wp:extent cx="39808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980815" cy="8890"/>
                    </a:xfrm>
                    <a:prstGeom prst="rect">
                      <a:avLst/>
                    </a:prstGeom>
                    <a:noFill/>
                  </pic:spPr>
                </pic:pic>
              </a:graphicData>
            </a:graphic>
          </wp:anchor>
        </w:drawing>
      </w:r>
    </w:p>
    <w:p>
      <w:pPr>
        <w:spacing w:after="0" w:line="205" w:lineRule="exact"/>
        <w:rPr>
          <w:sz w:val="20"/>
          <w:szCs w:val="20"/>
          <w:color w:val="auto"/>
        </w:rPr>
      </w:pPr>
    </w:p>
    <w:p>
      <w:pPr>
        <w:ind w:right="80" w:firstLine="140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Payment upon Voluntary Resignation or Termination for Cause</w:t>
      </w:r>
      <w:r>
        <w:rPr>
          <w:rFonts w:ascii="Times New Roman" w:cs="Times New Roman" w:eastAsia="Times New Roman" w:hAnsi="Times New Roman"/>
          <w:sz w:val="18"/>
          <w:szCs w:val="18"/>
          <w:color w:val="auto"/>
        </w:rPr>
        <w:t>. If the Employee voluntarily resigns her employment other than for Good Reason, or if the Company terminates the Employee for Cause, the Company shall pay the Employee all accrued and unpaid base salary through the Employee’s date of termination and any vacation that is accrued but unused as of such date. The Employee shall not be eligible for any severance or separation payments (including, but not limited to, those described in Section 7 of this Agreement) or any continuation of benefits (other than those provided for under the Federal Consolidated Omnibus Budget Reconciliation Act (“COBRA”)), or any other compensation pursuant to this Agreement or otherwise. The Employee also shall have such rights, if any, with respect to outstanding equity awards as may be provided under the agreement applicable to each.</w:t>
      </w:r>
    </w:p>
    <w:p>
      <w:pPr>
        <w:spacing w:after="0" w:line="188" w:lineRule="exact"/>
        <w:rPr>
          <w:sz w:val="20"/>
          <w:szCs w:val="20"/>
          <w:color w:val="auto"/>
        </w:rPr>
      </w:pPr>
    </w:p>
    <w:p>
      <w:pPr>
        <w:jc w:val="both"/>
        <w:ind w:firstLine="1400"/>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Definition of “Good Reason”</w:t>
      </w:r>
      <w:r>
        <w:rPr>
          <w:rFonts w:ascii="Times New Roman" w:cs="Times New Roman" w:eastAsia="Times New Roman" w:hAnsi="Times New Roman"/>
          <w:sz w:val="18"/>
          <w:szCs w:val="18"/>
          <w:color w:val="auto"/>
        </w:rPr>
        <w:t>. For purposes of this Agreement, “Good Reason” means the occurrence, without the Employee’s written consent, of any of the events or circumstances set forth in clauses (a) through (c) below, provided, however, that an event described in clauses (a) through (c) below shall not constitute Good Reason unless it is communicated in writing, within 90 days of the first occurrence of an event giving rise to the claim, by the Employee to the Board or its successor and unless it is not corrected by the Company or its successor within thirty (30) days of the Company’s receipt of such written notice:</w:t>
      </w:r>
    </w:p>
    <w:p>
      <w:pPr>
        <w:spacing w:after="0" w:line="184" w:lineRule="exact"/>
        <w:rPr>
          <w:sz w:val="20"/>
          <w:szCs w:val="20"/>
          <w:color w:val="auto"/>
        </w:rPr>
      </w:pPr>
    </w:p>
    <w:p>
      <w:pPr>
        <w:ind w:left="1660" w:hanging="252"/>
        <w:spacing w:after="0"/>
        <w:tabs>
          <w:tab w:leader="none" w:pos="1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diminution of the Employee’s duties, authority or responsibilities;</w:t>
      </w:r>
    </w:p>
    <w:p>
      <w:pPr>
        <w:spacing w:after="0" w:line="225"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Employee’s base salary; or</w:t>
      </w:r>
    </w:p>
    <w:p>
      <w:pPr>
        <w:spacing w:after="0" w:line="225" w:lineRule="exact"/>
        <w:rPr>
          <w:rFonts w:ascii="Times New Roman" w:cs="Times New Roman" w:eastAsia="Times New Roman" w:hAnsi="Times New Roman"/>
          <w:sz w:val="18"/>
          <w:szCs w:val="18"/>
          <w:color w:val="auto"/>
        </w:rPr>
      </w:pPr>
    </w:p>
    <w:p>
      <w:pPr>
        <w:ind w:right="120" w:firstLine="1408"/>
        <w:spacing w:after="0" w:line="266" w:lineRule="auto"/>
        <w:tabs>
          <w:tab w:leader="none" w:pos="164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by the Company in the location at which the Employee performs her principal duties for the Company to a new location that is both (i) outside a radius of 50 miles from the Employee’s principal residence and (ii) more than 30 miles from the location at which the Employee performed her principal duties for the Company.</w:t>
      </w:r>
    </w:p>
    <w:p>
      <w:pPr>
        <w:spacing w:after="0" w:line="176" w:lineRule="exact"/>
        <w:rPr>
          <w:sz w:val="20"/>
          <w:szCs w:val="20"/>
          <w:color w:val="auto"/>
        </w:rPr>
      </w:pPr>
    </w:p>
    <w:p>
      <w:pPr>
        <w:ind w:right="320" w:firstLine="1400"/>
        <w:spacing w:after="0" w:line="282" w:lineRule="auto"/>
        <w:rPr>
          <w:sz w:val="20"/>
          <w:szCs w:val="20"/>
          <w:color w:val="auto"/>
        </w:rPr>
      </w:pPr>
      <w:r>
        <w:rPr>
          <w:rFonts w:ascii="Times New Roman" w:cs="Times New Roman" w:eastAsia="Times New Roman" w:hAnsi="Times New Roman"/>
          <w:sz w:val="18"/>
          <w:szCs w:val="18"/>
          <w:color w:val="auto"/>
        </w:rPr>
        <w:t>If the Company fails to timely correct an event of Good Reason, the termination of Executive’s employment shall become effective 60 days after such notice is received by the Company.</w:t>
      </w:r>
    </w:p>
    <w:p>
      <w:pPr>
        <w:spacing w:after="0" w:line="162" w:lineRule="exact"/>
        <w:rPr>
          <w:sz w:val="20"/>
          <w:szCs w:val="20"/>
          <w:color w:val="auto"/>
        </w:rPr>
      </w:pPr>
    </w:p>
    <w:p>
      <w:pPr>
        <w:ind w:right="80" w:firstLine="1400"/>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Definition of “Cause”</w:t>
      </w:r>
      <w:r>
        <w:rPr>
          <w:rFonts w:ascii="Times New Roman" w:cs="Times New Roman" w:eastAsia="Times New Roman" w:hAnsi="Times New Roman"/>
          <w:sz w:val="18"/>
          <w:szCs w:val="18"/>
          <w:color w:val="auto"/>
        </w:rPr>
        <w:t>. For purposes of this Agreement, “Cause” is defined as: (i) a good faith finding by the Company (excluding the Employee, if applicable) of (a) the Employee’s failure to (1) perform reasonably assigned lawful duties or (2) comply with a lawful instruction of the Company so long as, in the case of (2), the instruction is consistent with the scope and responsibilities of the Employee’s position, or (b) the Employee’s dishonesty, willful misconduct or gross negligence, or (c) the Employee’s substantial and material failure or refusal to perform according to, or to comply with, the policies, procedures or practices established by the Company or the Board and, in the case of (a) or (c), the Employee has had ten (10) days written notice to cure her failure to so perform or comply; or (ii) the Employee’s indictment, or the entering of a guilty plea or plea of “no contest” with respect to a felony or any crime involving moral turpitude.</w:t>
      </w:r>
    </w:p>
    <w:p>
      <w:pPr>
        <w:spacing w:after="0" w:line="189" w:lineRule="exact"/>
        <w:rPr>
          <w:sz w:val="20"/>
          <w:szCs w:val="20"/>
          <w:color w:val="auto"/>
        </w:rPr>
      </w:pPr>
    </w:p>
    <w:p>
      <w:pPr>
        <w:ind w:right="60" w:firstLine="1042"/>
        <w:spacing w:after="0" w:line="261" w:lineRule="auto"/>
        <w:tabs>
          <w:tab w:leader="none" w:pos="121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Resignation for Good Reason.</w:t>
      </w:r>
      <w:r>
        <w:rPr>
          <w:rFonts w:ascii="Times New Roman" w:cs="Times New Roman" w:eastAsia="Times New Roman" w:hAnsi="Times New Roman"/>
          <w:sz w:val="18"/>
          <w:szCs w:val="18"/>
          <w:color w:val="auto"/>
        </w:rPr>
        <w:t xml:space="preserve"> If the Employee’s employment with the Company is terminated by the Company without Cause (as defined in Section 4.3), or by the Employee’s voluntary resignation for Good Reason (as defined in Section 4.2), other than in connection with a Change in Control (as defined in Section 7.2(a)), then the Employee shall be paid all accrued and unpaid base salary and any accrued but unused vacation through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6" w:name="page117"/>
    <w:bookmarkEnd w:id="116"/>
    <w:p>
      <w:pPr>
        <w:ind w:left="1220" w:hanging="178"/>
        <w:spacing w:after="0"/>
        <w:tabs>
          <w:tab w:leader="none" w:pos="12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Death or Disability.</w:t>
      </w:r>
    </w:p>
    <w:p>
      <w:pPr>
        <w:spacing w:after="0" w:line="225" w:lineRule="exact"/>
        <w:rPr>
          <w:sz w:val="20"/>
          <w:szCs w:val="20"/>
          <w:color w:val="auto"/>
        </w:rPr>
      </w:pPr>
    </w:p>
    <w:p>
      <w:pPr>
        <w:jc w:val="both"/>
        <w:ind w:right="260" w:firstLine="1400"/>
        <w:spacing w:after="0" w:line="266" w:lineRule="auto"/>
        <w:rPr>
          <w:sz w:val="20"/>
          <w:szCs w:val="20"/>
          <w:color w:val="auto"/>
        </w:rPr>
      </w:pPr>
      <w:r>
        <w:rPr>
          <w:rFonts w:ascii="Times New Roman" w:cs="Times New Roman" w:eastAsia="Times New Roman" w:hAnsi="Times New Roman"/>
          <w:sz w:val="18"/>
          <w:szCs w:val="18"/>
          <w:color w:val="auto"/>
        </w:rPr>
        <w:t>6.1 If the Employee’s employment with the Company is terminated by reason of the Employee’s death or Disability (as defined below), then the Employee (or her estate, if applicable) shall be paid, within thirty (30) days of the date of the Employee’s death or determination of Disability, all accrued and unpaid base salary and any accrued but unused vacation through the date of termination.</w:t>
      </w:r>
    </w:p>
    <w:p>
      <w:pPr>
        <w:spacing w:after="0" w:line="176" w:lineRule="exact"/>
        <w:rPr>
          <w:sz w:val="20"/>
          <w:szCs w:val="20"/>
          <w:color w:val="auto"/>
        </w:rPr>
      </w:pPr>
    </w:p>
    <w:p>
      <w:pPr>
        <w:ind w:right="240" w:firstLine="1400"/>
        <w:spacing w:after="0" w:line="266" w:lineRule="auto"/>
        <w:rPr>
          <w:sz w:val="20"/>
          <w:szCs w:val="20"/>
          <w:color w:val="auto"/>
        </w:rPr>
      </w:pPr>
      <w:r>
        <w:rPr>
          <w:rFonts w:ascii="Times New Roman" w:cs="Times New Roman" w:eastAsia="Times New Roman" w:hAnsi="Times New Roman"/>
          <w:sz w:val="18"/>
          <w:szCs w:val="18"/>
          <w:color w:val="auto"/>
        </w:rPr>
        <w:t>6.2 For purposes of this Agreement, “Disability” shall mean the Employee's absence from the full-time performance of the Employee’s duties with the Company for 180 consecutive calendar days as a result of incapacity due to mental or physical illness which is determined to be total and permanent by a physician selected by the Company or its insurers and acceptable to the Employee or the Employee’s legal representative.</w:t>
      </w:r>
    </w:p>
    <w:p>
      <w:pPr>
        <w:spacing w:after="0" w:line="1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7. Termination Following Change of Control.</w:t>
      </w:r>
    </w:p>
    <w:p>
      <w:pPr>
        <w:spacing w:after="0" w:line="225" w:lineRule="exact"/>
        <w:rPr>
          <w:sz w:val="20"/>
          <w:szCs w:val="20"/>
          <w:color w:val="auto"/>
        </w:rPr>
      </w:pPr>
    </w:p>
    <w:p>
      <w:pPr>
        <w:ind w:right="20" w:firstLine="1400"/>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Benefits to Employee Upon a Change of Control Termination</w:t>
      </w:r>
      <w:r>
        <w:rPr>
          <w:rFonts w:ascii="Times New Roman" w:cs="Times New Roman" w:eastAsia="Times New Roman" w:hAnsi="Times New Roman"/>
          <w:sz w:val="18"/>
          <w:szCs w:val="18"/>
          <w:color w:val="auto"/>
        </w:rPr>
        <w:t>. In the event of a Change of Control Termination (as defined in Section 7.2(c) below), the Employee shall be entitled to all accrued and unpaid base salary and any accrued but unused vacation through the date of termination. In addition, subject to the Employee’s execution and non- revocation of a binding severance and mutual release agreement in a form satisfactory to the Company (hereinafter, a “Severance Agreement”) and subject to the terms and conditions of Section 19 of this Agreement, the Employee shall be eligible to receive the following separation benefits:</w:t>
      </w:r>
    </w:p>
    <w:p>
      <w:pPr>
        <w:spacing w:after="0" w:line="184" w:lineRule="exact"/>
        <w:rPr>
          <w:sz w:val="20"/>
          <w:szCs w:val="20"/>
          <w:color w:val="auto"/>
        </w:rPr>
      </w:pPr>
    </w:p>
    <w:p>
      <w:pPr>
        <w:ind w:firstLine="1803"/>
        <w:spacing w:after="0" w:line="255" w:lineRule="auto"/>
        <w:tabs>
          <w:tab w:leader="none" w:pos="20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(i) one twelfth (1/12) of the Employee’s then-current annualized base salary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Employee’s employment is terminated by the Employee’s voluntary resignation for Good Reason as a result of the Company’s material reduction of the Employee’s base salary, then the Employee’s then- current annualized base salary shall refer to her base salary as in effect immediately before such material reduction took effect) and (ii) six (6), less any amounts required to be withheld under applicable law, which amount shall be payable, in full and in a lump-sum cash payment on the Payment Commencement Date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Employee’s date of termination occurs prior to the closing of the Change of Control, then the amount payable hereunder shall instead be paid in six (6) substantially equal monthly installments, in accordance with the Company’s payroll practices in effect from time to time beginning on the Payment Commencement Date;</w:t>
      </w:r>
    </w:p>
    <w:p>
      <w:pPr>
        <w:spacing w:after="0" w:line="189" w:lineRule="exact"/>
        <w:rPr>
          <w:rFonts w:ascii="Times New Roman" w:cs="Times New Roman" w:eastAsia="Times New Roman" w:hAnsi="Times New Roman"/>
          <w:sz w:val="18"/>
          <w:szCs w:val="18"/>
          <w:color w:val="auto"/>
        </w:rPr>
      </w:pPr>
    </w:p>
    <w:p>
      <w:pPr>
        <w:ind w:right="100" w:firstLine="1803"/>
        <w:spacing w:after="0" w:line="255" w:lineRule="auto"/>
        <w:tabs>
          <w:tab w:leader="none" w:pos="20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bonus for the prior year that was approved but not yet paid to the Employee at the time of the Employee’s termination of employment, less any amounts required to be withheld under applicable law, which amount shall be paid in a manner and timing consistent with the payments to other similarly situated employees and consistent with the requirements of Section 409A of the Internal Revenue Code of 1986, as amended (the “Code”) but in no event later than March 15 of the year following the year of performance; provided, with respect to the separation benefits described in both Sections 7.1(a) and (b), that the Severance Agreement has been executed and any applicable revocation period with respect thereto has expired within sixty (60) days following the Employee’s date of termination (such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the “Payment Commencement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Employee’s date of termination occurs in the calendar year following the year of termination, then the Payment Commencement Date shall be no earlier than January 1 of the year following the year of termination;</w:t>
      </w:r>
    </w:p>
    <w:p>
      <w:pPr>
        <w:spacing w:after="0" w:line="185" w:lineRule="exact"/>
        <w:rPr>
          <w:rFonts w:ascii="Times New Roman" w:cs="Times New Roman" w:eastAsia="Times New Roman" w:hAnsi="Times New Roman"/>
          <w:sz w:val="18"/>
          <w:szCs w:val="18"/>
          <w:color w:val="auto"/>
        </w:rPr>
      </w:pPr>
    </w:p>
    <w:p>
      <w:pPr>
        <w:ind w:right="20" w:firstLine="1803"/>
        <w:spacing w:after="0" w:line="255" w:lineRule="auto"/>
        <w:tabs>
          <w:tab w:leader="none" w:pos="20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Employee’s termination from employment pursuant to this Section 7, the Company shall make contributions to the cost of COBRA (Consolidated Omnibus Budget Reconciliation Act) coverage on behalf of the Employee and any applicable dependents for a period of six (6) months after the Employee’s termination if the Employee elects COBRA coverage, and only for so long as such coverage continues in force; provided, however, that if the Employee commences new employment and is eligible for a new group health plan, the Company’s contributions toward COBRA coverage shall end when the new employment begins. The cost of COBRA shall be determined on the same basis as the Company’s contribution to Company-provided health and dental insurance coverage in effect immediately before termination of the Employee’s employment for an active employee with the same coverage elections. At the end of the six (6) month period, the Employee may continue such COBRA, if applicable, and shall be responsible for all premiums thereafter; and</w:t>
      </w:r>
    </w:p>
    <w:p>
      <w:pPr>
        <w:spacing w:after="0" w:line="185" w:lineRule="exact"/>
        <w:rPr>
          <w:rFonts w:ascii="Times New Roman" w:cs="Times New Roman" w:eastAsia="Times New Roman" w:hAnsi="Times New Roman"/>
          <w:sz w:val="18"/>
          <w:szCs w:val="18"/>
          <w:color w:val="auto"/>
        </w:rPr>
      </w:pPr>
    </w:p>
    <w:p>
      <w:pPr>
        <w:ind w:right="20" w:firstLine="1803"/>
        <w:spacing w:after="0" w:line="266" w:lineRule="auto"/>
        <w:tabs>
          <w:tab w:leader="none" w:pos="205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and immediate vesting of any equity awards subject to time- based vesting that are outstanding at the time of the termination of the Employee’s employment. Any of the Employee’s outstanding awards at the time of the termination will remain exercisable following termination to the extent set forth in the applicable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Key Definitions</w:t>
      </w:r>
      <w:r>
        <w:rPr>
          <w:rFonts w:ascii="Times New Roman" w:cs="Times New Roman" w:eastAsia="Times New Roman" w:hAnsi="Times New Roman"/>
          <w:sz w:val="18"/>
          <w:szCs w:val="18"/>
          <w:color w:val="auto"/>
        </w:rPr>
        <w:t>. As used herein, the following terms shall have the following respective meanings:</w:t>
      </w:r>
    </w:p>
    <w:p>
      <w:pPr>
        <w:spacing w:after="0" w:line="225" w:lineRule="exact"/>
        <w:rPr>
          <w:sz w:val="20"/>
          <w:szCs w:val="20"/>
          <w:color w:val="auto"/>
        </w:rPr>
      </w:pPr>
    </w:p>
    <w:p>
      <w:pPr>
        <w:ind w:right="160" w:firstLine="1803"/>
        <w:spacing w:after="0" w:line="266" w:lineRule="auto"/>
        <w:tabs>
          <w:tab w:leader="none" w:pos="20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 event or occurrence set forth in any one or more of subsections (i) through (iii) below (including an event or occurrence that constitutes a Change in Control under one of such subsections but is specifically exempted from another such subsection), provided that such event constitutes a “change in control event” within the meaning of Treasury Regulation Section 1.409A-3(i)(5)(i):</w:t>
      </w:r>
    </w:p>
    <w:p>
      <w:pPr>
        <w:spacing w:after="0" w:line="176" w:lineRule="exact"/>
        <w:rPr>
          <w:sz w:val="20"/>
          <w:szCs w:val="20"/>
          <w:color w:val="auto"/>
        </w:rPr>
      </w:pPr>
    </w:p>
    <w:p>
      <w:pPr>
        <w:ind w:firstLine="1803"/>
        <w:spacing w:after="0" w:line="258" w:lineRule="auto"/>
        <w:tabs>
          <w:tab w:leader="none" w:pos="20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more than 50%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or</w:t>
      </w:r>
    </w:p>
    <w:p>
      <w:pPr>
        <w:spacing w:after="0" w:line="183" w:lineRule="exact"/>
        <w:rPr>
          <w:rFonts w:ascii="Times New Roman" w:cs="Times New Roman" w:eastAsia="Times New Roman" w:hAnsi="Times New Roman"/>
          <w:sz w:val="18"/>
          <w:szCs w:val="18"/>
          <w:color w:val="auto"/>
        </w:rPr>
      </w:pPr>
    </w:p>
    <w:p>
      <w:pPr>
        <w:ind w:right="20" w:firstLine="1803"/>
        <w:spacing w:after="0" w:line="255" w:lineRule="auto"/>
        <w:tabs>
          <w:tab w:leader="none" w:pos="20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reorganization, recapitalization or share exchange involving the Company or a sale or other disposition of all or substantially all of the assets of the Company in one or a series of transactions (a “Business Combination”), unless, immediately following such Business Combination,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w:t>
      </w:r>
    </w:p>
    <w:p>
      <w:pPr>
        <w:spacing w:after="0" w:line="18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Corporation”) in substantially the same proportions as their ownership, immediately prior to such Business Combination, of the Outstanding Company Common Stock and Outstanding Company Voting Securities, respectively; or</w:t>
      </w:r>
    </w:p>
    <w:p>
      <w:pPr>
        <w:spacing w:after="0" w:line="162" w:lineRule="exact"/>
        <w:rPr>
          <w:sz w:val="20"/>
          <w:szCs w:val="20"/>
          <w:color w:val="auto"/>
        </w:rPr>
      </w:pPr>
    </w:p>
    <w:p>
      <w:pPr>
        <w:ind w:left="2120" w:hanging="317"/>
        <w:spacing w:after="0"/>
        <w:tabs>
          <w:tab w:leader="none" w:pos="212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Company of a complete or substantially complete liquidation or dissolution of the Company.</w:t>
      </w:r>
    </w:p>
    <w:p>
      <w:pPr>
        <w:spacing w:after="0" w:line="225" w:lineRule="exact"/>
        <w:rPr>
          <w:rFonts w:ascii="Times New Roman" w:cs="Times New Roman" w:eastAsia="Times New Roman" w:hAnsi="Times New Roman"/>
          <w:sz w:val="18"/>
          <w:szCs w:val="18"/>
          <w:color w:val="auto"/>
        </w:rPr>
      </w:pPr>
    </w:p>
    <w:p>
      <w:pPr>
        <w:ind w:firstLine="1408"/>
        <w:spacing w:after="0" w:line="256" w:lineRule="auto"/>
        <w:tabs>
          <w:tab w:leader="none" w:pos="165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Date</w:t>
      </w:r>
      <w:r>
        <w:rPr>
          <w:rFonts w:ascii="Times New Roman" w:cs="Times New Roman" w:eastAsia="Times New Roman" w:hAnsi="Times New Roman"/>
          <w:sz w:val="18"/>
          <w:szCs w:val="18"/>
          <w:color w:val="auto"/>
        </w:rPr>
        <w:t>” means the first date during the period of time the Employee is employed pursuant to this Agreement on which a Change in Control occurs. Anything in this Agreement to the contrary notwithstanding, if (a) a Change in Control occurs, (b) the Employee’s employment with the Company is terminated prior to the date on which the Change in Control occurs, and (c) it is reasonably demonstrated by the Employee that such termination of employment (i) was at the request of a third party who has taken steps reasonably calculated to effect a Change in Control or (ii) otherwise arose in connection with or in anticipation of a Change in Control, then for all purposes of this Agreement the “Change in Control Date” shall mean the date immediately prior to the date of such termination of employment.</w:t>
      </w:r>
    </w:p>
    <w:p>
      <w:pPr>
        <w:spacing w:after="0" w:line="187" w:lineRule="exact"/>
        <w:rPr>
          <w:rFonts w:ascii="Times New Roman" w:cs="Times New Roman" w:eastAsia="Times New Roman" w:hAnsi="Times New Roman"/>
          <w:sz w:val="18"/>
          <w:szCs w:val="18"/>
          <w:color w:val="auto"/>
        </w:rPr>
      </w:pPr>
    </w:p>
    <w:p>
      <w:pPr>
        <w:ind w:right="400" w:firstLine="1408"/>
        <w:spacing w:after="0" w:line="282" w:lineRule="auto"/>
        <w:tabs>
          <w:tab w:leader="none" w:pos="169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Termination</w:t>
      </w:r>
      <w:r>
        <w:rPr>
          <w:rFonts w:ascii="Times New Roman" w:cs="Times New Roman" w:eastAsia="Times New Roman" w:hAnsi="Times New Roman"/>
          <w:sz w:val="18"/>
          <w:szCs w:val="18"/>
          <w:color w:val="auto"/>
        </w:rPr>
        <w:t xml:space="preserve"> occurs where the Employee is terminated without Cause (as defined in Section 4.3) or resigns for Good Reason (as defined in Section 4.2), in either case within twelve (12) months following the Change in Control Date.</w:t>
      </w:r>
    </w:p>
    <w:p>
      <w:pPr>
        <w:spacing w:after="0" w:line="161" w:lineRule="exact"/>
        <w:rPr>
          <w:rFonts w:ascii="Times New Roman" w:cs="Times New Roman" w:eastAsia="Times New Roman" w:hAnsi="Times New Roman"/>
          <w:sz w:val="18"/>
          <w:szCs w:val="18"/>
          <w:color w:val="auto"/>
        </w:rPr>
      </w:pPr>
    </w:p>
    <w:p>
      <w:pPr>
        <w:ind w:right="540" w:firstLine="526"/>
        <w:spacing w:after="0" w:line="282" w:lineRule="auto"/>
        <w:tabs>
          <w:tab w:leader="none" w:pos="69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The Employee shall not be required to mitigate the amount of any payment or benefits provided for in Section 7 by seeking other employment or otherwise except with regard to medical and dental coverage if new employment is obtained.</w:t>
      </w:r>
    </w:p>
    <w:p>
      <w:pPr>
        <w:spacing w:after="0" w:line="161" w:lineRule="exact"/>
        <w:rPr>
          <w:rFonts w:ascii="Times New Roman" w:cs="Times New Roman" w:eastAsia="Times New Roman" w:hAnsi="Times New Roman"/>
          <w:sz w:val="18"/>
          <w:szCs w:val="18"/>
          <w:color w:val="auto"/>
        </w:rPr>
      </w:pPr>
    </w:p>
    <w:p>
      <w:pPr>
        <w:ind w:left="760" w:hanging="234"/>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Section 7 shall survive the termination of this Agreement for any reason.</w:t>
      </w:r>
    </w:p>
    <w:p>
      <w:pPr>
        <w:spacing w:after="0" w:line="225" w:lineRule="exact"/>
        <w:rPr>
          <w:rFonts w:ascii="Times New Roman" w:cs="Times New Roman" w:eastAsia="Times New Roman" w:hAnsi="Times New Roman"/>
          <w:sz w:val="18"/>
          <w:szCs w:val="18"/>
          <w:color w:val="auto"/>
        </w:rPr>
      </w:pPr>
    </w:p>
    <w:p>
      <w:pPr>
        <w:ind w:right="20" w:firstLine="526"/>
        <w:spacing w:after="0" w:line="282" w:lineRule="auto"/>
        <w:tabs>
          <w:tab w:leader="none" w:pos="78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 and Non-Disclosure Agreement</w:t>
      </w:r>
      <w:r>
        <w:rPr>
          <w:rFonts w:ascii="Times New Roman" w:cs="Times New Roman" w:eastAsia="Times New Roman" w:hAnsi="Times New Roman"/>
          <w:sz w:val="18"/>
          <w:szCs w:val="18"/>
          <w:color w:val="auto"/>
        </w:rPr>
        <w:t>. The Employee and the Company shall enter into the Invention and Non-Disclosure Agreement attached hereto as Exhibit A, effective as of the Commencement Date.</w:t>
      </w:r>
    </w:p>
    <w:p>
      <w:pPr>
        <w:spacing w:after="0" w:line="161" w:lineRule="exact"/>
        <w:rPr>
          <w:rFonts w:ascii="Times New Roman" w:cs="Times New Roman" w:eastAsia="Times New Roman" w:hAnsi="Times New Roman"/>
          <w:sz w:val="18"/>
          <w:szCs w:val="18"/>
          <w:color w:val="auto"/>
        </w:rPr>
      </w:pPr>
    </w:p>
    <w:p>
      <w:pPr>
        <w:ind w:right="100" w:firstLine="526"/>
        <w:spacing w:after="0" w:line="261" w:lineRule="auto"/>
        <w:tabs>
          <w:tab w:leader="none" w:pos="78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Immigration Reform and Control Act</w:t>
      </w:r>
      <w:r>
        <w:rPr>
          <w:rFonts w:ascii="Times New Roman" w:cs="Times New Roman" w:eastAsia="Times New Roman" w:hAnsi="Times New Roman"/>
          <w:sz w:val="18"/>
          <w:szCs w:val="18"/>
          <w:color w:val="auto"/>
        </w:rPr>
        <w:t>. On the Commencement Date, the Employee shall complete, as required by law, the Employment Eligibility Verification Form I-9 and shall provide the Company with appropriate documents to establish the Employee’s eligibility to work in the United States (e.g., Social Security card and driver’s license, or United States passport). The Employee’s employment is contingent upon the Employee’s ability to provide the Company with satisfactory proof of the Employee’s identity and authorization to work in the United States.</w:t>
      </w:r>
    </w:p>
    <w:p>
      <w:pPr>
        <w:spacing w:after="0" w:line="180" w:lineRule="exact"/>
        <w:rPr>
          <w:rFonts w:ascii="Times New Roman" w:cs="Times New Roman" w:eastAsia="Times New Roman" w:hAnsi="Times New Roman"/>
          <w:sz w:val="18"/>
          <w:szCs w:val="18"/>
          <w:color w:val="auto"/>
        </w:rPr>
      </w:pPr>
    </w:p>
    <w:p>
      <w:pPr>
        <w:ind w:right="320" w:firstLine="526"/>
        <w:spacing w:after="0" w:line="258" w:lineRule="auto"/>
        <w:tabs>
          <w:tab w:leader="none" w:pos="78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delivered under this Agreement shall be deemed duly delivered three (3) business days after it is sent by registered or certified mail, return receipt requested, postage prepaid, or one (1) business day after it is sent for next-business day delivery signature required via a reputable nationwide overnight courier service, to the Company’s address set forth in the introductory paragraph hereto or to the home address of the Employee then on file with the Company, as applicable. Either party may change the address to which notices are to be delivered by giving notice of such change to the other party in the manner set forth in this Section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8" w:name="page119"/>
    <w:bookmarkEnd w:id="118"/>
    <w:p>
      <w:pPr>
        <w:ind w:left="-526" w:right="80" w:firstLine="526"/>
        <w:spacing w:after="0" w:line="282" w:lineRule="auto"/>
        <w:tabs>
          <w:tab w:leader="none" w:pos="26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Pronouns</w:t>
      </w:r>
      <w:r>
        <w:rPr>
          <w:rFonts w:ascii="Times New Roman" w:cs="Times New Roman" w:eastAsia="Times New Roman" w:hAnsi="Times New Roman"/>
          <w:sz w:val="18"/>
          <w:szCs w:val="18"/>
          <w:color w:val="auto"/>
        </w:rPr>
        <w:t>. Whenever the context may require, any pronouns used in this Agreement shall include the corresponding masculine, feminine or neuter forms, and the singular forms of nouns and pronouns shall include the plural, and vice versa.</w:t>
      </w:r>
    </w:p>
    <w:p>
      <w:pPr>
        <w:spacing w:after="0" w:line="161" w:lineRule="exact"/>
        <w:rPr>
          <w:rFonts w:ascii="Times New Roman" w:cs="Times New Roman" w:eastAsia="Times New Roman" w:hAnsi="Times New Roman"/>
          <w:sz w:val="18"/>
          <w:szCs w:val="18"/>
          <w:color w:val="auto"/>
        </w:rPr>
      </w:pPr>
    </w:p>
    <w:p>
      <w:pPr>
        <w:ind w:left="-526" w:right="80" w:firstLine="526"/>
        <w:spacing w:after="0" w:line="282" w:lineRule="auto"/>
        <w:tabs>
          <w:tab w:leader="none" w:pos="30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all exhibits hereto constitute the entire agreement between the parties and supersedes all prior agreements and understandings, whether written or oral, relating to the subject matter of this Agreement.</w:t>
      </w:r>
    </w:p>
    <w:p>
      <w:pPr>
        <w:spacing w:after="0" w:line="161" w:lineRule="exact"/>
        <w:rPr>
          <w:rFonts w:ascii="Times New Roman" w:cs="Times New Roman" w:eastAsia="Times New Roman" w:hAnsi="Times New Roman"/>
          <w:sz w:val="18"/>
          <w:szCs w:val="18"/>
          <w:color w:val="auto"/>
        </w:rPr>
      </w:pPr>
    </w:p>
    <w:p>
      <w:pPr>
        <w:ind w:left="274" w:hanging="274"/>
        <w:spacing w:after="0"/>
        <w:tabs>
          <w:tab w:leader="none" w:pos="27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executed by both the Company and the Employee.</w:t>
      </w:r>
    </w:p>
    <w:p>
      <w:pPr>
        <w:spacing w:after="0" w:line="225" w:lineRule="exact"/>
        <w:rPr>
          <w:rFonts w:ascii="Times New Roman" w:cs="Times New Roman" w:eastAsia="Times New Roman" w:hAnsi="Times New Roman"/>
          <w:sz w:val="18"/>
          <w:szCs w:val="18"/>
          <w:color w:val="auto"/>
        </w:rPr>
      </w:pPr>
    </w:p>
    <w:p>
      <w:pPr>
        <w:ind w:left="-526" w:firstLine="526"/>
        <w:spacing w:after="0" w:line="258" w:lineRule="auto"/>
        <w:tabs>
          <w:tab w:leader="none" w:pos="26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Employee each consents to the jurisdiction of such a court. The Company and the Employee each hereby irrevocably waive any right to a trial by jury in any action, suit or other legal proceeding arising under or relating to any provision of this Agreement.</w:t>
      </w:r>
    </w:p>
    <w:p>
      <w:pPr>
        <w:spacing w:after="0" w:line="183" w:lineRule="exact"/>
        <w:rPr>
          <w:rFonts w:ascii="Times New Roman" w:cs="Times New Roman" w:eastAsia="Times New Roman" w:hAnsi="Times New Roman"/>
          <w:sz w:val="18"/>
          <w:szCs w:val="18"/>
          <w:color w:val="auto"/>
        </w:rPr>
      </w:pPr>
    </w:p>
    <w:p>
      <w:pPr>
        <w:ind w:left="-526" w:right="20" w:firstLine="526"/>
        <w:spacing w:after="0" w:line="266" w:lineRule="auto"/>
        <w:tabs>
          <w:tab w:leader="none" w:pos="30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Employee are personal and shall not be assigned by her.</w:t>
      </w:r>
    </w:p>
    <w:p>
      <w:pPr>
        <w:spacing w:after="0" w:line="176" w:lineRule="exact"/>
        <w:rPr>
          <w:rFonts w:ascii="Times New Roman" w:cs="Times New Roman" w:eastAsia="Times New Roman" w:hAnsi="Times New Roman"/>
          <w:sz w:val="18"/>
          <w:szCs w:val="18"/>
          <w:color w:val="auto"/>
        </w:rPr>
      </w:pPr>
    </w:p>
    <w:p>
      <w:pPr>
        <w:ind w:left="-526" w:right="340" w:firstLine="526"/>
        <w:spacing w:after="0" w:line="266" w:lineRule="auto"/>
        <w:tabs>
          <w:tab w:leader="none" w:pos="26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Employee states and represents that she has had an opportunity to fully discuss and review the terms of this Agreement with an attorney. The Employee further states and represents that she has carefully read this Agreement, understands the contents herein, freely and voluntarily assents to all of the terms and conditions hereof, and signs her name of her own free act.</w:t>
      </w:r>
    </w:p>
    <w:p>
      <w:pPr>
        <w:spacing w:after="0" w:line="176" w:lineRule="exact"/>
        <w:rPr>
          <w:rFonts w:ascii="Times New Roman" w:cs="Times New Roman" w:eastAsia="Times New Roman" w:hAnsi="Times New Roman"/>
          <w:sz w:val="18"/>
          <w:szCs w:val="18"/>
          <w:color w:val="auto"/>
        </w:rPr>
      </w:pPr>
    </w:p>
    <w:p>
      <w:pPr>
        <w:ind w:left="-526" w:right="140" w:firstLine="526"/>
        <w:spacing w:after="0" w:line="261" w:lineRule="auto"/>
        <w:tabs>
          <w:tab w:leader="none" w:pos="26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Subject to Section 409A</w:t>
      </w:r>
      <w:r>
        <w:rPr>
          <w:rFonts w:ascii="Times New Roman" w:cs="Times New Roman" w:eastAsia="Times New Roman" w:hAnsi="Times New Roman"/>
          <w:sz w:val="18"/>
          <w:szCs w:val="18"/>
          <w:color w:val="auto"/>
        </w:rPr>
        <w:t>. Subject to the provisions in this Section 18, any severance payments or benefits under this Agreement shall begin only upon the date of the Employee’s “separation from service” (determined as set forth below) which occurs on or after the date of termination of the Employee’s employment. The following rules shall apply with respect to distribution of the payments and benefits, if any, to be provided to the Employee under this Agreement:</w:t>
      </w:r>
    </w:p>
    <w:p>
      <w:pPr>
        <w:spacing w:after="0" w:line="180" w:lineRule="exact"/>
        <w:rPr>
          <w:rFonts w:ascii="Times New Roman" w:cs="Times New Roman" w:eastAsia="Times New Roman" w:hAnsi="Times New Roman"/>
          <w:sz w:val="18"/>
          <w:szCs w:val="18"/>
          <w:color w:val="auto"/>
        </w:rPr>
      </w:pPr>
    </w:p>
    <w:p>
      <w:pPr>
        <w:ind w:left="-526" w:right="80" w:firstLine="1803"/>
        <w:spacing w:after="0" w:line="261" w:lineRule="auto"/>
        <w:tabs>
          <w:tab w:leader="none" w:pos="151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each installment of the severance payments and benefits provided under this Agreement shall be treated as a separate “payment” for purposes of Section 409A of the Code and the guidance issued thereunder (“Section 409A”). Neither the Company nor the Employee shall have the right to accelerate or defer the delivery of any such payments or benefits except to the extent specifically permitted or required by Section 409A.</w:t>
      </w:r>
    </w:p>
    <w:p>
      <w:pPr>
        <w:spacing w:after="0" w:line="180" w:lineRule="exact"/>
        <w:rPr>
          <w:rFonts w:ascii="Times New Roman" w:cs="Times New Roman" w:eastAsia="Times New Roman" w:hAnsi="Times New Roman"/>
          <w:sz w:val="18"/>
          <w:szCs w:val="18"/>
          <w:color w:val="auto"/>
        </w:rPr>
      </w:pPr>
    </w:p>
    <w:p>
      <w:pPr>
        <w:ind w:left="-526" w:right="280" w:firstLine="1803"/>
        <w:spacing w:after="0" w:line="266" w:lineRule="auto"/>
        <w:tabs>
          <w:tab w:leader="none" w:pos="152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date of the Employee’s “separation from service” from the Company, the Employee is not a “specified employee” (within the meaning of Section 409A), then each installment of the severance payments and benefits shall be made on the dates and terms set forth in this Agreement.</w:t>
      </w:r>
    </w:p>
    <w:p>
      <w:pPr>
        <w:spacing w:after="0" w:line="176" w:lineRule="exact"/>
        <w:rPr>
          <w:rFonts w:ascii="Times New Roman" w:cs="Times New Roman" w:eastAsia="Times New Roman" w:hAnsi="Times New Roman"/>
          <w:sz w:val="18"/>
          <w:szCs w:val="18"/>
          <w:color w:val="auto"/>
        </w:rPr>
      </w:pPr>
    </w:p>
    <w:p>
      <w:pPr>
        <w:ind w:left="-526" w:firstLine="1803"/>
        <w:spacing w:after="0" w:line="282" w:lineRule="auto"/>
        <w:tabs>
          <w:tab w:leader="none" w:pos="151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date of the Employee’s “separation from service” from the Company, the Employee is a “specified employee” (within the meaning of Section 409A), then:</w:t>
      </w:r>
    </w:p>
    <w:p>
      <w:pPr>
        <w:spacing w:after="0" w:line="161" w:lineRule="exact"/>
        <w:rPr>
          <w:rFonts w:ascii="Times New Roman" w:cs="Times New Roman" w:eastAsia="Times New Roman" w:hAnsi="Times New Roman"/>
          <w:sz w:val="18"/>
          <w:szCs w:val="18"/>
          <w:color w:val="auto"/>
        </w:rPr>
      </w:pPr>
    </w:p>
    <w:p>
      <w:pPr>
        <w:ind w:left="-526" w:right="280" w:firstLine="2169"/>
        <w:spacing w:after="0" w:line="261" w:lineRule="auto"/>
        <w:tabs>
          <w:tab w:leader="none" w:pos="185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 1.409A-1(b)(4) to the maximum extent permissible under Section 409A and shall be paid in the manner (and at the times) set forth in this agreement; and</w:t>
      </w:r>
    </w:p>
    <w:p>
      <w:pPr>
        <w:spacing w:after="0" w:line="180" w:lineRule="exact"/>
        <w:rPr>
          <w:rFonts w:ascii="Times New Roman" w:cs="Times New Roman" w:eastAsia="Times New Roman" w:hAnsi="Times New Roman"/>
          <w:sz w:val="18"/>
          <w:szCs w:val="18"/>
          <w:color w:val="auto"/>
        </w:rPr>
      </w:pPr>
    </w:p>
    <w:p>
      <w:pPr>
        <w:ind w:left="-526" w:right="40" w:firstLine="2169"/>
        <w:spacing w:after="0" w:line="254" w:lineRule="auto"/>
        <w:tabs>
          <w:tab w:leader="none" w:pos="190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installment of the severance payments and benefits due under this Agreement that is not described in paragraph c(i) above and that would, absent this subsection, be paid within the six-month period following the Employee’s “separation from service” from the Company shall not be paid until the date that is six months and one day after such separation from service (or, if earlier, the Employee’s death), with any such installments that are required to be delayed being accumulated during the six-month period and paid in a lump sum on the date that is six months and one day following the Employee’s separation from service and any subsequent installments, if any, being paid in accordance with the dates and terms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preceding provisions of this sentence shall not apply to any installment of severance payments and benefits if and to the maximum extent that that such installment is deemed to be paid under a separation pay plan that does not provide for a deferral of compensation by reason of the application of Treasury Regulation § 1.409A- 1(b)(9)(iii) (relating to separation pay upon an involuntary separation from service). Any installments that qualify for the exception under Treasury Regulation § 1.409A-1(b)(9)(iii) must be paid no later than the last day of the Employee’s second taxable year following the taxable year in which the separation from service occurs.</w:t>
      </w:r>
    </w:p>
    <w:p>
      <w:pPr>
        <w:spacing w:after="0" w:line="186" w:lineRule="exact"/>
        <w:rPr>
          <w:rFonts w:ascii="Times New Roman" w:cs="Times New Roman" w:eastAsia="Times New Roman" w:hAnsi="Times New Roman"/>
          <w:sz w:val="18"/>
          <w:szCs w:val="18"/>
          <w:color w:val="auto"/>
        </w:rPr>
      </w:pPr>
    </w:p>
    <w:p>
      <w:pPr>
        <w:ind w:left="-526" w:right="80" w:firstLine="1803"/>
        <w:spacing w:after="0" w:line="282" w:lineRule="auto"/>
        <w:tabs>
          <w:tab w:leader="none" w:pos="151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whether and when the Employee’s separation from service from the Company has occurred shall be made and in a manner consistent with, and based on the presumptions set forth in, Treasury Regulation § 1.409A-1(h).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33020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74"/>
          </w:cols>
          <w:pgMar w:left="766" w:top="337" w:right="259" w:bottom="1440" w:gutter="0" w:footer="0" w:header="0"/>
        </w:sectPr>
      </w:pPr>
    </w:p>
    <w:bookmarkStart w:id="119" w:name="page120"/>
    <w:bookmarkEnd w:id="119"/>
    <w:p>
      <w:pPr>
        <w:ind w:right="140" w:firstLine="1803"/>
        <w:spacing w:after="0" w:line="256" w:lineRule="auto"/>
        <w:tabs>
          <w:tab w:leader="none" w:pos="20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Employee’s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87" w:lineRule="exact"/>
        <w:rPr>
          <w:rFonts w:ascii="Times New Roman" w:cs="Times New Roman" w:eastAsia="Times New Roman" w:hAnsi="Times New Roman"/>
          <w:sz w:val="18"/>
          <w:szCs w:val="18"/>
          <w:color w:val="auto"/>
        </w:rPr>
      </w:pPr>
    </w:p>
    <w:p>
      <w:pPr>
        <w:ind w:right="20" w:firstLine="1803"/>
        <w:spacing w:after="0" w:line="282" w:lineRule="auto"/>
        <w:tabs>
          <w:tab w:leader="none" w:pos="2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have no liability to the Employee or to any other person if the payments and benefits provided hereunder that are intended to be exempt from or compliant with Section 409A are not so exempt or compliant.</w:t>
      </w:r>
    </w:p>
    <w:p>
      <w:pPr>
        <w:spacing w:after="0" w:line="161" w:lineRule="exact"/>
        <w:rPr>
          <w:rFonts w:ascii="Times New Roman" w:cs="Times New Roman" w:eastAsia="Times New Roman" w:hAnsi="Times New Roman"/>
          <w:sz w:val="18"/>
          <w:szCs w:val="18"/>
          <w:color w:val="auto"/>
        </w:rPr>
      </w:pPr>
    </w:p>
    <w:p>
      <w:pPr>
        <w:ind w:left="800" w:hanging="274"/>
        <w:spacing w:after="0"/>
        <w:tabs>
          <w:tab w:leader="none" w:pos="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140" w:firstLine="1034"/>
        <w:spacing w:after="0" w:line="266" w:lineRule="auto"/>
        <w:rPr>
          <w:sz w:val="20"/>
          <w:szCs w:val="20"/>
          <w:color w:val="auto"/>
        </w:rPr>
      </w:pPr>
      <w:r>
        <w:rPr>
          <w:rFonts w:ascii="Times New Roman" w:cs="Times New Roman" w:eastAsia="Times New Roman" w:hAnsi="Times New Roman"/>
          <w:sz w:val="18"/>
          <w:szCs w:val="18"/>
          <w:color w:val="auto"/>
        </w:rPr>
        <w:t>20.1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76" w:lineRule="exact"/>
        <w:rPr>
          <w:sz w:val="20"/>
          <w:szCs w:val="20"/>
          <w:color w:val="auto"/>
        </w:rPr>
      </w:pPr>
    </w:p>
    <w:p>
      <w:pPr>
        <w:ind w:right="380" w:firstLine="1034"/>
        <w:spacing w:after="0" w:line="282" w:lineRule="auto"/>
        <w:rPr>
          <w:sz w:val="20"/>
          <w:szCs w:val="20"/>
          <w:color w:val="auto"/>
        </w:rPr>
      </w:pPr>
      <w:r>
        <w:rPr>
          <w:rFonts w:ascii="Times New Roman" w:cs="Times New Roman" w:eastAsia="Times New Roman" w:hAnsi="Times New Roman"/>
          <w:sz w:val="18"/>
          <w:szCs w:val="18"/>
          <w:color w:val="auto"/>
        </w:rPr>
        <w:t>20.2 The captions of the sections of this Agreement are for convenience of reference only and in no way define, limit or affect the scope or substance of any section of this Agreement.</w:t>
      </w:r>
    </w:p>
    <w:p>
      <w:pPr>
        <w:spacing w:after="0" w:line="162" w:lineRule="exact"/>
        <w:rPr>
          <w:sz w:val="20"/>
          <w:szCs w:val="20"/>
          <w:color w:val="auto"/>
        </w:rPr>
      </w:pPr>
    </w:p>
    <w:p>
      <w:pPr>
        <w:ind w:right="120" w:firstLine="1034"/>
        <w:spacing w:after="0" w:line="282" w:lineRule="auto"/>
        <w:rPr>
          <w:sz w:val="20"/>
          <w:szCs w:val="20"/>
          <w:color w:val="auto"/>
        </w:rPr>
      </w:pPr>
      <w:r>
        <w:rPr>
          <w:rFonts w:ascii="Times New Roman" w:cs="Times New Roman" w:eastAsia="Times New Roman" w:hAnsi="Times New Roman"/>
          <w:sz w:val="18"/>
          <w:szCs w:val="18"/>
          <w:color w:val="auto"/>
        </w:rPr>
        <w:t>20.3 In case any provision of this Agreement shall be invalid, illegal or otherwise unenforceable, the validity, legality and enforceability of the remaining provisions shall in no way be affected or impaired thereby.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set forth above.</w:t>
      </w:r>
    </w:p>
    <w:p>
      <w:pPr>
        <w:spacing w:after="0" w:line="2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CERULEAN PHARMA INC.</w:t>
      </w:r>
    </w:p>
    <w:p>
      <w:pPr>
        <w:spacing w:after="0" w:line="252"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Oliver S. Fetzer</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CEO</w:t>
            </w:r>
          </w:p>
        </w:tc>
      </w:tr>
    </w:tbl>
    <w:p>
      <w:pPr>
        <w:spacing w:after="0" w:line="20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EMPLOYEE</w:t>
      </w:r>
    </w:p>
    <w:p>
      <w:pPr>
        <w:spacing w:after="0" w:line="25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Alejandra V. Carvajal</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Alejandra V. Carvajal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3439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391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344805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0" w:name="page121"/>
    <w:bookmarkEnd w:id="12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Non-Disclosure, Non-Competition, and Assignment of Intellectual Property Agreement</w:t>
      </w:r>
    </w:p>
    <w:p>
      <w:pPr>
        <w:sectPr>
          <w:pgSz w:w="11900" w:h="16838" w:orient="portrait"/>
          <w:cols w:equalWidth="0" w:num="1">
            <w:col w:w="9019"/>
          </w:cols>
          <w:pgMar w:left="1440" w:top="117"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TO EMPLOYMENT AGREEMENT</w:t>
      </w:r>
    </w:p>
    <w:p>
      <w:pPr>
        <w:spacing w:after="0" w:line="225" w:lineRule="exact"/>
        <w:rPr>
          <w:sz w:val="20"/>
          <w:szCs w:val="20"/>
          <w:color w:val="auto"/>
        </w:rPr>
      </w:pPr>
    </w:p>
    <w:p>
      <w:pPr>
        <w:ind w:right="520" w:firstLine="518"/>
        <w:spacing w:after="0" w:line="266" w:lineRule="auto"/>
        <w:rPr>
          <w:sz w:val="20"/>
          <w:szCs w:val="20"/>
          <w:color w:val="auto"/>
        </w:rPr>
      </w:pPr>
      <w:r>
        <w:rPr>
          <w:rFonts w:ascii="Times New Roman" w:cs="Times New Roman" w:eastAsia="Times New Roman" w:hAnsi="Times New Roman"/>
          <w:sz w:val="18"/>
          <w:szCs w:val="18"/>
          <w:color w:val="auto"/>
        </w:rPr>
        <w:t>THIS AMENDMENT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and entered into this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day of December, 2015, by and between Cerulean Pharma Inc., a Delaware corporation with its principal place of business at 840 Memorial Drive,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Cambridge, MA 02139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Alejandra V. Carvajal (the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WHEREAS, the Company and the Employee have entered into an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September 23, 2015;</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WHEREAS, the Company and the Employee now wish to amend the Agreement as set forth herein.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of which is hereby acknowledged, the parties agree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Section 3.3 of the Agreement is hereby deleted in its entirety and replaced by the following new Section 3.3:</w:t>
      </w:r>
    </w:p>
    <w:p>
      <w:pPr>
        <w:spacing w:after="0" w:line="117" w:lineRule="exact"/>
        <w:rPr>
          <w:sz w:val="20"/>
          <w:szCs w:val="20"/>
          <w:color w:val="auto"/>
        </w:rPr>
      </w:pPr>
    </w:p>
    <w:p>
      <w:pPr>
        <w:ind w:left="520" w:right="200" w:firstLine="495"/>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Employee shall be entitled to participate in all benefit plans and programs that the Company establishes and makes available to its employees to the extent that the Employee is eligible under (and subject to the provisions of) the plan documents governing those programs. The Employee shall be entitled to twenty (20) days paid vacation per year plus personal days and paid holidays generally offered by the Company to its employees, each to be administered in accordance with Company policy.”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 Section 5 of the Agreement is hereby deleted in its entirety and replaced by the following new Section 5:</w:t>
      </w:r>
    </w:p>
    <w:p>
      <w:pPr>
        <w:spacing w:after="0" w:line="117" w:lineRule="exact"/>
        <w:rPr>
          <w:sz w:val="20"/>
          <w:szCs w:val="20"/>
          <w:color w:val="auto"/>
        </w:rPr>
      </w:pPr>
    </w:p>
    <w:p>
      <w:pPr>
        <w:ind w:left="520" w:right="20" w:firstLine="495"/>
        <w:spacing w:after="0" w:line="25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Termination Without Cause; Resignation for Good Reason</w:t>
      </w:r>
      <w:r>
        <w:rPr>
          <w:rFonts w:ascii="Times New Roman" w:cs="Times New Roman" w:eastAsia="Times New Roman" w:hAnsi="Times New Roman"/>
          <w:sz w:val="18"/>
          <w:szCs w:val="18"/>
          <w:color w:val="auto"/>
        </w:rPr>
        <w:t>. If the Employee’s employment with the Company is terminated by the Company without Cause (as defined in Section 4.3), or by the Employee’s voluntary resignation for Good Reason (as defined in Section 4.2), other than in connection with a Change in Control (as defined in Section 7.2(a)), then the Employee shall be paid all accrued and unpaid base salary and any accrued but unused vacation through the date of termination. In addition, subject to the Employee’s execution and non-revocation of a binding severance and mutual release agreement in a form satisfactory to the Company (hereinafter, a “Severance Agreement”) and subject to the terms and conditions of Section 19 of this Agreement, the Employee shall be eligible to receive the following separation benefits:</w:t>
      </w:r>
    </w:p>
    <w:p>
      <w:pPr>
        <w:spacing w:after="0" w:line="188" w:lineRule="exact"/>
        <w:rPr>
          <w:sz w:val="20"/>
          <w:szCs w:val="20"/>
          <w:color w:val="auto"/>
        </w:rPr>
      </w:pPr>
    </w:p>
    <w:p>
      <w:pPr>
        <w:ind w:left="520" w:right="20" w:firstLine="987"/>
        <w:spacing w:after="0" w:line="253" w:lineRule="auto"/>
        <w:rPr>
          <w:sz w:val="20"/>
          <w:szCs w:val="20"/>
          <w:color w:val="auto"/>
        </w:rPr>
      </w:pPr>
      <w:r>
        <w:rPr>
          <w:rFonts w:ascii="Times New Roman" w:cs="Times New Roman" w:eastAsia="Times New Roman" w:hAnsi="Times New Roman"/>
          <w:sz w:val="18"/>
          <w:szCs w:val="18"/>
          <w:color w:val="auto"/>
        </w:rPr>
        <w:t>5.1 (a) an amount equal to the product of (i) one twelfth (1/12) of the Employee’s then-current annualized base salary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Employee’s employment is terminated by the Employee’s voluntary resignation for Good Reason as a result of the Company’s material reduction of the Employee’s base salary, then the Employee’s then-current annualized base salary shall refer to her base salary as in effect immediately before such material reduction took effect) and (ii) six (6), less any amounts required to be withheld under applicable law, which amount shall be payable in six (6) substantially equal monthly installments, in accordance with the Company’s payroll practices in effect from time to time beginning on the Payment Commencement Date (as defined below); and (b) the amount of any bonus for the prior year that was approved but not yet paid to the Employee at the time of the Employee’s termination of employment, less any amounts required to be withheld under applicable law, which amount shall be paid in a manner and timing consistent with the payments to other similarly situated employees and consistent with the requirements of Section 409A of the Internal Revenue Code of 1986, as amended, but in no event later than March 15 of the year following the year of performance; provided, in both cases, that the Severance Agreement has been executed and any applicable revocation period with respect thereto has expired within sixty (60) days following the Employee’s date of termination (such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the “Payment Commencement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Employee’s date of termination occurs in the calendar year following the year of termination, then the Payment Commencement Date shall be no earlier than January 1 of the year following the year of termination; and</w:t>
      </w:r>
    </w:p>
    <w:p>
      <w:pPr>
        <w:spacing w:after="0" w:line="189" w:lineRule="exact"/>
        <w:rPr>
          <w:sz w:val="20"/>
          <w:szCs w:val="20"/>
          <w:color w:val="auto"/>
        </w:rPr>
      </w:pPr>
    </w:p>
    <w:p>
      <w:pPr>
        <w:ind w:left="520" w:firstLine="987"/>
        <w:spacing w:after="0" w:line="255" w:lineRule="auto"/>
        <w:rPr>
          <w:sz w:val="20"/>
          <w:szCs w:val="20"/>
          <w:color w:val="auto"/>
        </w:rPr>
      </w:pPr>
      <w:r>
        <w:rPr>
          <w:rFonts w:ascii="Times New Roman" w:cs="Times New Roman" w:eastAsia="Times New Roman" w:hAnsi="Times New Roman"/>
          <w:sz w:val="18"/>
          <w:szCs w:val="18"/>
          <w:color w:val="auto"/>
        </w:rPr>
        <w:t>5.2 upon the Employee’s termination from employment pursuant to this Section 5, the Company shall make contributions to the cost of COBRA (Consolidated Omnibus Budget Reconciliation Act) coverage on behalf of the Employee and any applicable dependents for a period of six (6) months after the Employee’s termination if the Employee elects COBRA coverage, and only for so long as such coverage continues in force; provided, however, that if the Employee commences new employment and is eligible for a new group health plan, the Company’s contributions toward COBRA coverage shall end when the new employment begins. The cost of COBRA shall be determined on the same basis as the Company’s contribution to Company-provided health and dental insurance coverage in effect immediately before termination of the Employee’s employment for an active employee with the same coverage elections. At the end of the six (6) month period, the Employee may continue such COBRA, if applicable, and shall be responsible for all premiums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2" w:name="page123"/>
    <w:bookmarkEnd w:id="122"/>
    <w:p>
      <w:pPr>
        <w:ind w:left="240" w:hanging="188"/>
        <w:spacing w:after="0"/>
        <w:tabs>
          <w:tab w:leader="none" w:pos="2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hereby, all terms of the Agreement shall remain unchanged and in full force and effect.</w:t>
      </w:r>
    </w:p>
    <w:p>
      <w:pPr>
        <w:spacing w:after="0" w:line="225" w:lineRule="exact"/>
        <w:rPr>
          <w:rFonts w:ascii="Times New Roman" w:cs="Times New Roman" w:eastAsia="Times New Roman" w:hAnsi="Times New Roman"/>
          <w:sz w:val="18"/>
          <w:szCs w:val="18"/>
          <w:color w:val="auto"/>
        </w:rPr>
      </w:pPr>
    </w:p>
    <w:p>
      <w:pPr>
        <w:jc w:val="both"/>
        <w:ind w:left="-520" w:right="40" w:firstLine="526"/>
        <w:spacing w:after="0" w:line="266" w:lineRule="auto"/>
        <w:tabs>
          <w:tab w:leader="none" w:pos="17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as supplemented and modified by this Amendment, constitutes the full and entire understanding and agreement between the parties with respect to the subject matter hereof, and any other written or oral agreement relating to the subject matter hereof existing between the parties is expressly canceled.</w:t>
      </w:r>
    </w:p>
    <w:p>
      <w:pPr>
        <w:spacing w:after="0" w:line="176" w:lineRule="exact"/>
        <w:rPr>
          <w:rFonts w:ascii="Times New Roman" w:cs="Times New Roman" w:eastAsia="Times New Roman" w:hAnsi="Times New Roman"/>
          <w:sz w:val="18"/>
          <w:szCs w:val="18"/>
          <w:color w:val="auto"/>
        </w:rPr>
      </w:pPr>
    </w:p>
    <w:p>
      <w:pPr>
        <w:ind w:left="-520" w:right="540" w:firstLine="526"/>
        <w:spacing w:after="0" w:line="282" w:lineRule="auto"/>
        <w:tabs>
          <w:tab w:leader="none" w:pos="17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two (2) or more counterparts, each of which shall be deemed an original, but all of which together shall constitute one and the same instrument.</w:t>
      </w:r>
    </w:p>
    <w:p>
      <w:pPr>
        <w:spacing w:after="0" w:line="161" w:lineRule="exact"/>
        <w:rPr>
          <w:rFonts w:ascii="Times New Roman" w:cs="Times New Roman" w:eastAsia="Times New Roman" w:hAnsi="Times New Roman"/>
          <w:sz w:val="18"/>
          <w:szCs w:val="18"/>
          <w:color w:val="auto"/>
        </w:rPr>
      </w:pPr>
    </w:p>
    <w:p>
      <w:pPr>
        <w:ind w:left="-520" w:right="80" w:firstLine="526"/>
        <w:spacing w:after="0" w:line="282" w:lineRule="auto"/>
        <w:tabs>
          <w:tab w:leader="none" w:pos="17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Commonwealth of Massachusetts (without reference to the conflict of laws provisions thereof).</w:t>
      </w:r>
    </w:p>
    <w:p>
      <w:pPr>
        <w:spacing w:after="0" w:line="161" w:lineRule="exact"/>
        <w:rPr>
          <w:rFonts w:ascii="Times New Roman" w:cs="Times New Roman" w:eastAsia="Times New Roman" w:hAnsi="Times New Roman"/>
          <w:sz w:val="18"/>
          <w:szCs w:val="18"/>
          <w:color w:val="auto"/>
        </w:rPr>
      </w:pPr>
    </w:p>
    <w:p>
      <w:pPr>
        <w:ind w:left="-520" w:right="640" w:firstLine="526"/>
        <w:spacing w:after="0" w:line="282" w:lineRule="auto"/>
        <w:tabs>
          <w:tab w:leader="none" w:pos="17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this Amendment, on and after the date hereof, each reference in the Agreement to “this Agreement,” “hereunder,” “hereof,” “herein” or words of like import shall mean and be a reference to the Agreement, as amended hereby.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Amendment as of the day and year first above written.</w:t>
      </w:r>
    </w:p>
    <w:p>
      <w:pPr>
        <w:spacing w:after="0" w:line="22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CERULEAN PHARMA INC.</w:t>
      </w:r>
    </w:p>
    <w:p>
      <w:pPr>
        <w:spacing w:after="0" w:line="252" w:lineRule="exact"/>
        <w:rPr>
          <w:sz w:val="20"/>
          <w:szCs w:val="20"/>
          <w:color w:val="auto"/>
        </w:rPr>
      </w:pPr>
    </w:p>
    <w:tbl>
      <w:tblPr>
        <w:tblLayout w:type="fixed"/>
        <w:tblInd w:w="63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D. T. Guiffre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D. T. Guiffre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pacing w:after="0" w:line="22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EMPLOYEE</w:t>
      </w:r>
    </w:p>
    <w:p>
      <w:pPr>
        <w:spacing w:after="0" w:line="25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Alejandra V. Carvajal</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Alejandra V. Carvajal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-130810</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0900"/>
          </w:cols>
          <w:pgMar w:left="760" w:top="337"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Cerulean Pharma Inc.</w:t>
            </w:r>
          </w:p>
        </w:tc>
        <w:tc>
          <w:tcPr>
            <w:tcW w:w="5600" w:type="dxa"/>
            <w:vAlign w:val="bottom"/>
          </w:tcPr>
          <w:p>
            <w:pPr>
              <w:spacing w:after="0"/>
              <w:rPr>
                <w:sz w:val="20"/>
                <w:szCs w:val="20"/>
                <w:color w:val="auto"/>
              </w:rPr>
            </w:pPr>
          </w:p>
        </w:tc>
      </w:tr>
      <w:tr>
        <w:trPr>
          <w:trHeight w:val="432"/>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42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Cerulean Pharma Australia Pty Ltd</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bl>
    <w:p>
      <w:pPr>
        <w:sectPr>
          <w:pgSz w:w="11900" w:h="16838" w:orient="portrait"/>
          <w:cols w:equalWidth="0" w:num="1">
            <w:col w:w="11420"/>
          </w:cols>
          <w:pgMar w:left="240" w:top="131"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 333-198126 and No. 333-204007 on Form S-8 and No. 333-206396 on Form S-3 of our report dated March 10, 2016, relating to the consolidated financial statements of Cerulean Pharma Inc. appearing in this Annual Report on Form 10-K of Cerulean Pharma Inc. for the year ended December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2016</w:t>
      </w:r>
    </w:p>
    <w:p>
      <w:pPr>
        <w:sectPr>
          <w:pgSz w:w="11900" w:h="16838" w:orient="portrait"/>
          <w:cols w:equalWidth="0" w:num="1">
            <w:col w:w="11420"/>
          </w:cols>
          <w:pgMar w:left="240" w:top="333"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D.T. Guiffre, certify that:</w:t>
      </w:r>
    </w:p>
    <w:p>
      <w:pPr>
        <w:spacing w:after="0" w:line="117" w:lineRule="exact"/>
        <w:rPr>
          <w:sz w:val="20"/>
          <w:szCs w:val="20"/>
          <w:color w:val="auto"/>
        </w:rPr>
      </w:pPr>
    </w:p>
    <w:p>
      <w:pPr>
        <w:ind w:left="1040" w:hanging="519"/>
        <w:spacing w:after="0"/>
        <w:tabs>
          <w:tab w:leader="none" w:pos="1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Cerulean Pharma Inc.;</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40" w:right="140" w:hanging="506"/>
        <w:spacing w:after="0" w:line="282" w:lineRule="auto"/>
        <w:tabs>
          <w:tab w:leader="none" w:pos="15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40" w:right="140" w:hanging="506"/>
        <w:spacing w:after="0" w:line="266" w:lineRule="auto"/>
        <w:tabs>
          <w:tab w:leader="none" w:pos="15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380" w:hanging="506"/>
        <w:spacing w:after="0" w:line="282" w:lineRule="auto"/>
        <w:tabs>
          <w:tab w:leader="none" w:pos="15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80" w:hanging="506"/>
        <w:spacing w:after="0" w:line="282" w:lineRule="auto"/>
        <w:tabs>
          <w:tab w:leader="none" w:pos="15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 T. Guiffre</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131"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Gregg D. Beloff, certify that:</w:t>
      </w:r>
    </w:p>
    <w:p>
      <w:pPr>
        <w:spacing w:after="0" w:line="117" w:lineRule="exact"/>
        <w:rPr>
          <w:sz w:val="20"/>
          <w:szCs w:val="20"/>
          <w:color w:val="auto"/>
        </w:rPr>
      </w:pPr>
    </w:p>
    <w:p>
      <w:pPr>
        <w:ind w:left="1040" w:hanging="519"/>
        <w:spacing w:after="0"/>
        <w:tabs>
          <w:tab w:leader="none" w:pos="1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Cerulean Pharma Inc.;</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40" w:right="140" w:hanging="506"/>
        <w:spacing w:after="0" w:line="282"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40" w:right="140" w:hanging="506"/>
        <w:spacing w:after="0" w:line="266"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380" w:hanging="506"/>
        <w:spacing w:after="0" w:line="282"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80" w:hanging="506"/>
        <w:spacing w:after="0" w:line="282"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Gregg D. Beloff</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Gregg D.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131"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Cerulean Pharma Inc. (the “Company”) for the year ended December 31, 2015, as filed with the Securities and Exchange Commission on the date hereof (the “Report”), the undersigned, Christopher D.T. Guiffre, Chief Operating Officer of the Company, hereby certifies, pursuant to 18 U.S.C. Section 1350, as adopted pursuant to Section 906 of the Sarbanes-Oxley Act of 2002, that, to his knowledge on the date hereof:</w:t>
      </w:r>
    </w:p>
    <w:p>
      <w:pPr>
        <w:spacing w:after="0" w:line="180" w:lineRule="exact"/>
        <w:rPr>
          <w:sz w:val="20"/>
          <w:szCs w:val="20"/>
          <w:color w:val="auto"/>
        </w:rPr>
      </w:pPr>
    </w:p>
    <w:p>
      <w:pPr>
        <w:ind w:left="780" w:hanging="254"/>
        <w:spacing w:after="0"/>
        <w:tabs>
          <w:tab w:leader="none" w:pos="7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526"/>
        <w:spacing w:after="0" w:line="516" w:lineRule="auto"/>
        <w:tabs>
          <w:tab w:leader="none" w:pos="77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10, 2016</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 T. Guiffre</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131"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Cerulean Pharma Inc. (the “Company”) for the year ended December 31, 2015, as filed with the Securities and Exchange Commission on the date hereof (the “Report”), the undersigned, Gregg D. Beloff, Interim Chief Financial Officer of the Company, hereby certifies, pursuant to 18 U.S.C. Section 1350, as adopted pursuant to Section 906 of the Sarbanes-Oxley Act of 2002, that, to his knowledge on the date hereof:</w:t>
      </w:r>
    </w:p>
    <w:p>
      <w:pPr>
        <w:spacing w:after="0" w:line="180" w:lineRule="exact"/>
        <w:rPr>
          <w:sz w:val="20"/>
          <w:szCs w:val="20"/>
          <w:color w:val="auto"/>
        </w:rPr>
      </w:pPr>
    </w:p>
    <w:p>
      <w:pPr>
        <w:ind w:left="780" w:hanging="254"/>
        <w:spacing w:after="0"/>
        <w:tabs>
          <w:tab w:leader="none" w:pos="7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526"/>
        <w:spacing w:after="0" w:line="516" w:lineRule="auto"/>
        <w:tabs>
          <w:tab w:leader="none" w:pos="77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10, 2016</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Gregg D. Beloff</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Gregg D.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1."/>
      <w:numFmt w:val="decimal"/>
      <w:start w:val="1"/>
    </w:lvl>
  </w:abstractNum>
  <w:abstractNum w:abstractNumId="3">
    <w:nsid w:val="4F4EF005"/>
    <w:multiLevelType w:val="hybridMultilevel"/>
    <w:lvl w:ilvl="0">
      <w:lvlJc w:val="left"/>
      <w:lvlText w:val="%1."/>
      <w:numFmt w:val="decimal"/>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o"/>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o"/>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o"/>
      <w:numFmt w:val="bullet"/>
      <w:start w:val="1"/>
    </w:lvl>
  </w:abstractNum>
  <w:abstractNum w:abstractNumId="13">
    <w:nsid w:val="15B5AF5C"/>
    <w:multiLevelType w:val="hybridMultilevel"/>
    <w:lvl w:ilvl="0">
      <w:lvlJc w:val="left"/>
      <w:lvlText w:val="(%1)"/>
      <w:numFmt w:val="decimal"/>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emdash "/>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1)"/>
      <w:numFmt w:val="lowerRoman"/>
      <w:start w:val="2"/>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lvl w:ilvl="1">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1)"/>
      <w:numFmt w:val="decimal"/>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1."/>
      <w:numFmt w:val="decimal"/>
      <w:start w:val="1"/>
    </w:lvl>
  </w:abstractNum>
  <w:abstractNum w:abstractNumId="65">
    <w:nsid w:val="6F6DD9AC"/>
    <w:multiLevelType w:val="hybridMultilevel"/>
    <w:lvl w:ilvl="0">
      <w:lvlJc w:val="left"/>
      <w:lvlText w:val="%1."/>
      <w:numFmt w:val="decimal"/>
      <w:start w:val="2"/>
    </w:lvl>
  </w:abstractNum>
  <w:abstractNum w:abstractNumId="66">
    <w:nsid w:val="94211F2"/>
    <w:multiLevelType w:val="hybridMultilevel"/>
    <w:lvl w:ilvl="0">
      <w:lvlJc w:val="left"/>
      <w:lvlText w:val="%1."/>
      <w:numFmt w:val="decimal"/>
      <w:start w:val="3"/>
    </w:lvl>
  </w:abstractNum>
  <w:abstractNum w:abstractNumId="67">
    <w:nsid w:val="885E1B"/>
    <w:multiLevelType w:val="hybridMultilevel"/>
    <w:lvl w:ilvl="0">
      <w:lvlJc w:val="left"/>
      <w:lvlText w:val="%1."/>
      <w:numFmt w:val="decimal"/>
      <w:start w:val="4"/>
    </w:lvl>
  </w:abstractNum>
  <w:abstractNum w:abstractNumId="68">
    <w:nsid w:val="76272110"/>
    <w:multiLevelType w:val="hybridMultilevel"/>
    <w:lvl w:ilvl="0">
      <w:lvlJc w:val="left"/>
      <w:lvlText w:val="%1."/>
      <w:numFmt w:val="decimal"/>
      <w:start w:val="5"/>
    </w:lvl>
  </w:abstractNum>
  <w:abstractNum w:abstractNumId="69">
    <w:nsid w:val="4C04A8AF"/>
    <w:multiLevelType w:val="hybridMultilevel"/>
    <w:lvl w:ilvl="0">
      <w:lvlJc w:val="left"/>
      <w:lvlText w:val="%1."/>
      <w:numFmt w:val="decimal"/>
      <w:start w:val="6"/>
    </w:lvl>
  </w:abstractNum>
  <w:abstractNum w:abstractNumId="70">
    <w:nsid w:val="1716703B"/>
    <w:multiLevelType w:val="hybridMultilevel"/>
    <w:lvl w:ilvl="0">
      <w:lvlJc w:val="left"/>
      <w:lvlText w:val="%1."/>
      <w:numFmt w:val="decimal"/>
      <w:start w:val="7"/>
    </w:lvl>
  </w:abstractNum>
  <w:abstractNum w:abstractNumId="71">
    <w:nsid w:val="14E17E33"/>
    <w:multiLevelType w:val="hybridMultilevel"/>
    <w:lvl w:ilvl="0">
      <w:lvlJc w:val="left"/>
      <w:lvlText w:val="%1."/>
      <w:numFmt w:val="decimal"/>
      <w:start w:val="8"/>
    </w:lvl>
  </w:abstractNum>
  <w:abstractNum w:abstractNumId="72">
    <w:nsid w:val="3222E7CD"/>
    <w:multiLevelType w:val="hybridMultilevel"/>
    <w:lvl w:ilvl="0">
      <w:lvlJc w:val="left"/>
      <w:lvlText w:val="%1."/>
      <w:numFmt w:val="decimal"/>
      <w:start w:val="9"/>
    </w:lvl>
  </w:abstractNum>
  <w:abstractNum w:abstractNumId="73">
    <w:nsid w:val="74DE0EE3"/>
    <w:multiLevelType w:val="hybridMultilevel"/>
    <w:lvl w:ilvl="0">
      <w:lvlJc w:val="left"/>
      <w:lvlText w:val="%1."/>
      <w:numFmt w:val="decimal"/>
      <w:start w:val="10"/>
    </w:lvl>
  </w:abstractNum>
  <w:abstractNum w:abstractNumId="74">
    <w:nsid w:val="68EBC550"/>
    <w:multiLevelType w:val="hybridMultilevel"/>
    <w:lvl w:ilvl="0">
      <w:lvlJc w:val="left"/>
      <w:lvlText w:val="%1."/>
      <w:numFmt w:val="decimal"/>
      <w:start w:val="11"/>
    </w:lvl>
  </w:abstractNum>
  <w:abstractNum w:abstractNumId="75">
    <w:nsid w:val="2DF6D648"/>
    <w:multiLevelType w:val="hybridMultilevel"/>
    <w:lvl w:ilvl="0">
      <w:lvlJc w:val="left"/>
      <w:lvlText w:val="%1."/>
      <w:numFmt w:val="decimal"/>
      <w:start w:val="12"/>
    </w:lvl>
  </w:abstractNum>
  <w:abstractNum w:abstractNumId="76">
    <w:nsid w:val="46B7D447"/>
    <w:multiLevelType w:val="hybridMultilevel"/>
    <w:lvl w:ilvl="0">
      <w:lvlJc w:val="left"/>
      <w:lvlText w:val="%1."/>
      <w:numFmt w:val="decimal"/>
      <w:start w:val="13"/>
    </w:lvl>
  </w:abstractNum>
  <w:abstractNum w:abstractNumId="77">
    <w:nsid w:val="4A2AC315"/>
    <w:multiLevelType w:val="hybridMultilevel"/>
    <w:lvl w:ilvl="0">
      <w:lvlJc w:val="left"/>
      <w:lvlText w:val="%1."/>
      <w:numFmt w:val="decimal"/>
      <w:start w:val="14"/>
    </w:lvl>
  </w:abstractNum>
  <w:abstractNum w:abstractNumId="78">
    <w:nsid w:val="39EE015C"/>
    <w:multiLevelType w:val="hybridMultilevel"/>
    <w:lvl w:ilvl="0">
      <w:lvlJc w:val="left"/>
      <w:lvlText w:val="%1."/>
      <w:numFmt w:val="decimal"/>
      <w:start w:val="15"/>
    </w:lvl>
  </w:abstractNum>
  <w:abstractNum w:abstractNumId="79">
    <w:nsid w:val="57FC4FBB"/>
    <w:multiLevelType w:val="hybridMultilevel"/>
    <w:lvl w:ilvl="0">
      <w:lvlJc w:val="left"/>
      <w:lvlText w:val="%1."/>
      <w:numFmt w:val="decimal"/>
      <w:start w:val="16"/>
    </w:lvl>
  </w:abstractNum>
  <w:abstractNum w:abstractNumId="80">
    <w:nsid w:val="CC1016F"/>
    <w:multiLevelType w:val="hybridMultilevel"/>
    <w:lvl w:ilvl="0">
      <w:lvlJc w:val="left"/>
      <w:lvlText w:val="%1."/>
      <w:numFmt w:val="decimal"/>
      <w:start w:val="17"/>
    </w:lvl>
  </w:abstractNum>
  <w:abstractNum w:abstractNumId="81">
    <w:nsid w:val="43F18422"/>
    <w:multiLevelType w:val="hybridMultilevel"/>
    <w:lvl w:ilvl="0">
      <w:lvlJc w:val="left"/>
      <w:lvlText w:val="&amp;"/>
      <w:numFmt w:val="bullet"/>
      <w:start w:val="1"/>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1."/>
      <w:numFmt w:val="decimal"/>
      <w:start w:val="1"/>
    </w:lvl>
  </w:abstractNum>
  <w:abstractNum w:abstractNumId="85">
    <w:nsid w:val="49DA307D"/>
    <w:multiLevelType w:val="hybridMultilevel"/>
    <w:lvl w:ilvl="0">
      <w:lvlJc w:val="left"/>
      <w:lvlText w:val="%1."/>
      <w:numFmt w:val="decimal"/>
      <w:start w:val="3"/>
    </w:lvl>
  </w:abstractNum>
  <w:abstractNum w:abstractNumId="86">
    <w:nsid w:val="7055A5F5"/>
    <w:multiLevelType w:val="hybridMultilevel"/>
    <w:lvl w:ilvl="0">
      <w:lvlJc w:val="left"/>
      <w:lvlText w:val="(%1)"/>
      <w:numFmt w:val="lowerLetter"/>
      <w:start w:val="1"/>
    </w:lvl>
  </w:abstractNum>
  <w:abstractNum w:abstractNumId="87">
    <w:nsid w:val="5FB8370B"/>
    <w:multiLevelType w:val="hybridMultilevel"/>
    <w:lvl w:ilvl="0">
      <w:lvlJc w:val="left"/>
      <w:lvlText w:val="(%1)"/>
      <w:numFmt w:val="lowerLetter"/>
      <w:start w:val="1"/>
    </w:lvl>
  </w:abstractNum>
  <w:abstractNum w:abstractNumId="88">
    <w:nsid w:val="50801EE1"/>
    <w:multiLevelType w:val="hybridMultilevel"/>
    <w:lvl w:ilvl="0">
      <w:lvlJc w:val="left"/>
      <w:lvlText w:val="%1."/>
      <w:numFmt w:val="decimal"/>
      <w:start w:val="5"/>
    </w:lvl>
  </w:abstractNum>
  <w:abstractNum w:abstractNumId="89">
    <w:nsid w:val="488AC1A"/>
    <w:multiLevelType w:val="hybridMultilevel"/>
    <w:lvl w:ilvl="0">
      <w:lvlJc w:val="left"/>
      <w:lvlText w:val="%1."/>
      <w:numFmt w:val="decimal"/>
      <w:start w:val="6"/>
    </w:lvl>
  </w:abstractNum>
  <w:abstractNum w:abstractNumId="90">
    <w:nsid w:val="5FB8011C"/>
    <w:multiLevelType w:val="hybridMultilevel"/>
    <w:lvl w:ilvl="0">
      <w:lvlJc w:val="left"/>
      <w:lvlText w:val="(%1)"/>
      <w:numFmt w:val="lowerLetter"/>
      <w:start w:val="1"/>
    </w:lvl>
  </w:abstractNum>
  <w:abstractNum w:abstractNumId="91">
    <w:nsid w:val="6AA78F7F"/>
    <w:multiLevelType w:val="hybridMultilevel"/>
    <w:lvl w:ilvl="0">
      <w:lvlJc w:val="left"/>
      <w:lvlText w:val="(%1)"/>
      <w:numFmt w:val="lowerLetter"/>
      <w:start w:val="1"/>
    </w:lvl>
  </w:abstractNum>
  <w:abstractNum w:abstractNumId="92">
    <w:nsid w:val="7672BD23"/>
    <w:multiLevelType w:val="hybridMultilevel"/>
    <w:lvl w:ilvl="0">
      <w:lvlJc w:val="left"/>
      <w:lvlText w:val="(%1)"/>
      <w:numFmt w:val="lowerRoman"/>
      <w:start w:val="1"/>
    </w:lvl>
  </w:abstractNum>
  <w:abstractNum w:abstractNumId="93">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94">
    <w:nsid w:val="6A5F702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5">
    <w:nsid w:val="7D5E18F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96">
    <w:nsid w:val="5F3534A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97">
    <w:nsid w:val="73A1821B"/>
    <w:multiLevelType w:val="hybridMultilevel"/>
    <w:lvl w:ilvl="0">
      <w:lvlJc w:val="left"/>
      <w:lvlText w:val="%1"/>
      <w:numFmt w:val="decimal"/>
      <w:start w:val="1"/>
    </w:lvl>
    <w:lvl w:ilvl="1">
      <w:lvlJc w:val="left"/>
      <w:lvlText w:val="(%2)"/>
      <w:numFmt w:val="lowerLetter"/>
      <w:start w:val="5"/>
    </w:lvl>
  </w:abstractNum>
  <w:abstractNum w:abstractNumId="98">
    <w:nsid w:val="7DE67713"/>
    <w:multiLevelType w:val="hybridMultilevel"/>
    <w:lvl w:ilvl="0">
      <w:lvlJc w:val="left"/>
      <w:lvlText w:val="%1."/>
      <w:numFmt w:val="decimal"/>
      <w:start w:val="20"/>
    </w:lvl>
    <w:lvl w:ilvl="1">
      <w:lvlJc w:val="left"/>
      <w:lvlText w:val="%2"/>
      <w:numFmt w:val="lowerLetter"/>
      <w:start w:val="1"/>
    </w:lvl>
  </w:abstractNum>
  <w:abstractNum w:abstractNumId="99">
    <w:nsid w:val="555C55B5"/>
    <w:multiLevelType w:val="hybridMultilevel"/>
    <w:lvl w:ilvl="0">
      <w:lvlJc w:val="left"/>
      <w:lvlText w:val="%1"/>
      <w:numFmt w:val="decimal"/>
      <w:start w:val="1"/>
    </w:lvl>
    <w:lvl w:ilvl="1">
      <w:lvlJc w:val="left"/>
      <w:lvlText w:val="%2."/>
      <w:numFmt w:val="decimal"/>
      <w:start w:val="2"/>
    </w:lvl>
  </w:abstractNum>
  <w:abstractNum w:abstractNumId="100">
    <w:nsid w:val="3FA62ACA"/>
    <w:multiLevelType w:val="hybridMultilevel"/>
    <w:lvl w:ilvl="0">
      <w:lvlJc w:val="left"/>
      <w:lvlText w:val="%1."/>
      <w:numFmt w:val="decimal"/>
      <w:start w:val="3"/>
    </w:lvl>
    <w:lvl w:ilvl="1">
      <w:lvlJc w:val="left"/>
      <w:lvlText w:val="%2"/>
      <w:numFmt w:val="decimal"/>
      <w:start w:val="1"/>
    </w:lvl>
  </w:abstractNum>
  <w:abstractNum w:abstractNumId="101">
    <w:nsid w:val="14FCE74E"/>
    <w:multiLevelType w:val="hybridMultilevel"/>
    <w:lvl w:ilvl="0">
      <w:lvlJc w:val="left"/>
      <w:lvlText w:val="%1."/>
      <w:numFmt w:val="decimal"/>
      <w:start w:val="1"/>
    </w:lvl>
    <w:lvl w:ilvl="1">
      <w:lvlJc w:val="left"/>
      <w:lvlText w:val="%2."/>
      <w:numFmt w:val="lowerLetter"/>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2019-12-29T13:14:05Z</dcterms:created>
  <dcterms:modified xsi:type="dcterms:W3CDTF">2019-12-29T13:14:05Z</dcterms:modified>
</cp:coreProperties>
</file>